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2363" w:rsidRPr="00A22326" w:rsidRDefault="00F22A76" w:rsidP="00BB2363">
      <w:pPr>
        <w:jc w:val="center"/>
        <w:rPr>
          <w:b/>
          <w:sz w:val="24"/>
          <w:szCs w:val="24"/>
          <w:u w:val="single"/>
        </w:rPr>
      </w:pPr>
      <w:r w:rsidRPr="00A22326">
        <w:rPr>
          <w:b/>
          <w:sz w:val="24"/>
          <w:szCs w:val="24"/>
          <w:u w:val="single"/>
        </w:rPr>
        <w:t xml:space="preserve">Proposal for Old </w:t>
      </w:r>
      <w:proofErr w:type="spellStart"/>
      <w:r w:rsidRPr="00A22326">
        <w:rPr>
          <w:b/>
          <w:sz w:val="24"/>
          <w:szCs w:val="24"/>
          <w:u w:val="single"/>
        </w:rPr>
        <w:t>Slaymaker</w:t>
      </w:r>
      <w:proofErr w:type="spellEnd"/>
      <w:r w:rsidRPr="00A22326">
        <w:rPr>
          <w:b/>
          <w:sz w:val="24"/>
          <w:szCs w:val="24"/>
          <w:u w:val="single"/>
        </w:rPr>
        <w:t xml:space="preserve"> Territory</w:t>
      </w:r>
      <w:bookmarkStart w:id="0" w:name="_GoBack"/>
      <w:bookmarkEnd w:id="0"/>
    </w:p>
    <w:p w:rsidR="00F22A76" w:rsidRDefault="00F22A76" w:rsidP="00A22326">
      <w:pPr>
        <w:jc w:val="both"/>
      </w:pPr>
      <w:r w:rsidRPr="00886B6C">
        <w:rPr>
          <w:b/>
          <w:u w:val="single"/>
        </w:rPr>
        <w:t xml:space="preserve">Filta’s </w:t>
      </w:r>
      <w:r w:rsidR="00B27E2A" w:rsidRPr="00886B6C">
        <w:rPr>
          <w:b/>
          <w:u w:val="single"/>
        </w:rPr>
        <w:t>Situation</w:t>
      </w:r>
      <w:r w:rsidRPr="00A22326">
        <w:rPr>
          <w:u w:val="single"/>
        </w:rPr>
        <w:t>:</w:t>
      </w:r>
      <w:r>
        <w:t xml:space="preserve"> </w:t>
      </w:r>
      <w:r w:rsidRPr="00A22326">
        <w:rPr>
          <w:i/>
        </w:rPr>
        <w:t xml:space="preserve">Filta currently operates a corporate territory.  There is no long term appeal or protocol for holding a corporate territory.  Their options are to either </w:t>
      </w:r>
      <w:r w:rsidR="00A22326">
        <w:rPr>
          <w:i/>
        </w:rPr>
        <w:t>cease service or sell the territory to a new owner</w:t>
      </w:r>
      <w:r w:rsidRPr="00A22326">
        <w:rPr>
          <w:i/>
        </w:rPr>
        <w:t>.</w:t>
      </w:r>
    </w:p>
    <w:p w:rsidR="00F22A76" w:rsidRPr="00A22326" w:rsidRDefault="00B14D34" w:rsidP="00A22326">
      <w:pPr>
        <w:pStyle w:val="ListParagraph"/>
        <w:numPr>
          <w:ilvl w:val="0"/>
          <w:numId w:val="1"/>
        </w:numPr>
        <w:rPr>
          <w:b/>
          <w:u w:val="single"/>
        </w:rPr>
      </w:pPr>
      <w:r>
        <w:rPr>
          <w:b/>
          <w:u w:val="single"/>
        </w:rPr>
        <w:t xml:space="preserve">Filta </w:t>
      </w:r>
      <w:r w:rsidR="00F22A76" w:rsidRPr="00A22326">
        <w:rPr>
          <w:b/>
          <w:u w:val="single"/>
        </w:rPr>
        <w:t>Option One</w:t>
      </w:r>
    </w:p>
    <w:p w:rsidR="00F22A76" w:rsidRPr="00A22326" w:rsidRDefault="00F22A76" w:rsidP="00A22326">
      <w:pPr>
        <w:pStyle w:val="ListParagraph"/>
        <w:numPr>
          <w:ilvl w:val="1"/>
          <w:numId w:val="1"/>
        </w:numPr>
        <w:jc w:val="both"/>
        <w:rPr>
          <w:b/>
          <w:i/>
        </w:rPr>
      </w:pPr>
      <w:r w:rsidRPr="00A22326">
        <w:rPr>
          <w:b/>
          <w:i/>
        </w:rPr>
        <w:t>Pros</w:t>
      </w:r>
    </w:p>
    <w:p w:rsidR="00F22A76" w:rsidRDefault="00F22A76" w:rsidP="00A22326">
      <w:pPr>
        <w:pStyle w:val="ListParagraph"/>
        <w:numPr>
          <w:ilvl w:val="2"/>
          <w:numId w:val="1"/>
        </w:numPr>
        <w:jc w:val="both"/>
      </w:pPr>
      <w:r>
        <w:t>Clean way to separate from the territory</w:t>
      </w:r>
    </w:p>
    <w:p w:rsidR="00F22A76" w:rsidRDefault="00F22A76" w:rsidP="00A22326">
      <w:pPr>
        <w:pStyle w:val="ListParagraph"/>
        <w:numPr>
          <w:ilvl w:val="2"/>
          <w:numId w:val="1"/>
        </w:numPr>
        <w:jc w:val="both"/>
      </w:pPr>
      <w:r>
        <w:t>Provides an opportunity to start fresh at a point in the future</w:t>
      </w:r>
      <w:r w:rsidR="00A22326">
        <w:t xml:space="preserve"> with a new owner</w:t>
      </w:r>
    </w:p>
    <w:p w:rsidR="00F22A76" w:rsidRPr="00A22326" w:rsidRDefault="00F22A76" w:rsidP="00A22326">
      <w:pPr>
        <w:pStyle w:val="ListParagraph"/>
        <w:numPr>
          <w:ilvl w:val="1"/>
          <w:numId w:val="1"/>
        </w:numPr>
        <w:rPr>
          <w:b/>
          <w:i/>
        </w:rPr>
      </w:pPr>
      <w:r w:rsidRPr="00A22326">
        <w:rPr>
          <w:b/>
          <w:i/>
        </w:rPr>
        <w:t>Cons</w:t>
      </w:r>
    </w:p>
    <w:p w:rsidR="00A22326" w:rsidRDefault="00F22A76" w:rsidP="00A22326">
      <w:pPr>
        <w:pStyle w:val="ListParagraph"/>
        <w:numPr>
          <w:ilvl w:val="2"/>
          <w:numId w:val="1"/>
        </w:numPr>
        <w:jc w:val="both"/>
      </w:pPr>
      <w:r>
        <w:t>Jeopardizes relationships at a national corporate level with</w:t>
      </w:r>
      <w:r w:rsidR="00A22326">
        <w:t xml:space="preserve"> Sodexo, as well as a few others.  As you can see below, Sodexo is clearly the most significant customer in the area.  To pull service with them not only upsets the regional Sodexo people, but also jeopardizes national relations.</w:t>
      </w:r>
    </w:p>
    <w:p w:rsidR="00A22326" w:rsidRDefault="00A22326" w:rsidP="00A22326">
      <w:pPr>
        <w:pStyle w:val="ListParagraph"/>
      </w:pPr>
    </w:p>
    <w:p w:rsidR="00F22A76" w:rsidRDefault="00A22326" w:rsidP="00A22326">
      <w:pPr>
        <w:pStyle w:val="ListParagraph"/>
        <w:ind w:left="1800"/>
        <w:jc w:val="both"/>
      </w:pPr>
      <w:r>
        <w:rPr>
          <w:noProof/>
        </w:rPr>
        <mc:AlternateContent>
          <mc:Choice Requires="wps">
            <w:drawing>
              <wp:anchor distT="0" distB="0" distL="114300" distR="114300" simplePos="0" relativeHeight="251662336" behindDoc="0" locked="0" layoutInCell="1" allowOverlap="1" wp14:anchorId="67B94CE7" wp14:editId="4AC82D75">
                <wp:simplePos x="0" y="0"/>
                <wp:positionH relativeFrom="column">
                  <wp:posOffset>1905000</wp:posOffset>
                </wp:positionH>
                <wp:positionV relativeFrom="paragraph">
                  <wp:posOffset>692785</wp:posOffset>
                </wp:positionV>
                <wp:extent cx="1476375" cy="1619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476375" cy="161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150pt;margin-top:54.55pt;width:116.25pt;height:12.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" filled="f" strokecolor="#243f60 [1604]" strokeweight="2pt"/>
            </w:pict>
          </mc:Fallback>
        </mc:AlternateContent>
      </w:r>
      <w:r w:rsidR="00F22A76">
        <w:rPr>
          <w:noProof/>
        </w:rPr>
        <w:drawing>
          <wp:inline distT="0" distB="0" distL="0" distR="0" wp14:anchorId="7C84BEC9" wp14:editId="0B982AB2">
            <wp:extent cx="3209925" cy="111649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6">
                      <a:extLst>
                        <a:ext uri="{28A0092B-C50C-407E-A947-70E740481C1C}">
                          <a14:useLocalDpi xmlns:a14="http://schemas.microsoft.com/office/drawing/2010/main" val="0"/>
                        </a:ext>
                      </a:extLst>
                    </a:blip>
                    <a:stretch>
                      <a:fillRect/>
                    </a:stretch>
                  </pic:blipFill>
                  <pic:spPr>
                    <a:xfrm>
                      <a:off x="0" y="0"/>
                      <a:ext cx="3210373" cy="1116652"/>
                    </a:xfrm>
                    <a:prstGeom prst="rect">
                      <a:avLst/>
                    </a:prstGeom>
                  </pic:spPr>
                </pic:pic>
              </a:graphicData>
            </a:graphic>
          </wp:inline>
        </w:drawing>
      </w:r>
    </w:p>
    <w:p w:rsidR="00F22A76" w:rsidRDefault="00F22A76" w:rsidP="00F22A76">
      <w:r>
        <w:rPr>
          <w:noProof/>
        </w:rPr>
        <mc:AlternateContent>
          <mc:Choice Requires="wps">
            <w:drawing>
              <wp:anchor distT="0" distB="0" distL="114300" distR="114300" simplePos="0" relativeHeight="251661312" behindDoc="0" locked="0" layoutInCell="1" allowOverlap="1">
                <wp:simplePos x="0" y="0"/>
                <wp:positionH relativeFrom="column">
                  <wp:posOffset>4438650</wp:posOffset>
                </wp:positionH>
                <wp:positionV relativeFrom="paragraph">
                  <wp:posOffset>2792730</wp:posOffset>
                </wp:positionV>
                <wp:extent cx="400050" cy="333375"/>
                <wp:effectExtent l="38100" t="19050" r="38100" b="47625"/>
                <wp:wrapNone/>
                <wp:docPr id="4" name="5-Point Star 4"/>
                <wp:cNvGraphicFramePr/>
                <a:graphic xmlns:a="http://schemas.openxmlformats.org/drawingml/2006/main">
                  <a:graphicData uri="http://schemas.microsoft.com/office/word/2010/wordprocessingShape">
                    <wps:wsp>
                      <wps:cNvSpPr/>
                      <wps:spPr>
                        <a:xfrm>
                          <a:off x="0" y="0"/>
                          <a:ext cx="400050" cy="333375"/>
                        </a:xfrm>
                        <a:prstGeom prst="star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4" o:spid="_x0000_s1026" style="position:absolute;margin-left:349.5pt;margin-top:219.9pt;width:31.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000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" path="m,127338r152806,l200025,r47219,127338l400050,127338,276426,206036r47221,127338l200025,254674,76403,333374,123624,206036,,127338xe" fillcolor="#4f81bd [3204]" strokecolor="yellow" strokeweight="2pt">
                <v:path arrowok="t" o:connecttype="custom" o:connectlocs="0,127338;152806,127338;200025,0;247244,127338;400050,127338;276426,206036;323647,333374;200025,254674;76403,333374;123624,206036;0,127338" o:connectangles="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3676650</wp:posOffset>
                </wp:positionH>
                <wp:positionV relativeFrom="paragraph">
                  <wp:posOffset>1905</wp:posOffset>
                </wp:positionV>
                <wp:extent cx="1228725" cy="1304925"/>
                <wp:effectExtent l="0" t="0" r="28575" b="28575"/>
                <wp:wrapNone/>
                <wp:docPr id="3" name="Oval 3"/>
                <wp:cNvGraphicFramePr/>
                <a:graphic xmlns:a="http://schemas.openxmlformats.org/drawingml/2006/main">
                  <a:graphicData uri="http://schemas.microsoft.com/office/word/2010/wordprocessingShape">
                    <wps:wsp>
                      <wps:cNvSpPr/>
                      <wps:spPr>
                        <a:xfrm>
                          <a:off x="0" y="0"/>
                          <a:ext cx="1228725" cy="130492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6" style="position:absolute;margin-left:289.5pt;margin-top:.15pt;width:96.75pt;height:102.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" filled="f" strokecolor="yellow"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542925</wp:posOffset>
                </wp:positionH>
                <wp:positionV relativeFrom="paragraph">
                  <wp:posOffset>1059180</wp:posOffset>
                </wp:positionV>
                <wp:extent cx="1209675" cy="1057275"/>
                <wp:effectExtent l="0" t="0" r="28575" b="28575"/>
                <wp:wrapNone/>
                <wp:docPr id="2" name="Oval 2"/>
                <wp:cNvGraphicFramePr/>
                <a:graphic xmlns:a="http://schemas.openxmlformats.org/drawingml/2006/main">
                  <a:graphicData uri="http://schemas.microsoft.com/office/word/2010/wordprocessingShape">
                    <wps:wsp>
                      <wps:cNvSpPr/>
                      <wps:spPr>
                        <a:xfrm>
                          <a:off x="0" y="0"/>
                          <a:ext cx="1209675" cy="105727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margin-left:42.75pt;margin-top:83.4pt;width:95.25pt;height:8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" filled="f" strokecolor="#f79646 [3209]" strokeweight="2pt"/>
            </w:pict>
          </mc:Fallback>
        </mc:AlternateContent>
      </w:r>
      <w:r>
        <w:rPr>
          <w:noProof/>
        </w:rPr>
        <w:drawing>
          <wp:inline distT="0" distB="0" distL="0" distR="0" wp14:anchorId="255AED59" wp14:editId="2C502B93">
            <wp:extent cx="6200386"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23675" cy="3833871"/>
                    </a:xfrm>
                    <a:prstGeom prst="rect">
                      <a:avLst/>
                    </a:prstGeom>
                  </pic:spPr>
                </pic:pic>
              </a:graphicData>
            </a:graphic>
          </wp:inline>
        </w:drawing>
      </w:r>
    </w:p>
    <w:p w:rsidR="00F22A76" w:rsidRDefault="00B14D34" w:rsidP="00A22326">
      <w:pPr>
        <w:pStyle w:val="ListParagraph"/>
        <w:numPr>
          <w:ilvl w:val="0"/>
          <w:numId w:val="1"/>
        </w:numPr>
        <w:rPr>
          <w:b/>
          <w:u w:val="single"/>
        </w:rPr>
      </w:pPr>
      <w:r>
        <w:rPr>
          <w:b/>
          <w:u w:val="single"/>
        </w:rPr>
        <w:lastRenderedPageBreak/>
        <w:t xml:space="preserve">Filta </w:t>
      </w:r>
      <w:r w:rsidR="00A22326" w:rsidRPr="00A22326">
        <w:rPr>
          <w:b/>
          <w:u w:val="single"/>
        </w:rPr>
        <w:t xml:space="preserve">Option Two </w:t>
      </w:r>
    </w:p>
    <w:p w:rsidR="00A22326" w:rsidRPr="00A22326" w:rsidRDefault="00A22326" w:rsidP="00080738">
      <w:pPr>
        <w:pStyle w:val="ListParagraph"/>
        <w:numPr>
          <w:ilvl w:val="1"/>
          <w:numId w:val="1"/>
        </w:numPr>
        <w:jc w:val="both"/>
        <w:rPr>
          <w:b/>
          <w:u w:val="single"/>
        </w:rPr>
      </w:pPr>
      <w:r>
        <w:t xml:space="preserve">The most logical option is </w:t>
      </w:r>
      <w:r w:rsidRPr="00C66505">
        <w:rPr>
          <w:b/>
        </w:rPr>
        <w:t>Option Two</w:t>
      </w:r>
      <w:r>
        <w:t xml:space="preserve">, sell to a new owner.  The above map shows New Jersey and Pennsylvania, mapped by </w:t>
      </w:r>
      <w:r w:rsidR="00C66505">
        <w:t>zip codes</w:t>
      </w:r>
      <w:r>
        <w:t xml:space="preserve">.  Traditionally, Filta designates territory to owners in the Northeast by </w:t>
      </w:r>
      <w:r w:rsidR="00C66505">
        <w:t>zip code</w:t>
      </w:r>
      <w:r>
        <w:t xml:space="preserve">. </w:t>
      </w:r>
    </w:p>
    <w:p w:rsidR="00A22326" w:rsidRPr="00A22326" w:rsidRDefault="00A22326" w:rsidP="00080738">
      <w:pPr>
        <w:pStyle w:val="ListParagraph"/>
        <w:numPr>
          <w:ilvl w:val="1"/>
          <w:numId w:val="1"/>
        </w:numPr>
        <w:jc w:val="both"/>
        <w:rPr>
          <w:b/>
          <w:u w:val="single"/>
        </w:rPr>
      </w:pPr>
      <w:r>
        <w:t xml:space="preserve">The </w:t>
      </w:r>
      <w:r w:rsidR="00080738">
        <w:t>colors and objects</w:t>
      </w:r>
      <w:r>
        <w:t xml:space="preserve"> mean:</w:t>
      </w:r>
    </w:p>
    <w:p w:rsidR="00A22326" w:rsidRPr="00A22326" w:rsidRDefault="00A22326" w:rsidP="00080738">
      <w:pPr>
        <w:pStyle w:val="ListParagraph"/>
        <w:numPr>
          <w:ilvl w:val="2"/>
          <w:numId w:val="1"/>
        </w:numPr>
        <w:jc w:val="both"/>
        <w:rPr>
          <w:b/>
          <w:u w:val="single"/>
        </w:rPr>
      </w:pPr>
      <w:r w:rsidRPr="00C66505">
        <w:rPr>
          <w:b/>
          <w:color w:val="1F497D" w:themeColor="text2"/>
        </w:rPr>
        <w:t>Deep Blue</w:t>
      </w:r>
      <w:r w:rsidRPr="00C66505">
        <w:rPr>
          <w:color w:val="1F497D" w:themeColor="text2"/>
        </w:rPr>
        <w:t xml:space="preserve"> </w:t>
      </w:r>
      <w:r>
        <w:t xml:space="preserve">– Currently owned Dorado Environmental, </w:t>
      </w:r>
      <w:r w:rsidR="00C66505">
        <w:t>Inc.</w:t>
      </w:r>
      <w:r>
        <w:t xml:space="preserve"> (DEI) Territory</w:t>
      </w:r>
    </w:p>
    <w:p w:rsidR="00A22326" w:rsidRPr="00A22326" w:rsidRDefault="00A22326" w:rsidP="00080738">
      <w:pPr>
        <w:pStyle w:val="ListParagraph"/>
        <w:numPr>
          <w:ilvl w:val="2"/>
          <w:numId w:val="1"/>
        </w:numPr>
        <w:jc w:val="both"/>
        <w:rPr>
          <w:b/>
          <w:u w:val="single"/>
        </w:rPr>
      </w:pPr>
      <w:r w:rsidRPr="00C66505">
        <w:rPr>
          <w:b/>
          <w:color w:val="9FDDBF"/>
        </w:rPr>
        <w:t>Light Green</w:t>
      </w:r>
      <w:r w:rsidRPr="00C66505">
        <w:rPr>
          <w:color w:val="92D050"/>
        </w:rPr>
        <w:t xml:space="preserve"> </w:t>
      </w:r>
      <w:r>
        <w:t>– Options owned for DEI expansion</w:t>
      </w:r>
    </w:p>
    <w:p w:rsidR="00A22326" w:rsidRPr="00A22326" w:rsidRDefault="00A22326" w:rsidP="00080738">
      <w:pPr>
        <w:pStyle w:val="ListParagraph"/>
        <w:numPr>
          <w:ilvl w:val="2"/>
          <w:numId w:val="1"/>
        </w:numPr>
        <w:jc w:val="both"/>
        <w:rPr>
          <w:b/>
          <w:u w:val="single"/>
        </w:rPr>
      </w:pPr>
      <w:r w:rsidRPr="00C66505">
        <w:rPr>
          <w:b/>
          <w:color w:val="4F7D79"/>
        </w:rPr>
        <w:t>Hunter Green</w:t>
      </w:r>
      <w:r>
        <w:t xml:space="preserve"> – Former franchisee territory now operated by Filta Corporate</w:t>
      </w:r>
    </w:p>
    <w:p w:rsidR="00A22326" w:rsidRPr="00A22326" w:rsidRDefault="00A22326" w:rsidP="00080738">
      <w:pPr>
        <w:pStyle w:val="ListParagraph"/>
        <w:numPr>
          <w:ilvl w:val="2"/>
          <w:numId w:val="1"/>
        </w:numPr>
        <w:jc w:val="both"/>
        <w:rPr>
          <w:b/>
          <w:u w:val="single"/>
        </w:rPr>
      </w:pPr>
      <w:r w:rsidRPr="00C66505">
        <w:rPr>
          <w:b/>
          <w:color w:val="E36C0A" w:themeColor="accent6" w:themeShade="BF"/>
        </w:rPr>
        <w:t xml:space="preserve">Red </w:t>
      </w:r>
      <w:r>
        <w:t xml:space="preserve">– Owned by a </w:t>
      </w:r>
      <w:r w:rsidR="008F648C">
        <w:t xml:space="preserve">separate franchisee </w:t>
      </w:r>
    </w:p>
    <w:p w:rsidR="00A22326" w:rsidRPr="00080738" w:rsidRDefault="00A22326" w:rsidP="00080738">
      <w:pPr>
        <w:pStyle w:val="ListParagraph"/>
        <w:numPr>
          <w:ilvl w:val="2"/>
          <w:numId w:val="1"/>
        </w:numPr>
        <w:jc w:val="both"/>
        <w:rPr>
          <w:b/>
          <w:u w:val="single"/>
        </w:rPr>
      </w:pPr>
      <w:r w:rsidRPr="00C66505">
        <w:rPr>
          <w:b/>
          <w:color w:val="969696"/>
        </w:rPr>
        <w:t>Linen, Beige</w:t>
      </w:r>
      <w:r>
        <w:t xml:space="preserve"> – Other Zip Codes with no current ownership</w:t>
      </w:r>
    </w:p>
    <w:p w:rsidR="00080738" w:rsidRPr="00080738" w:rsidRDefault="00080738" w:rsidP="00080738">
      <w:pPr>
        <w:pStyle w:val="ListParagraph"/>
        <w:numPr>
          <w:ilvl w:val="2"/>
          <w:numId w:val="1"/>
        </w:numPr>
        <w:jc w:val="both"/>
        <w:rPr>
          <w:b/>
          <w:u w:val="single"/>
        </w:rPr>
      </w:pPr>
      <w:r w:rsidRPr="00C66505">
        <w:rPr>
          <w:color w:val="F79646" w:themeColor="accent6"/>
        </w:rPr>
        <w:t xml:space="preserve">Orange Circle </w:t>
      </w:r>
      <w:r>
        <w:t>– The concentration of Filta Corporate serviced customers</w:t>
      </w:r>
    </w:p>
    <w:p w:rsidR="00080738" w:rsidRPr="00080738" w:rsidRDefault="00080738" w:rsidP="00080738">
      <w:pPr>
        <w:pStyle w:val="ListParagraph"/>
        <w:numPr>
          <w:ilvl w:val="2"/>
          <w:numId w:val="1"/>
        </w:numPr>
        <w:jc w:val="both"/>
        <w:rPr>
          <w:b/>
          <w:u w:val="single"/>
        </w:rPr>
      </w:pPr>
      <w:r w:rsidRPr="00C66505">
        <w:rPr>
          <w:color w:val="FF0000"/>
        </w:rPr>
        <w:t xml:space="preserve">Red line </w:t>
      </w:r>
      <w:r>
        <w:t>– a line between Manasquan and the heart of the Lehigh Valley customer base, approximately 85 miles</w:t>
      </w:r>
    </w:p>
    <w:p w:rsidR="00080738" w:rsidRPr="00080738" w:rsidRDefault="00080738" w:rsidP="00080738">
      <w:pPr>
        <w:pStyle w:val="ListParagraph"/>
        <w:numPr>
          <w:ilvl w:val="2"/>
          <w:numId w:val="1"/>
        </w:numPr>
        <w:jc w:val="both"/>
        <w:rPr>
          <w:b/>
          <w:u w:val="single"/>
        </w:rPr>
      </w:pPr>
      <w:r w:rsidRPr="00C66505">
        <w:rPr>
          <w:b/>
          <w:color w:val="FFFF00"/>
        </w:rPr>
        <w:t>Yellow Circle</w:t>
      </w:r>
      <w:r w:rsidRPr="00C66505">
        <w:rPr>
          <w:color w:val="FFFF00"/>
        </w:rPr>
        <w:t xml:space="preserve"> </w:t>
      </w:r>
      <w:r>
        <w:t>– Currently owned target customers of various designations</w:t>
      </w:r>
    </w:p>
    <w:p w:rsidR="00080738" w:rsidRPr="00C66505" w:rsidRDefault="00C66505" w:rsidP="00080738">
      <w:pPr>
        <w:pStyle w:val="ListParagraph"/>
        <w:numPr>
          <w:ilvl w:val="2"/>
          <w:numId w:val="1"/>
        </w:numPr>
        <w:jc w:val="both"/>
        <w:rPr>
          <w:b/>
          <w:u w:val="single"/>
        </w:rPr>
      </w:pPr>
      <w:r>
        <w:rPr>
          <w:b/>
          <w:noProof/>
        </w:rPr>
        <w:drawing>
          <wp:inline distT="0" distB="0" distL="0" distR="0">
            <wp:extent cx="533400" cy="28265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aV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727" cy="284949"/>
                    </a:xfrm>
                    <a:prstGeom prst="rect">
                      <a:avLst/>
                    </a:prstGeom>
                  </pic:spPr>
                </pic:pic>
              </a:graphicData>
            </a:graphic>
          </wp:inline>
        </w:drawing>
      </w:r>
      <w:r w:rsidR="00080738" w:rsidRPr="00C66505">
        <w:rPr>
          <w:b/>
        </w:rPr>
        <w:t xml:space="preserve">Filta Van </w:t>
      </w:r>
      <w:r>
        <w:rPr>
          <w:b/>
        </w:rPr>
        <w:t>I</w:t>
      </w:r>
      <w:r w:rsidR="00080738" w:rsidRPr="00C66505">
        <w:rPr>
          <w:b/>
        </w:rPr>
        <w:t>cons</w:t>
      </w:r>
      <w:r w:rsidR="00080738">
        <w:t xml:space="preserve"> – represent customers that are targets</w:t>
      </w:r>
    </w:p>
    <w:p w:rsidR="00C66505" w:rsidRPr="00C66505" w:rsidRDefault="00C66505" w:rsidP="00080738">
      <w:pPr>
        <w:pStyle w:val="ListParagraph"/>
        <w:numPr>
          <w:ilvl w:val="2"/>
          <w:numId w:val="1"/>
        </w:numPr>
        <w:jc w:val="both"/>
        <w:rPr>
          <w:b/>
          <w:u w:val="single"/>
        </w:rPr>
      </w:pPr>
      <w:r w:rsidRPr="00C66505">
        <w:rPr>
          <w:b/>
          <w:noProof/>
        </w:rPr>
        <w:drawing>
          <wp:inline distT="0" distB="0" distL="0" distR="0" wp14:anchorId="558EA33F" wp14:editId="5C198ED6">
            <wp:extent cx="3238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ine.png"/>
                    <pic:cNvPicPr/>
                  </pic:nvPicPr>
                  <pic:blipFill>
                    <a:blip r:embed="rId9">
                      <a:extLst>
                        <a:ext uri="{28A0092B-C50C-407E-A947-70E740481C1C}">
                          <a14:useLocalDpi xmlns:a14="http://schemas.microsoft.com/office/drawing/2010/main" val="0"/>
                        </a:ext>
                      </a:extLst>
                    </a:blip>
                    <a:stretch>
                      <a:fillRect/>
                    </a:stretch>
                  </pic:blipFill>
                  <pic:spPr>
                    <a:xfrm>
                      <a:off x="0" y="0"/>
                      <a:ext cx="324147" cy="324147"/>
                    </a:xfrm>
                    <a:prstGeom prst="rect">
                      <a:avLst/>
                    </a:prstGeom>
                  </pic:spPr>
                </pic:pic>
              </a:graphicData>
            </a:graphic>
          </wp:inline>
        </w:drawing>
      </w:r>
      <w:r>
        <w:rPr>
          <w:b/>
        </w:rPr>
        <w:t xml:space="preserve">Medical Icons – </w:t>
      </w:r>
      <w:r>
        <w:t>represent medical customers/targets</w:t>
      </w:r>
    </w:p>
    <w:p w:rsidR="00C66505" w:rsidRPr="00C66505" w:rsidRDefault="00C66505" w:rsidP="00C66505">
      <w:pPr>
        <w:pStyle w:val="ListParagraph"/>
        <w:numPr>
          <w:ilvl w:val="2"/>
          <w:numId w:val="1"/>
        </w:numPr>
        <w:jc w:val="both"/>
        <w:rPr>
          <w:b/>
        </w:rPr>
      </w:pPr>
      <w:r>
        <w:rPr>
          <w:b/>
          <w:noProof/>
        </w:rPr>
        <w:drawing>
          <wp:inline distT="0" distB="0" distL="0" distR="0">
            <wp:extent cx="304762" cy="30476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plane-shape.png"/>
                    <pic:cNvPicPr/>
                  </pic:nvPicPr>
                  <pic:blipFill>
                    <a:blip r:embed="rId10">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
        </w:rPr>
        <w:t xml:space="preserve">Airplane Icons – </w:t>
      </w:r>
      <w:r>
        <w:t>represent airport targets</w:t>
      </w:r>
    </w:p>
    <w:p w:rsidR="00C66505" w:rsidRPr="00C66505" w:rsidRDefault="00C66505" w:rsidP="00C66505">
      <w:pPr>
        <w:pStyle w:val="ListParagraph"/>
        <w:numPr>
          <w:ilvl w:val="2"/>
          <w:numId w:val="1"/>
        </w:numPr>
        <w:jc w:val="both"/>
        <w:rPr>
          <w:b/>
        </w:rPr>
      </w:pPr>
      <w:r>
        <w:rPr>
          <w:b/>
          <w:noProof/>
        </w:rPr>
        <w:drawing>
          <wp:inline distT="0" distB="0" distL="0" distR="0">
            <wp:extent cx="2381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r-icon-blue.png"/>
                    <pic:cNvPicPr/>
                  </pic:nvPicPr>
                  <pic:blipFill>
                    <a:blip r:embed="rId11">
                      <a:extLst>
                        <a:ext uri="{28A0092B-C50C-407E-A947-70E740481C1C}">
                          <a14:useLocalDpi xmlns:a14="http://schemas.microsoft.com/office/drawing/2010/main" val="0"/>
                        </a:ext>
                      </a:extLst>
                    </a:blip>
                    <a:stretch>
                      <a:fillRect/>
                    </a:stretch>
                  </pic:blipFill>
                  <pic:spPr>
                    <a:xfrm>
                      <a:off x="0" y="0"/>
                      <a:ext cx="238125" cy="390525"/>
                    </a:xfrm>
                    <a:prstGeom prst="rect">
                      <a:avLst/>
                    </a:prstGeom>
                  </pic:spPr>
                </pic:pic>
              </a:graphicData>
            </a:graphic>
          </wp:inline>
        </w:drawing>
      </w:r>
      <w:r>
        <w:rPr>
          <w:b/>
        </w:rPr>
        <w:t xml:space="preserve">Blue leaflet Icons – </w:t>
      </w:r>
      <w:r>
        <w:t>represent current customers</w:t>
      </w:r>
    </w:p>
    <w:p w:rsidR="00C66505" w:rsidRPr="00C66505" w:rsidRDefault="00C66505" w:rsidP="00C66505">
      <w:pPr>
        <w:pStyle w:val="ListParagraph"/>
        <w:numPr>
          <w:ilvl w:val="2"/>
          <w:numId w:val="1"/>
        </w:numPr>
        <w:jc w:val="both"/>
        <w:rPr>
          <w:b/>
        </w:rPr>
      </w:pPr>
      <w:r>
        <w:rPr>
          <w:b/>
          <w:noProof/>
        </w:rPr>
        <w:drawing>
          <wp:inline distT="0" distB="0" distL="0" distR="0">
            <wp:extent cx="285750" cy="28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b/>
        </w:rPr>
        <w:t xml:space="preserve">Cap Icons – </w:t>
      </w:r>
      <w:r>
        <w:t>represent education customers/targets</w:t>
      </w:r>
    </w:p>
    <w:p w:rsidR="00C66505" w:rsidRPr="00C66505" w:rsidRDefault="00C66505" w:rsidP="00C66505">
      <w:pPr>
        <w:pStyle w:val="ListParagraph"/>
        <w:numPr>
          <w:ilvl w:val="2"/>
          <w:numId w:val="1"/>
        </w:numPr>
        <w:jc w:val="both"/>
        <w:rPr>
          <w:b/>
        </w:rPr>
      </w:pPr>
      <w:r>
        <w:rPr>
          <w:b/>
          <w:noProof/>
        </w:rPr>
        <w:drawing>
          <wp:inline distT="0" distB="0" distL="0" distR="0">
            <wp:extent cx="304826" cy="3048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ng"/>
                    <pic:cNvPicPr/>
                  </pic:nvPicPr>
                  <pic:blipFill>
                    <a:blip r:embed="rId13">
                      <a:extLst>
                        <a:ext uri="{28A0092B-C50C-407E-A947-70E740481C1C}">
                          <a14:useLocalDpi xmlns:a14="http://schemas.microsoft.com/office/drawing/2010/main" val="0"/>
                        </a:ext>
                      </a:extLst>
                    </a:blip>
                    <a:stretch>
                      <a:fillRect/>
                    </a:stretch>
                  </pic:blipFill>
                  <pic:spPr>
                    <a:xfrm>
                      <a:off x="0" y="0"/>
                      <a:ext cx="304826" cy="304826"/>
                    </a:xfrm>
                    <a:prstGeom prst="rect">
                      <a:avLst/>
                    </a:prstGeom>
                  </pic:spPr>
                </pic:pic>
              </a:graphicData>
            </a:graphic>
          </wp:inline>
        </w:drawing>
      </w:r>
      <w:r>
        <w:rPr>
          <w:b/>
        </w:rPr>
        <w:t xml:space="preserve"> Amusement Icon – </w:t>
      </w:r>
      <w:r>
        <w:t>represent Amusement park targets</w:t>
      </w:r>
    </w:p>
    <w:p w:rsidR="00C66505" w:rsidRPr="00A22326" w:rsidRDefault="00C66505" w:rsidP="00C66505">
      <w:pPr>
        <w:pStyle w:val="ListParagraph"/>
        <w:ind w:left="1800"/>
        <w:jc w:val="both"/>
        <w:rPr>
          <w:b/>
          <w:u w:val="single"/>
        </w:rPr>
      </w:pPr>
    </w:p>
    <w:p w:rsidR="00A22326" w:rsidRDefault="00080738" w:rsidP="00080738">
      <w:pPr>
        <w:pStyle w:val="ListParagraph"/>
        <w:numPr>
          <w:ilvl w:val="0"/>
          <w:numId w:val="1"/>
        </w:numPr>
        <w:jc w:val="both"/>
        <w:rPr>
          <w:b/>
          <w:u w:val="single"/>
        </w:rPr>
      </w:pPr>
      <w:r>
        <w:rPr>
          <w:b/>
          <w:u w:val="single"/>
        </w:rPr>
        <w:t>The Details around the Deal</w:t>
      </w:r>
    </w:p>
    <w:p w:rsidR="00080738" w:rsidRPr="00080738" w:rsidRDefault="00080738" w:rsidP="00080738">
      <w:pPr>
        <w:pStyle w:val="ListParagraph"/>
        <w:numPr>
          <w:ilvl w:val="1"/>
          <w:numId w:val="1"/>
        </w:numPr>
        <w:jc w:val="both"/>
        <w:rPr>
          <w:b/>
          <w:u w:val="single"/>
        </w:rPr>
      </w:pPr>
      <w:r>
        <w:t>Based on DEI’s growth goals, acquiring the Lehigh Valley territory does appear logical as it adds customers and revenue, however:</w:t>
      </w:r>
    </w:p>
    <w:p w:rsidR="00080738" w:rsidRPr="00080738" w:rsidRDefault="00080738" w:rsidP="00080738">
      <w:pPr>
        <w:pStyle w:val="ListParagraph"/>
        <w:numPr>
          <w:ilvl w:val="2"/>
          <w:numId w:val="1"/>
        </w:numPr>
        <w:jc w:val="both"/>
        <w:rPr>
          <w:b/>
          <w:u w:val="single"/>
        </w:rPr>
      </w:pPr>
      <w:r>
        <w:t>Logistically difficult as there is one older technician currently working the territory.  The business should have a second tech, part time or full, to really accommodate the work flow</w:t>
      </w:r>
    </w:p>
    <w:p w:rsidR="00080738" w:rsidRPr="00080738" w:rsidRDefault="00080738" w:rsidP="00080738">
      <w:pPr>
        <w:pStyle w:val="ListParagraph"/>
        <w:numPr>
          <w:ilvl w:val="3"/>
          <w:numId w:val="1"/>
        </w:numPr>
        <w:jc w:val="both"/>
        <w:rPr>
          <w:b/>
          <w:u w:val="single"/>
        </w:rPr>
      </w:pPr>
      <w:r>
        <w:t>This employment expansion would put a strain on monthly cash flows, especially in the summer when the majority of the clients, universities, are not active</w:t>
      </w:r>
    </w:p>
    <w:p w:rsidR="00080738" w:rsidRPr="00080738" w:rsidRDefault="00080738" w:rsidP="00080738">
      <w:pPr>
        <w:pStyle w:val="ListParagraph"/>
        <w:numPr>
          <w:ilvl w:val="2"/>
          <w:numId w:val="1"/>
        </w:numPr>
        <w:jc w:val="both"/>
        <w:rPr>
          <w:b/>
          <w:u w:val="single"/>
        </w:rPr>
      </w:pPr>
      <w:r>
        <w:t>There is infrastructure in terms of the following:</w:t>
      </w:r>
    </w:p>
    <w:p w:rsidR="00080738" w:rsidRPr="00C66505" w:rsidRDefault="00080738" w:rsidP="00080738">
      <w:pPr>
        <w:pStyle w:val="ListParagraph"/>
        <w:numPr>
          <w:ilvl w:val="3"/>
          <w:numId w:val="1"/>
        </w:numPr>
        <w:jc w:val="both"/>
        <w:rPr>
          <w:b/>
          <w:i/>
          <w:u w:val="single"/>
        </w:rPr>
      </w:pPr>
      <w:r w:rsidRPr="00C66505">
        <w:rPr>
          <w:i/>
        </w:rPr>
        <w:t>One service van (~90k miles)</w:t>
      </w:r>
    </w:p>
    <w:p w:rsidR="00080738" w:rsidRPr="00C66505" w:rsidRDefault="00080738" w:rsidP="00080738">
      <w:pPr>
        <w:pStyle w:val="ListParagraph"/>
        <w:numPr>
          <w:ilvl w:val="3"/>
          <w:numId w:val="1"/>
        </w:numPr>
        <w:jc w:val="both"/>
        <w:rPr>
          <w:b/>
          <w:i/>
          <w:u w:val="single"/>
        </w:rPr>
      </w:pPr>
      <w:r w:rsidRPr="00C66505">
        <w:rPr>
          <w:i/>
        </w:rPr>
        <w:t>Two Generation 3 Mobile Filtration Units (MFUs)</w:t>
      </w:r>
    </w:p>
    <w:p w:rsidR="00080738" w:rsidRPr="00C66505" w:rsidRDefault="00080738" w:rsidP="00080738">
      <w:pPr>
        <w:pStyle w:val="ListParagraph"/>
        <w:numPr>
          <w:ilvl w:val="3"/>
          <w:numId w:val="1"/>
        </w:numPr>
        <w:jc w:val="both"/>
        <w:rPr>
          <w:b/>
          <w:i/>
          <w:u w:val="single"/>
        </w:rPr>
      </w:pPr>
      <w:r w:rsidRPr="00C66505">
        <w:rPr>
          <w:i/>
        </w:rPr>
        <w:t>One small storage area</w:t>
      </w:r>
      <w:r w:rsidR="00C66505">
        <w:rPr>
          <w:i/>
        </w:rPr>
        <w:t xml:space="preserve"> for warehouse storage</w:t>
      </w:r>
    </w:p>
    <w:p w:rsidR="00080738" w:rsidRPr="00C66505" w:rsidRDefault="00080738" w:rsidP="00080738">
      <w:pPr>
        <w:pStyle w:val="ListParagraph"/>
        <w:numPr>
          <w:ilvl w:val="3"/>
          <w:numId w:val="1"/>
        </w:numPr>
        <w:jc w:val="both"/>
        <w:rPr>
          <w:b/>
          <w:i/>
          <w:u w:val="single"/>
        </w:rPr>
      </w:pPr>
      <w:r w:rsidRPr="00C66505">
        <w:rPr>
          <w:i/>
        </w:rPr>
        <w:t>Technician parks van at his residence when it is not in service</w:t>
      </w:r>
    </w:p>
    <w:p w:rsidR="00080738" w:rsidRPr="00080738" w:rsidRDefault="00080738" w:rsidP="00080738">
      <w:pPr>
        <w:pStyle w:val="ListParagraph"/>
        <w:numPr>
          <w:ilvl w:val="2"/>
          <w:numId w:val="1"/>
        </w:numPr>
        <w:jc w:val="both"/>
        <w:rPr>
          <w:b/>
          <w:u w:val="single"/>
        </w:rPr>
      </w:pPr>
      <w:r>
        <w:lastRenderedPageBreak/>
        <w:t xml:space="preserve">The </w:t>
      </w:r>
      <w:r w:rsidRPr="00C66505">
        <w:rPr>
          <w:b/>
        </w:rPr>
        <w:t>annualized revenue</w:t>
      </w:r>
      <w:r w:rsidR="006E4E95">
        <w:t xml:space="preserve"> currently derived</w:t>
      </w:r>
      <w:r>
        <w:t xml:space="preserve"> is base service meaning it is done without any upselling or consideration for what the customer actually wants.  It is truly a basic service. </w:t>
      </w:r>
    </w:p>
    <w:p w:rsidR="00080738" w:rsidRPr="00080738" w:rsidRDefault="00080738" w:rsidP="00080738">
      <w:pPr>
        <w:pStyle w:val="ListParagraph"/>
        <w:numPr>
          <w:ilvl w:val="2"/>
          <w:numId w:val="1"/>
        </w:numPr>
        <w:jc w:val="both"/>
        <w:rPr>
          <w:b/>
          <w:u w:val="single"/>
        </w:rPr>
      </w:pPr>
      <w:r>
        <w:t>Valuing the territory can only be done, accurately, by measuring the FiltaFry business.  Other revenue sources such as FiltaBio (the business name for the waste oil collection) do not have reliable data.  They have been deemed $0 here, but that is not a true assumption.</w:t>
      </w:r>
    </w:p>
    <w:p w:rsidR="00080738" w:rsidRDefault="00080738" w:rsidP="00080738">
      <w:pPr>
        <w:pStyle w:val="ListParagraph"/>
        <w:numPr>
          <w:ilvl w:val="0"/>
          <w:numId w:val="1"/>
        </w:numPr>
        <w:rPr>
          <w:b/>
          <w:u w:val="single"/>
        </w:rPr>
      </w:pPr>
      <w:r>
        <w:rPr>
          <w:b/>
          <w:u w:val="single"/>
        </w:rPr>
        <w:t>The Deal</w:t>
      </w:r>
    </w:p>
    <w:p w:rsidR="00080738" w:rsidRPr="00080738" w:rsidRDefault="00080738" w:rsidP="00080738">
      <w:pPr>
        <w:pStyle w:val="ListParagraph"/>
        <w:numPr>
          <w:ilvl w:val="1"/>
          <w:numId w:val="1"/>
        </w:numPr>
        <w:rPr>
          <w:b/>
          <w:u w:val="single"/>
        </w:rPr>
      </w:pPr>
      <w:r>
        <w:t xml:space="preserve">DEI </w:t>
      </w:r>
      <w:r w:rsidR="00B27E2A" w:rsidRPr="00B27E2A">
        <w:t>would like to</w:t>
      </w:r>
      <w:r w:rsidR="00B27E2A">
        <w:rPr>
          <w:b/>
        </w:rPr>
        <w:t xml:space="preserve"> </w:t>
      </w:r>
      <w:r>
        <w:t>construct the following deal:</w:t>
      </w:r>
    </w:p>
    <w:p w:rsidR="00080738" w:rsidRPr="00080738" w:rsidRDefault="00080738" w:rsidP="00080738">
      <w:pPr>
        <w:pStyle w:val="ListParagraph"/>
        <w:numPr>
          <w:ilvl w:val="2"/>
          <w:numId w:val="1"/>
        </w:numPr>
        <w:rPr>
          <w:b/>
          <w:u w:val="single"/>
        </w:rPr>
      </w:pPr>
      <w:r>
        <w:t>Visualizing this as a new acquisition of territory, not business.  Therefore we will not be basing the purchase price on the sales revenue, but rather, on the territory fee used in the first DEI/Filta deal.</w:t>
      </w:r>
    </w:p>
    <w:p w:rsidR="00C66505" w:rsidRPr="00C66505" w:rsidRDefault="00080738" w:rsidP="00C66505">
      <w:pPr>
        <w:pStyle w:val="ListParagraph"/>
        <w:numPr>
          <w:ilvl w:val="3"/>
          <w:numId w:val="1"/>
        </w:numPr>
        <w:rPr>
          <w:b/>
          <w:u w:val="single"/>
        </w:rPr>
      </w:pPr>
      <w:r w:rsidRPr="00C66505">
        <w:rPr>
          <w:b/>
        </w:rPr>
        <w:t>$</w:t>
      </w:r>
      <w:r w:rsidR="00B27E2A">
        <w:rPr>
          <w:b/>
        </w:rPr>
        <w:t>15,000</w:t>
      </w:r>
      <w:r w:rsidRPr="00C66505">
        <w:rPr>
          <w:b/>
        </w:rPr>
        <w:t>.00</w:t>
      </w:r>
      <w:r>
        <w:t xml:space="preserve"> for the Lehigh Valley territor</w:t>
      </w:r>
      <w:r w:rsidR="00C66505">
        <w:t>y, as constructed by Michals.  Of significance, there is no liquidity event at time 0.</w:t>
      </w:r>
      <w:r w:rsidR="00820B42">
        <w:t xml:space="preserve">  Rather, Filta will be paid a second </w:t>
      </w:r>
      <w:r w:rsidR="00B27E2A">
        <w:t xml:space="preserve">royalty </w:t>
      </w:r>
      <w:r w:rsidR="003D2CCD">
        <w:t xml:space="preserve">on every MFU used to service within this territory </w:t>
      </w:r>
      <w:r w:rsidR="00C66505">
        <w:t>up until the $</w:t>
      </w:r>
      <w:r w:rsidR="00B27E2A">
        <w:t>15</w:t>
      </w:r>
      <w:r w:rsidR="00820B42">
        <w:t>,000.00 is paid off</w:t>
      </w:r>
      <w:r w:rsidR="003D2CCD">
        <w:t>.  At this point</w:t>
      </w:r>
      <w:r w:rsidR="00820B42">
        <w:t>, DEI will revert back to the traditional format of one single royalty per MFU in service.</w:t>
      </w:r>
    </w:p>
    <w:p w:rsidR="00C66505" w:rsidRPr="00C66505" w:rsidRDefault="00C66505" w:rsidP="00C66505">
      <w:pPr>
        <w:pStyle w:val="ListParagraph"/>
        <w:numPr>
          <w:ilvl w:val="3"/>
          <w:numId w:val="1"/>
        </w:numPr>
        <w:rPr>
          <w:b/>
          <w:u w:val="single"/>
        </w:rPr>
      </w:pPr>
      <w:r>
        <w:t>Part of the Lehigh Valley includes portions of NJ around the Princeton area, this territory will be included</w:t>
      </w:r>
    </w:p>
    <w:p w:rsidR="00A22326" w:rsidRPr="00886B6C" w:rsidRDefault="00080738" w:rsidP="00F22A76">
      <w:pPr>
        <w:pStyle w:val="ListParagraph"/>
        <w:numPr>
          <w:ilvl w:val="3"/>
          <w:numId w:val="1"/>
        </w:numPr>
        <w:rPr>
          <w:b/>
          <w:u w:val="single"/>
        </w:rPr>
      </w:pPr>
      <w:r>
        <w:t>Trade in both Gen 3 M</w:t>
      </w:r>
      <w:r w:rsidR="00B27E2A">
        <w:t xml:space="preserve">FUs for 1 Gen 4 MFU </w:t>
      </w:r>
    </w:p>
    <w:p w:rsidR="00886B6C" w:rsidRPr="00B27E2A" w:rsidRDefault="00886B6C" w:rsidP="00F22A76">
      <w:pPr>
        <w:pStyle w:val="ListParagraph"/>
        <w:numPr>
          <w:ilvl w:val="3"/>
          <w:numId w:val="1"/>
        </w:numPr>
        <w:rPr>
          <w:b/>
          <w:u w:val="single"/>
        </w:rPr>
      </w:pPr>
      <w:r>
        <w:t>DEI reserves the right to close operations within the territory prior to the 24-25 month payback period if it is deemed that further operation would result in a lack of profitability or solvency.</w:t>
      </w:r>
    </w:p>
    <w:sectPr w:rsidR="00886B6C" w:rsidRPr="00B27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94B9E"/>
    <w:multiLevelType w:val="hybridMultilevel"/>
    <w:tmpl w:val="FB7ED664"/>
    <w:lvl w:ilvl="0" w:tplc="2C38EF6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A76"/>
    <w:rsid w:val="00080738"/>
    <w:rsid w:val="003D2CCD"/>
    <w:rsid w:val="0060539E"/>
    <w:rsid w:val="006E4E95"/>
    <w:rsid w:val="00820B42"/>
    <w:rsid w:val="00886B6C"/>
    <w:rsid w:val="008F648C"/>
    <w:rsid w:val="009A2383"/>
    <w:rsid w:val="00A22326"/>
    <w:rsid w:val="00B14D34"/>
    <w:rsid w:val="00B27E2A"/>
    <w:rsid w:val="00BB2363"/>
    <w:rsid w:val="00C66505"/>
    <w:rsid w:val="00D55BAC"/>
    <w:rsid w:val="00F22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A76"/>
    <w:pPr>
      <w:ind w:left="720"/>
      <w:contextualSpacing/>
    </w:pPr>
  </w:style>
  <w:style w:type="paragraph" w:styleId="BalloonText">
    <w:name w:val="Balloon Text"/>
    <w:basedOn w:val="Normal"/>
    <w:link w:val="BalloonTextChar"/>
    <w:uiPriority w:val="99"/>
    <w:semiHidden/>
    <w:unhideWhenUsed/>
    <w:rsid w:val="00F22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A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A76"/>
    <w:pPr>
      <w:ind w:left="720"/>
      <w:contextualSpacing/>
    </w:pPr>
  </w:style>
  <w:style w:type="paragraph" w:styleId="BalloonText">
    <w:name w:val="Balloon Text"/>
    <w:basedOn w:val="Normal"/>
    <w:link w:val="BalloonTextChar"/>
    <w:uiPriority w:val="99"/>
    <w:semiHidden/>
    <w:unhideWhenUsed/>
    <w:rsid w:val="00F22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A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Michals</dc:creator>
  <cp:lastModifiedBy>John Michals</cp:lastModifiedBy>
  <cp:revision>12</cp:revision>
  <cp:lastPrinted>2019-02-13T19:18:00Z</cp:lastPrinted>
  <dcterms:created xsi:type="dcterms:W3CDTF">2019-02-13T19:01:00Z</dcterms:created>
  <dcterms:modified xsi:type="dcterms:W3CDTF">2019-02-13T19:18:00Z</dcterms:modified>
</cp:coreProperties>
</file>