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River Basin Digital Twin Research</w:t>
      </w:r>
    </w:p>
    <w:p>
      <w:pPr>
        <w:pStyle w:val="Subtitle"/>
      </w:pPr>
      <w:r>
        <w:t>Progress report through 27 October 2026</w:t>
      </w:r>
    </w:p>
    <w:p>
      <w:r>
        <w:t>We have completed a reproducible streamflow benchmark and built a prototype that connects satellite indicators, observation availability and water-allocation scenarios. This report covers the data audit, implemented methods, recorded results, manuscript and publication planning. Independent satellite validation remains the main unfinished task.</w:t>
      </w:r>
    </w:p>
    <w:p>
      <w:pPr>
        <w:pStyle w:val="Heading1"/>
      </w:pPr>
      <w:r>
        <w:t>Research scope and data collected</w:t>
      </w:r>
    </w:p>
    <w:p>
      <w:r>
        <w:t>The current question is whether crop and surface-wetness information improves allocation decisions when observations are delayed, uncertain or missing. The existing flow benchmark uses the Potomac River at USGS station 01646500; an agricultural basin for the satellite study has not yet been verified.</w:t>
      </w:r>
    </w:p>
    <w:p>
      <w:r>
        <w:t>The original constructed-wetland phosphorus proposal was audited separately. Webb supplementary files, including Table S2, were downloaded; Anderson supplements and the UEA CSV remained inaccessible; the Dykes paper was obtained but its raw observations were not. These records have not been combined with daily streamflow or used to validate phosphorus removal.</w:t>
      </w:r>
    </w:p>
    <w:p>
      <w:r>
        <w:t>The archived USGS series contains 13,149 daily observations from 1990–2025. Units were converted to m³/s, dates and source flags checked, and 174 estimated values retained with flags. We used 1990–2009 for training, 2010–2014 for validation, 2015–2019 for calibration and 2020–2025 for testing.</w:t>
      </w:r>
    </w:p>
    <w:p>
      <w:pPr>
        <w:pStyle w:val="Heading1"/>
      </w:pPr>
      <w:r>
        <w:t>Streamflow models and recorded performance</w:t>
      </w:r>
    </w:p>
    <w:p>
      <w:r>
        <w:t>Four neural models use the preceding 30 days of observed flow and calendar features to predict next-day flow. Training used seed 42, width 32, Adam and up to 20 epochs with early stopping. Persistence, equal averaging and calibrated forecast Bayesian model averaging (BMA) provide comparisons. The test comprises 2,192 rolling next-day hindcasts.</w:t>
      </w:r>
    </w:p>
    <w:tbl>
      <w:tblPr>
        <w:tblW w:type="auto" w:w="0"/>
        <w:tblLayout w:type="fixed"/>
        <w:tblLook w:firstColumn="1" w:firstRow="1" w:lastColumn="0" w:lastRow="0" w:noHBand="0" w:noVBand="1" w:val="04A0"/>
      </w:tblPr>
      <w:tblGrid>
        <w:gridCol w:w="3240"/>
        <w:gridCol w:w="1728"/>
        <w:gridCol w:w="1728"/>
        <w:gridCol w:w="1296"/>
        <w:gridCol w:w="2088"/>
      </w:tblGrid>
      <w:tr>
        <w:trPr>
          <w:tblHeader/>
          <w:cantSplit/>
        </w:trPr>
        <w:tc>
          <w:tcPr>
            <w:tcW w:type="dxa" w:w="3240"/>
            <w:tcMar>
              <w:top w:w="65" w:type="dxa"/>
              <w:bottom w:w="65" w:type="dxa"/>
              <w:left w:w="85" w:type="dxa"/>
              <w:right w:w="85" w:type="dxa"/>
            </w:tcMar>
            <w:tcBorders>
              <w:top w:val="single" w:sz="6" w:color="000000"/>
              <w:bottom w:val="single" w:sz="6" w:color="000000"/>
            </w:tcBorders>
          </w:tcPr>
          <w:p>
            <w:pPr>
              <w:spacing w:after="0" w:line="245" w:lineRule="auto"/>
            </w:pPr>
            <w:r>
              <w:rPr>
                <w:b/>
                <w:sz w:val="20"/>
              </w:rPr>
              <w:t>Model</w:t>
            </w:r>
          </w:p>
        </w:tc>
        <w:tc>
          <w:tcPr>
            <w:tcW w:type="dxa" w:w="1728"/>
            <w:tcMar>
              <w:top w:w="65" w:type="dxa"/>
              <w:bottom w:w="65" w:type="dxa"/>
              <w:left w:w="85" w:type="dxa"/>
              <w:right w:w="85" w:type="dxa"/>
            </w:tcMar>
            <w:tcBorders>
              <w:top w:val="single" w:sz="6" w:color="000000"/>
              <w:bottom w:val="single" w:sz="6" w:color="000000"/>
            </w:tcBorders>
          </w:tcPr>
          <w:p>
            <w:pPr>
              <w:spacing w:after="0" w:line="245" w:lineRule="auto"/>
            </w:pPr>
            <w:r>
              <w:rPr>
                <w:b/>
                <w:sz w:val="20"/>
              </w:rPr>
              <w:t>RMSE m³/s</w:t>
            </w:r>
          </w:p>
        </w:tc>
        <w:tc>
          <w:tcPr>
            <w:tcW w:type="dxa" w:w="1728"/>
            <w:tcMar>
              <w:top w:w="65" w:type="dxa"/>
              <w:bottom w:w="65" w:type="dxa"/>
              <w:left w:w="85" w:type="dxa"/>
              <w:right w:w="85" w:type="dxa"/>
            </w:tcMar>
            <w:tcBorders>
              <w:top w:val="single" w:sz="6" w:color="000000"/>
              <w:bottom w:val="single" w:sz="6" w:color="000000"/>
            </w:tcBorders>
          </w:tcPr>
          <w:p>
            <w:pPr>
              <w:spacing w:after="0" w:line="245" w:lineRule="auto"/>
            </w:pPr>
            <w:r>
              <w:rPr>
                <w:b/>
                <w:sz w:val="20"/>
              </w:rPr>
              <w:t>MAE m³/s</w:t>
            </w:r>
          </w:p>
        </w:tc>
        <w:tc>
          <w:tcPr>
            <w:tcW w:type="dxa" w:w="1296"/>
            <w:tcMar>
              <w:top w:w="65" w:type="dxa"/>
              <w:bottom w:w="65" w:type="dxa"/>
              <w:left w:w="85" w:type="dxa"/>
              <w:right w:w="85" w:type="dxa"/>
            </w:tcMar>
            <w:tcBorders>
              <w:top w:val="single" w:sz="6" w:color="000000"/>
              <w:bottom w:val="single" w:sz="6" w:color="000000"/>
            </w:tcBorders>
          </w:tcPr>
          <w:p>
            <w:pPr>
              <w:spacing w:after="0" w:line="245" w:lineRule="auto"/>
            </w:pPr>
            <w:r>
              <w:rPr>
                <w:b/>
                <w:sz w:val="20"/>
              </w:rPr>
              <w:t>NSE</w:t>
            </w:r>
          </w:p>
        </w:tc>
        <w:tc>
          <w:tcPr>
            <w:tcW w:type="dxa" w:w="2088"/>
            <w:tcMar>
              <w:top w:w="65" w:type="dxa"/>
              <w:bottom w:w="65" w:type="dxa"/>
              <w:left w:w="85" w:type="dxa"/>
              <w:right w:w="85" w:type="dxa"/>
            </w:tcMar>
            <w:tcBorders>
              <w:top w:val="single" w:sz="6" w:color="000000"/>
              <w:bottom w:val="single" w:sz="6" w:color="000000"/>
            </w:tcBorders>
          </w:tcPr>
          <w:p>
            <w:pPr>
              <w:spacing w:after="0" w:line="245" w:lineRule="auto"/>
            </w:pPr>
            <w:r>
              <w:rPr>
                <w:b/>
                <w:sz w:val="20"/>
              </w:rPr>
              <w:t>KGE</w:t>
            </w:r>
          </w:p>
        </w:tc>
      </w:tr>
      <w:tr>
        <w:trPr>
          <w:cantSplit/>
        </w:trPr>
        <w:tc>
          <w:tcPr>
            <w:tcW w:type="dxa" w:w="3240"/>
            <w:tcMar>
              <w:top w:w="65" w:type="dxa"/>
              <w:bottom w:w="65" w:type="dxa"/>
              <w:left w:w="85" w:type="dxa"/>
              <w:right w:w="85" w:type="dxa"/>
            </w:tcMar>
          </w:tcPr>
          <w:p>
            <w:pPr>
              <w:spacing w:after="0" w:line="245" w:lineRule="auto"/>
            </w:pPr>
            <w:r>
              <w:rPr>
                <w:b w:val="0"/>
                <w:sz w:val="20"/>
              </w:rPr>
              <w:t>Persistence</w:t>
            </w:r>
          </w:p>
        </w:tc>
        <w:tc>
          <w:tcPr>
            <w:tcW w:type="dxa" w:w="1728"/>
            <w:tcMar>
              <w:top w:w="65" w:type="dxa"/>
              <w:bottom w:w="65" w:type="dxa"/>
              <w:left w:w="85" w:type="dxa"/>
              <w:right w:w="85" w:type="dxa"/>
            </w:tcMar>
          </w:tcPr>
          <w:p>
            <w:pPr>
              <w:spacing w:after="0" w:line="245" w:lineRule="auto"/>
            </w:pPr>
            <w:r>
              <w:rPr>
                <w:b w:val="0"/>
                <w:sz w:val="20"/>
              </w:rPr>
              <w:t>145.79</w:t>
            </w:r>
          </w:p>
        </w:tc>
        <w:tc>
          <w:tcPr>
            <w:tcW w:type="dxa" w:w="1728"/>
            <w:tcMar>
              <w:top w:w="65" w:type="dxa"/>
              <w:bottom w:w="65" w:type="dxa"/>
              <w:left w:w="85" w:type="dxa"/>
              <w:right w:w="85" w:type="dxa"/>
            </w:tcMar>
          </w:tcPr>
          <w:p>
            <w:pPr>
              <w:spacing w:after="0" w:line="245" w:lineRule="auto"/>
            </w:pPr>
            <w:r>
              <w:rPr>
                <w:b w:val="0"/>
                <w:sz w:val="20"/>
              </w:rPr>
              <w:t>48.54</w:t>
            </w:r>
          </w:p>
        </w:tc>
        <w:tc>
          <w:tcPr>
            <w:tcW w:type="dxa" w:w="1296"/>
            <w:tcMar>
              <w:top w:w="65" w:type="dxa"/>
              <w:bottom w:w="65" w:type="dxa"/>
              <w:left w:w="85" w:type="dxa"/>
              <w:right w:w="85" w:type="dxa"/>
            </w:tcMar>
          </w:tcPr>
          <w:p>
            <w:pPr>
              <w:spacing w:after="0" w:line="245" w:lineRule="auto"/>
            </w:pPr>
            <w:r>
              <w:rPr>
                <w:b w:val="0"/>
                <w:sz w:val="20"/>
              </w:rPr>
              <w:t>0.7619</w:t>
            </w:r>
          </w:p>
        </w:tc>
        <w:tc>
          <w:tcPr>
            <w:tcW w:type="dxa" w:w="2088"/>
            <w:tcMar>
              <w:top w:w="65" w:type="dxa"/>
              <w:bottom w:w="65" w:type="dxa"/>
              <w:left w:w="85" w:type="dxa"/>
              <w:right w:w="85" w:type="dxa"/>
            </w:tcMar>
          </w:tcPr>
          <w:p>
            <w:pPr>
              <w:spacing w:after="0" w:line="245" w:lineRule="auto"/>
            </w:pPr>
            <w:r>
              <w:rPr>
                <w:b w:val="0"/>
                <w:sz w:val="20"/>
              </w:rPr>
              <w:t>0.8809</w:t>
            </w:r>
          </w:p>
        </w:tc>
      </w:tr>
      <w:tr>
        <w:trPr>
          <w:cantSplit/>
        </w:trPr>
        <w:tc>
          <w:tcPr>
            <w:tcW w:type="dxa" w:w="3240"/>
            <w:tcMar>
              <w:top w:w="65" w:type="dxa"/>
              <w:bottom w:w="65" w:type="dxa"/>
              <w:left w:w="85" w:type="dxa"/>
              <w:right w:w="85" w:type="dxa"/>
            </w:tcMar>
          </w:tcPr>
          <w:p>
            <w:pPr>
              <w:spacing w:after="0" w:line="245" w:lineRule="auto"/>
            </w:pPr>
            <w:r>
              <w:rPr>
                <w:b w:val="0"/>
                <w:sz w:val="20"/>
              </w:rPr>
              <w:t>LSTM</w:t>
            </w:r>
          </w:p>
        </w:tc>
        <w:tc>
          <w:tcPr>
            <w:tcW w:type="dxa" w:w="1728"/>
            <w:tcMar>
              <w:top w:w="65" w:type="dxa"/>
              <w:bottom w:w="65" w:type="dxa"/>
              <w:left w:w="85" w:type="dxa"/>
              <w:right w:w="85" w:type="dxa"/>
            </w:tcMar>
          </w:tcPr>
          <w:p>
            <w:pPr>
              <w:spacing w:after="0" w:line="245" w:lineRule="auto"/>
            </w:pPr>
            <w:r>
              <w:rPr>
                <w:b w:val="0"/>
                <w:sz w:val="20"/>
              </w:rPr>
              <w:t>121.31</w:t>
            </w:r>
          </w:p>
        </w:tc>
        <w:tc>
          <w:tcPr>
            <w:tcW w:type="dxa" w:w="1728"/>
            <w:tcMar>
              <w:top w:w="65" w:type="dxa"/>
              <w:bottom w:w="65" w:type="dxa"/>
              <w:left w:w="85" w:type="dxa"/>
              <w:right w:w="85" w:type="dxa"/>
            </w:tcMar>
          </w:tcPr>
          <w:p>
            <w:pPr>
              <w:spacing w:after="0" w:line="245" w:lineRule="auto"/>
            </w:pPr>
            <w:r>
              <w:rPr>
                <w:b w:val="0"/>
                <w:sz w:val="20"/>
              </w:rPr>
              <w:t>40.71</w:t>
            </w:r>
          </w:p>
        </w:tc>
        <w:tc>
          <w:tcPr>
            <w:tcW w:type="dxa" w:w="1296"/>
            <w:tcMar>
              <w:top w:w="65" w:type="dxa"/>
              <w:bottom w:w="65" w:type="dxa"/>
              <w:left w:w="85" w:type="dxa"/>
              <w:right w:w="85" w:type="dxa"/>
            </w:tcMar>
          </w:tcPr>
          <w:p>
            <w:pPr>
              <w:spacing w:after="0" w:line="245" w:lineRule="auto"/>
            </w:pPr>
            <w:r>
              <w:rPr>
                <w:b w:val="0"/>
                <w:sz w:val="20"/>
              </w:rPr>
              <w:t>0.8351</w:t>
            </w:r>
          </w:p>
        </w:tc>
        <w:tc>
          <w:tcPr>
            <w:tcW w:type="dxa" w:w="2088"/>
            <w:tcMar>
              <w:top w:w="65" w:type="dxa"/>
              <w:bottom w:w="65" w:type="dxa"/>
              <w:left w:w="85" w:type="dxa"/>
              <w:right w:w="85" w:type="dxa"/>
            </w:tcMar>
          </w:tcPr>
          <w:p>
            <w:pPr>
              <w:spacing w:after="0" w:line="245" w:lineRule="auto"/>
            </w:pPr>
            <w:r>
              <w:rPr>
                <w:b w:val="0"/>
                <w:sz w:val="20"/>
              </w:rPr>
              <w:t>0.9128</w:t>
            </w:r>
          </w:p>
        </w:tc>
      </w:tr>
      <w:tr>
        <w:trPr>
          <w:cantSplit/>
        </w:trPr>
        <w:tc>
          <w:tcPr>
            <w:tcW w:type="dxa" w:w="3240"/>
            <w:tcMar>
              <w:top w:w="65" w:type="dxa"/>
              <w:bottom w:w="65" w:type="dxa"/>
              <w:left w:w="85" w:type="dxa"/>
              <w:right w:w="85" w:type="dxa"/>
            </w:tcMar>
          </w:tcPr>
          <w:p>
            <w:pPr>
              <w:spacing w:after="0" w:line="245" w:lineRule="auto"/>
            </w:pPr>
            <w:r>
              <w:rPr>
                <w:b w:val="0"/>
                <w:sz w:val="20"/>
              </w:rPr>
              <w:t>Stacked LSTM</w:t>
            </w:r>
          </w:p>
        </w:tc>
        <w:tc>
          <w:tcPr>
            <w:tcW w:type="dxa" w:w="1728"/>
            <w:tcMar>
              <w:top w:w="65" w:type="dxa"/>
              <w:bottom w:w="65" w:type="dxa"/>
              <w:left w:w="85" w:type="dxa"/>
              <w:right w:w="85" w:type="dxa"/>
            </w:tcMar>
          </w:tcPr>
          <w:p>
            <w:pPr>
              <w:spacing w:after="0" w:line="245" w:lineRule="auto"/>
            </w:pPr>
            <w:r>
              <w:rPr>
                <w:b w:val="0"/>
                <w:sz w:val="20"/>
              </w:rPr>
              <w:t>111.22</w:t>
            </w:r>
          </w:p>
        </w:tc>
        <w:tc>
          <w:tcPr>
            <w:tcW w:type="dxa" w:w="1728"/>
            <w:tcMar>
              <w:top w:w="65" w:type="dxa"/>
              <w:bottom w:w="65" w:type="dxa"/>
              <w:left w:w="85" w:type="dxa"/>
              <w:right w:w="85" w:type="dxa"/>
            </w:tcMar>
          </w:tcPr>
          <w:p>
            <w:pPr>
              <w:spacing w:after="0" w:line="245" w:lineRule="auto"/>
            </w:pPr>
            <w:r>
              <w:rPr>
                <w:b w:val="0"/>
                <w:sz w:val="20"/>
              </w:rPr>
              <w:t>37.89</w:t>
            </w:r>
          </w:p>
        </w:tc>
        <w:tc>
          <w:tcPr>
            <w:tcW w:type="dxa" w:w="1296"/>
            <w:tcMar>
              <w:top w:w="65" w:type="dxa"/>
              <w:bottom w:w="65" w:type="dxa"/>
              <w:left w:w="85" w:type="dxa"/>
              <w:right w:w="85" w:type="dxa"/>
            </w:tcMar>
          </w:tcPr>
          <w:p>
            <w:pPr>
              <w:spacing w:after="0" w:line="245" w:lineRule="auto"/>
            </w:pPr>
            <w:r>
              <w:rPr>
                <w:b w:val="0"/>
                <w:sz w:val="20"/>
              </w:rPr>
              <w:t>0.8614</w:t>
            </w:r>
          </w:p>
        </w:tc>
        <w:tc>
          <w:tcPr>
            <w:tcW w:type="dxa" w:w="2088"/>
            <w:tcMar>
              <w:top w:w="65" w:type="dxa"/>
              <w:bottom w:w="65" w:type="dxa"/>
              <w:left w:w="85" w:type="dxa"/>
              <w:right w:w="85" w:type="dxa"/>
            </w:tcMar>
          </w:tcPr>
          <w:p>
            <w:pPr>
              <w:spacing w:after="0" w:line="245" w:lineRule="auto"/>
            </w:pPr>
            <w:r>
              <w:rPr>
                <w:b w:val="0"/>
                <w:sz w:val="20"/>
              </w:rPr>
              <w:t>0.9143</w:t>
            </w:r>
          </w:p>
        </w:tc>
      </w:tr>
      <w:tr>
        <w:trPr>
          <w:cantSplit/>
        </w:trPr>
        <w:tc>
          <w:tcPr>
            <w:tcW w:type="dxa" w:w="3240"/>
            <w:tcMar>
              <w:top w:w="65" w:type="dxa"/>
              <w:bottom w:w="65" w:type="dxa"/>
              <w:left w:w="85" w:type="dxa"/>
              <w:right w:w="85" w:type="dxa"/>
            </w:tcMar>
          </w:tcPr>
          <w:p>
            <w:pPr>
              <w:spacing w:after="0" w:line="245" w:lineRule="auto"/>
            </w:pPr>
            <w:r>
              <w:rPr>
                <w:b w:val="0"/>
                <w:sz w:val="20"/>
              </w:rPr>
              <w:t>Bidirectional LSTM</w:t>
            </w:r>
          </w:p>
        </w:tc>
        <w:tc>
          <w:tcPr>
            <w:tcW w:type="dxa" w:w="1728"/>
            <w:tcMar>
              <w:top w:w="65" w:type="dxa"/>
              <w:bottom w:w="65" w:type="dxa"/>
              <w:left w:w="85" w:type="dxa"/>
              <w:right w:w="85" w:type="dxa"/>
            </w:tcMar>
          </w:tcPr>
          <w:p>
            <w:pPr>
              <w:spacing w:after="0" w:line="245" w:lineRule="auto"/>
            </w:pPr>
            <w:r>
              <w:rPr>
                <w:b w:val="0"/>
                <w:sz w:val="20"/>
              </w:rPr>
              <w:t>121.57</w:t>
            </w:r>
          </w:p>
        </w:tc>
        <w:tc>
          <w:tcPr>
            <w:tcW w:type="dxa" w:w="1728"/>
            <w:tcMar>
              <w:top w:w="65" w:type="dxa"/>
              <w:bottom w:w="65" w:type="dxa"/>
              <w:left w:w="85" w:type="dxa"/>
              <w:right w:w="85" w:type="dxa"/>
            </w:tcMar>
          </w:tcPr>
          <w:p>
            <w:pPr>
              <w:spacing w:after="0" w:line="245" w:lineRule="auto"/>
            </w:pPr>
            <w:r>
              <w:rPr>
                <w:b w:val="0"/>
                <w:sz w:val="20"/>
              </w:rPr>
              <w:t>40.29</w:t>
            </w:r>
          </w:p>
        </w:tc>
        <w:tc>
          <w:tcPr>
            <w:tcW w:type="dxa" w:w="1296"/>
            <w:tcMar>
              <w:top w:w="65" w:type="dxa"/>
              <w:bottom w:w="65" w:type="dxa"/>
              <w:left w:w="85" w:type="dxa"/>
              <w:right w:w="85" w:type="dxa"/>
            </w:tcMar>
          </w:tcPr>
          <w:p>
            <w:pPr>
              <w:spacing w:after="0" w:line="245" w:lineRule="auto"/>
            </w:pPr>
            <w:r>
              <w:rPr>
                <w:b w:val="0"/>
                <w:sz w:val="20"/>
              </w:rPr>
              <w:t>0.8344</w:t>
            </w:r>
          </w:p>
        </w:tc>
        <w:tc>
          <w:tcPr>
            <w:tcW w:type="dxa" w:w="2088"/>
            <w:tcMar>
              <w:top w:w="65" w:type="dxa"/>
              <w:bottom w:w="65" w:type="dxa"/>
              <w:left w:w="85" w:type="dxa"/>
              <w:right w:w="85" w:type="dxa"/>
            </w:tcMar>
          </w:tcPr>
          <w:p>
            <w:pPr>
              <w:spacing w:after="0" w:line="245" w:lineRule="auto"/>
            </w:pPr>
            <w:r>
              <w:rPr>
                <w:b w:val="0"/>
                <w:sz w:val="20"/>
              </w:rPr>
              <w:t>0.9143</w:t>
            </w:r>
          </w:p>
        </w:tc>
      </w:tr>
      <w:tr>
        <w:trPr>
          <w:cantSplit/>
        </w:trPr>
        <w:tc>
          <w:tcPr>
            <w:tcW w:type="dxa" w:w="3240"/>
            <w:tcMar>
              <w:top w:w="65" w:type="dxa"/>
              <w:bottom w:w="65" w:type="dxa"/>
              <w:left w:w="85" w:type="dxa"/>
              <w:right w:w="85" w:type="dxa"/>
            </w:tcMar>
          </w:tcPr>
          <w:p>
            <w:pPr>
              <w:spacing w:after="0" w:line="245" w:lineRule="auto"/>
            </w:pPr>
            <w:r>
              <w:rPr>
                <w:b w:val="0"/>
                <w:sz w:val="20"/>
              </w:rPr>
              <w:t>Transformer</w:t>
            </w:r>
          </w:p>
        </w:tc>
        <w:tc>
          <w:tcPr>
            <w:tcW w:type="dxa" w:w="1728"/>
            <w:tcMar>
              <w:top w:w="65" w:type="dxa"/>
              <w:bottom w:w="65" w:type="dxa"/>
              <w:left w:w="85" w:type="dxa"/>
              <w:right w:w="85" w:type="dxa"/>
            </w:tcMar>
          </w:tcPr>
          <w:p>
            <w:pPr>
              <w:spacing w:after="0" w:line="245" w:lineRule="auto"/>
            </w:pPr>
            <w:r>
              <w:rPr>
                <w:b w:val="0"/>
                <w:sz w:val="20"/>
              </w:rPr>
              <w:t>116.79</w:t>
            </w:r>
          </w:p>
        </w:tc>
        <w:tc>
          <w:tcPr>
            <w:tcW w:type="dxa" w:w="1728"/>
            <w:tcMar>
              <w:top w:w="65" w:type="dxa"/>
              <w:bottom w:w="65" w:type="dxa"/>
              <w:left w:w="85" w:type="dxa"/>
              <w:right w:w="85" w:type="dxa"/>
            </w:tcMar>
          </w:tcPr>
          <w:p>
            <w:pPr>
              <w:spacing w:after="0" w:line="245" w:lineRule="auto"/>
            </w:pPr>
            <w:r>
              <w:rPr>
                <w:b w:val="0"/>
                <w:sz w:val="20"/>
              </w:rPr>
              <w:t>40.32</w:t>
            </w:r>
          </w:p>
        </w:tc>
        <w:tc>
          <w:tcPr>
            <w:tcW w:type="dxa" w:w="1296"/>
            <w:tcMar>
              <w:top w:w="65" w:type="dxa"/>
              <w:bottom w:w="65" w:type="dxa"/>
              <w:left w:w="85" w:type="dxa"/>
              <w:right w:w="85" w:type="dxa"/>
            </w:tcMar>
          </w:tcPr>
          <w:p>
            <w:pPr>
              <w:spacing w:after="0" w:line="245" w:lineRule="auto"/>
            </w:pPr>
            <w:r>
              <w:rPr>
                <w:b w:val="0"/>
                <w:sz w:val="20"/>
              </w:rPr>
              <w:t>0.8472</w:t>
            </w:r>
          </w:p>
        </w:tc>
        <w:tc>
          <w:tcPr>
            <w:tcW w:type="dxa" w:w="2088"/>
            <w:tcMar>
              <w:top w:w="65" w:type="dxa"/>
              <w:bottom w:w="65" w:type="dxa"/>
              <w:left w:w="85" w:type="dxa"/>
              <w:right w:w="85" w:type="dxa"/>
            </w:tcMar>
          </w:tcPr>
          <w:p>
            <w:pPr>
              <w:spacing w:after="0" w:line="245" w:lineRule="auto"/>
            </w:pPr>
            <w:r>
              <w:rPr>
                <w:b w:val="0"/>
                <w:sz w:val="20"/>
              </w:rPr>
              <w:t>0.9031</w:t>
            </w:r>
          </w:p>
        </w:tc>
      </w:tr>
      <w:tr>
        <w:trPr>
          <w:cantSplit/>
        </w:trPr>
        <w:tc>
          <w:tcPr>
            <w:tcW w:type="dxa" w:w="3240"/>
            <w:tcMar>
              <w:top w:w="65" w:type="dxa"/>
              <w:bottom w:w="65" w:type="dxa"/>
              <w:left w:w="85" w:type="dxa"/>
              <w:right w:w="85" w:type="dxa"/>
            </w:tcMar>
          </w:tcPr>
          <w:p>
            <w:pPr>
              <w:spacing w:after="0" w:line="245" w:lineRule="auto"/>
            </w:pPr>
            <w:r>
              <w:rPr>
                <w:b w:val="0"/>
                <w:sz w:val="20"/>
              </w:rPr>
              <w:t>Equal average</w:t>
            </w:r>
          </w:p>
        </w:tc>
        <w:tc>
          <w:tcPr>
            <w:tcW w:type="dxa" w:w="1728"/>
            <w:tcMar>
              <w:top w:w="65" w:type="dxa"/>
              <w:bottom w:w="65" w:type="dxa"/>
              <w:left w:w="85" w:type="dxa"/>
              <w:right w:w="85" w:type="dxa"/>
            </w:tcMar>
          </w:tcPr>
          <w:p>
            <w:pPr>
              <w:spacing w:after="0" w:line="245" w:lineRule="auto"/>
            </w:pPr>
            <w:r>
              <w:rPr>
                <w:b w:val="0"/>
                <w:sz w:val="20"/>
              </w:rPr>
              <w:t>115.14</w:t>
            </w:r>
          </w:p>
        </w:tc>
        <w:tc>
          <w:tcPr>
            <w:tcW w:type="dxa" w:w="1728"/>
            <w:tcMar>
              <w:top w:w="65" w:type="dxa"/>
              <w:bottom w:w="65" w:type="dxa"/>
              <w:left w:w="85" w:type="dxa"/>
              <w:right w:w="85" w:type="dxa"/>
            </w:tcMar>
          </w:tcPr>
          <w:p>
            <w:pPr>
              <w:spacing w:after="0" w:line="245" w:lineRule="auto"/>
            </w:pPr>
            <w:r>
              <w:rPr>
                <w:b w:val="0"/>
                <w:sz w:val="20"/>
              </w:rPr>
              <w:t>39.44</w:t>
            </w:r>
          </w:p>
        </w:tc>
        <w:tc>
          <w:tcPr>
            <w:tcW w:type="dxa" w:w="1296"/>
            <w:tcMar>
              <w:top w:w="65" w:type="dxa"/>
              <w:bottom w:w="65" w:type="dxa"/>
              <w:left w:w="85" w:type="dxa"/>
              <w:right w:w="85" w:type="dxa"/>
            </w:tcMar>
          </w:tcPr>
          <w:p>
            <w:pPr>
              <w:spacing w:after="0" w:line="245" w:lineRule="auto"/>
            </w:pPr>
            <w:r>
              <w:rPr>
                <w:b w:val="0"/>
                <w:sz w:val="20"/>
              </w:rPr>
              <w:t>0.8515</w:t>
            </w:r>
          </w:p>
        </w:tc>
        <w:tc>
          <w:tcPr>
            <w:tcW w:type="dxa" w:w="2088"/>
            <w:tcMar>
              <w:top w:w="65" w:type="dxa"/>
              <w:bottom w:w="65" w:type="dxa"/>
              <w:left w:w="85" w:type="dxa"/>
              <w:right w:w="85" w:type="dxa"/>
            </w:tcMar>
          </w:tcPr>
          <w:p>
            <w:pPr>
              <w:spacing w:after="0" w:line="245" w:lineRule="auto"/>
            </w:pPr>
            <w:r>
              <w:rPr>
                <w:b w:val="0"/>
                <w:sz w:val="20"/>
              </w:rPr>
              <w:t>0.9197</w:t>
            </w:r>
          </w:p>
        </w:tc>
      </w:tr>
      <w:tr>
        <w:trPr>
          <w:cantSplit/>
        </w:trPr>
        <w:tc>
          <w:tcPr>
            <w:tcW w:type="dxa" w:w="3240"/>
            <w:tcMar>
              <w:top w:w="65" w:type="dxa"/>
              <w:bottom w:w="65" w:type="dxa"/>
              <w:left w:w="85" w:type="dxa"/>
              <w:right w:w="85" w:type="dxa"/>
            </w:tcMar>
          </w:tcPr>
          <w:p>
            <w:pPr>
              <w:spacing w:after="0" w:line="245" w:lineRule="auto"/>
            </w:pPr>
            <w:r>
              <w:rPr>
                <w:b w:val="0"/>
                <w:sz w:val="20"/>
              </w:rPr>
              <w:t>BMA</w:t>
            </w:r>
          </w:p>
        </w:tc>
        <w:tc>
          <w:tcPr>
            <w:tcW w:type="dxa" w:w="1728"/>
            <w:tcMar>
              <w:top w:w="65" w:type="dxa"/>
              <w:bottom w:w="65" w:type="dxa"/>
              <w:left w:w="85" w:type="dxa"/>
              <w:right w:w="85" w:type="dxa"/>
            </w:tcMar>
          </w:tcPr>
          <w:p>
            <w:pPr>
              <w:spacing w:after="0" w:line="245" w:lineRule="auto"/>
            </w:pPr>
            <w:r>
              <w:rPr>
                <w:b w:val="0"/>
                <w:sz w:val="20"/>
              </w:rPr>
              <w:t>111.87</w:t>
            </w:r>
          </w:p>
        </w:tc>
        <w:tc>
          <w:tcPr>
            <w:tcW w:type="dxa" w:w="1728"/>
            <w:tcMar>
              <w:top w:w="65" w:type="dxa"/>
              <w:bottom w:w="65" w:type="dxa"/>
              <w:left w:w="85" w:type="dxa"/>
              <w:right w:w="85" w:type="dxa"/>
            </w:tcMar>
          </w:tcPr>
          <w:p>
            <w:pPr>
              <w:spacing w:after="0" w:line="245" w:lineRule="auto"/>
            </w:pPr>
            <w:r>
              <w:rPr>
                <w:b w:val="0"/>
                <w:sz w:val="20"/>
              </w:rPr>
              <w:t>37.79</w:t>
            </w:r>
          </w:p>
        </w:tc>
        <w:tc>
          <w:tcPr>
            <w:tcW w:type="dxa" w:w="1296"/>
            <w:tcMar>
              <w:top w:w="65" w:type="dxa"/>
              <w:bottom w:w="65" w:type="dxa"/>
              <w:left w:w="85" w:type="dxa"/>
              <w:right w:w="85" w:type="dxa"/>
            </w:tcMar>
          </w:tcPr>
          <w:p>
            <w:pPr>
              <w:spacing w:after="0" w:line="245" w:lineRule="auto"/>
            </w:pPr>
            <w:r>
              <w:rPr>
                <w:b w:val="0"/>
                <w:sz w:val="20"/>
              </w:rPr>
              <w:t>0.8598</w:t>
            </w:r>
          </w:p>
        </w:tc>
        <w:tc>
          <w:tcPr>
            <w:tcW w:type="dxa" w:w="2088"/>
            <w:tcMar>
              <w:top w:w="65" w:type="dxa"/>
              <w:bottom w:w="65" w:type="dxa"/>
              <w:left w:w="85" w:type="dxa"/>
              <w:right w:w="85" w:type="dxa"/>
            </w:tcMar>
          </w:tcPr>
          <w:p>
            <w:pPr>
              <w:spacing w:after="0" w:line="245" w:lineRule="auto"/>
            </w:pPr>
            <w:r>
              <w:rPr>
                <w:b w:val="0"/>
                <w:sz w:val="20"/>
              </w:rPr>
              <w:t>0.9160</w:t>
            </w:r>
          </w:p>
        </w:tc>
      </w:tr>
    </w:tbl>
    <w:p>
      <w:r>
        <w:t>Stacked LSTM had the lowest RMSE; BMA had the lowest MAE; equal averaging had the highest KGE. BMA’s 90% interval covered 92.97% of test observations, with mean width 156.39 m³/s. These are single-station, single-seed results. BMA is a calibrated forecast mixture, not a posterior over neural-network parameters.</w:t>
      </w:r>
    </w:p>
    <w:p>
      <w:r>
        <w:br w:type="page"/>
      </w:r>
    </w:p>
    <w:p>
      <w:pPr>
        <w:pStyle w:val="Heading1"/>
      </w:pPr>
      <w:r>
        <w:t>Satellite and decision support modules implemented</w:t>
      </w:r>
    </w:p>
    <w:p>
      <w:r>
        <w:t>The prototype follows an observation → state → decision workflow. The screenshot tutorials informed the module selection; the implementations are independent baselines, not claimed reproductions of unseen video code.</w:t>
      </w:r>
    </w:p>
    <w:p>
      <w:r>
        <w:rPr>
          <w:b/>
        </w:rPr>
        <w:t xml:space="preserve">Rice and paddy mapping. </w:t>
      </w:r>
      <w:r>
        <w:t>Sentinel-1 VV/VH monthly features, training-only imputation and a random forest classifier. Spatial groups are separated between training and evaluation. Outputs include probabilities, F1, balanced accuracy, average precision, Brier score and a confusion matrix. Independent crop labels are still needed.</w:t>
      </w:r>
    </w:p>
    <w:p>
      <w:r>
        <w:rPr>
          <w:b/>
        </w:rPr>
        <w:t xml:space="preserve">Surface wetness. </w:t>
      </w:r>
      <w:r>
        <w:t>MODIS NDVI and land-surface temperature quality checks, scaling and composite matching support a thermal–optical trapezoid model (TOTRAM). Scene-specific wet/dry edges use conditional quantiles; unsupported scenes and out-of-range estimates are flagged. The result is a relative surface index requiring calibration before any volumetric or root-zone interpretation.</w:t>
      </w:r>
    </w:p>
    <w:p>
      <w:r>
        <w:rPr>
          <w:b/>
        </w:rPr>
        <w:t xml:space="preserve">Flood and slope change. </w:t>
      </w:r>
      <w:r>
        <w:t>Same-orbit before/after Sentinel-1 comparisons provide flood-darkening and terrain-masked slope-change candidates. Persistent-water, slope and connected-component filters are included. These layers require independent event validation; slope-change candidates are not confirmed landslides or displacement measurements.</w:t>
      </w:r>
    </w:p>
    <w:p>
      <w:r>
        <w:rPr>
          <w:b/>
        </w:rPr>
        <w:t xml:space="preserve">Turbidity monitoring. </w:t>
      </w:r>
      <w:r>
        <w:t>Cloud-screened optical water pixels support a normalized difference turbidity index (NDTI). Conversion to NTU or suspended-solids concentration needs paired local measurements. No automatic water-use restriction is assigned from the index.</w:t>
      </w:r>
    </w:p>
    <w:p>
      <w:r>
        <w:rPr>
          <w:b/>
        </w:rPr>
        <w:t xml:space="preserve">Observation availability. </w:t>
      </w:r>
      <w:r>
        <w:t>The state tracks management unit, variable, observation-support end, release time and source. Future, stale and ambiguous observations are rejected. Missing crop or wetness inputs trigger abstention. Historical satellite release times remain unverified.</w:t>
      </w:r>
    </w:p>
    <w:p>
      <w:r>
        <w:rPr>
          <w:b/>
        </w:rPr>
        <w:t xml:space="preserve">Allocation and water balance. </w:t>
      </w:r>
      <w:r>
        <w:t>Crop fraction and wetness drive hypothetical demand. Forecast supply quantiles, an environmental reserve and an abstraction cap constrain proportional allocations. Optional hazard observations create review flags. A bounded storage bucket conserves water and limits evapotranspiration to available water.</w:t>
      </w:r>
    </w:p>
    <w:p>
      <w:pPr>
        <w:pStyle w:val="Heading1"/>
      </w:pPr>
      <w:r>
        <w:t>Software verification and saved deliverables</w:t>
      </w:r>
    </w:p>
    <w:p>
      <w:r>
        <w:t>The recorded validation on 27 October reports 28 passing tests. Rice and moisture command-line pipelines passed end-to-end checks using synthetic fixtures, and both Earth Engine scripts passed JavaScript syntax checks. These verify software behavior; the scripts have not been executed remotely against Earth Engine.</w:t>
      </w:r>
    </w:p>
    <w:p>
      <w:r>
        <w:t>Saved work includes observation and twin modules, satellite pipeline commands, Earth Engine export scripts, model checkpoints, forecasts, metrics, dependency locks, data manifests, input hashes and a decision-tradeoff figure. The working LaTeX manuscript was compiled successfully and contains the methods, exploratory results, references and validation plan.</w:t>
      </w:r>
    </w:p>
    <w:p>
      <w:pPr>
        <w:pStyle w:val="Caption"/>
      </w:pPr>
      <w:r>
        <w:t>Core files: src/hydrology/{remote_sensing,twin,satellite_pipeline,decision_replay}.py; earth_engine/{export_observations,event_screening}.js; docs/digital_twin.md; paper/river_basin_digital_twin/main.tex.</w:t>
      </w:r>
    </w:p>
    <w:p>
      <w:r>
        <w:br w:type="page"/>
      </w:r>
    </w:p>
    <w:p>
      <w:pPr>
        <w:pStyle w:val="Heading1"/>
      </w:pPr>
      <w:r>
        <w:t>Exploratory allocation replay</w:t>
      </w:r>
    </w:p>
    <w:p>
      <w:r>
        <w:t>We replayed the 2,192 saved flow forecasts using hypothetical total demand of 3 million m³/day across three units, a 20 m³/s environmental reserve and a 10% diversion cap above the reserve. Forecasts determine planned allocation; observed flow is used afterward to evaluate feasible delivery. No satellite observations enter this replay.</w:t>
      </w:r>
    </w:p>
    <w:tbl>
      <w:tblPr>
        <w:tblW w:type="auto" w:w="0"/>
        <w:tblLayout w:type="fixed"/>
        <w:tblLook w:firstColumn="1" w:firstRow="1" w:lastColumn="0" w:lastRow="0" w:noHBand="0" w:noVBand="1" w:val="04A0"/>
      </w:tblPr>
      <w:tblGrid>
        <w:gridCol w:w="2376"/>
        <w:gridCol w:w="2376"/>
        <w:gridCol w:w="2808"/>
        <w:gridCol w:w="2520"/>
      </w:tblGrid>
      <w:tr>
        <w:trPr>
          <w:tblHeader/>
          <w:cantSplit/>
        </w:trPr>
        <w:tc>
          <w:tcPr>
            <w:tcW w:type="dxa" w:w="2376"/>
            <w:tcMar>
              <w:top w:w="65" w:type="dxa"/>
              <w:bottom w:w="65" w:type="dxa"/>
              <w:left w:w="85" w:type="dxa"/>
              <w:right w:w="85" w:type="dxa"/>
            </w:tcMar>
            <w:tcBorders>
              <w:top w:val="single" w:sz="6" w:color="000000"/>
              <w:bottom w:val="single" w:sz="6" w:color="000000"/>
            </w:tcBorders>
          </w:tcPr>
          <w:p>
            <w:pPr>
              <w:spacing w:after="0" w:line="245" w:lineRule="auto"/>
            </w:pPr>
            <w:r>
              <w:rPr>
                <w:b/>
                <w:sz w:val="20"/>
              </w:rPr>
              <w:t>Policy</w:t>
            </w:r>
          </w:p>
        </w:tc>
        <w:tc>
          <w:tcPr>
            <w:tcW w:type="dxa" w:w="2376"/>
            <w:tcMar>
              <w:top w:w="65" w:type="dxa"/>
              <w:bottom w:w="65" w:type="dxa"/>
              <w:left w:w="85" w:type="dxa"/>
              <w:right w:w="85" w:type="dxa"/>
            </w:tcMar>
            <w:tcBorders>
              <w:top w:val="single" w:sz="6" w:color="000000"/>
              <w:bottom w:val="single" w:sz="6" w:color="000000"/>
            </w:tcBorders>
          </w:tcPr>
          <w:p>
            <w:pPr>
              <w:spacing w:after="0" w:line="245" w:lineRule="auto"/>
            </w:pPr>
            <w:r>
              <w:rPr>
                <w:b/>
                <w:sz w:val="20"/>
              </w:rPr>
              <w:t>Overcommitment days</w:t>
            </w:r>
          </w:p>
        </w:tc>
        <w:tc>
          <w:tcPr>
            <w:tcW w:type="dxa" w:w="2808"/>
            <w:tcMar>
              <w:top w:w="65" w:type="dxa"/>
              <w:bottom w:w="65" w:type="dxa"/>
              <w:left w:w="85" w:type="dxa"/>
              <w:right w:w="85" w:type="dxa"/>
            </w:tcMar>
            <w:tcBorders>
              <w:top w:val="single" w:sz="6" w:color="000000"/>
              <w:bottom w:val="single" w:sz="6" w:color="000000"/>
            </w:tcBorders>
          </w:tcPr>
          <w:p>
            <w:pPr>
              <w:spacing w:after="0" w:line="245" w:lineRule="auto"/>
            </w:pPr>
            <w:r>
              <w:rPr>
                <w:b/>
                <w:sz w:val="20"/>
              </w:rPr>
              <w:t>Unmet demand million m³/day</w:t>
            </w:r>
          </w:p>
        </w:tc>
        <w:tc>
          <w:tcPr>
            <w:tcW w:type="dxa" w:w="2520"/>
            <w:tcMar>
              <w:top w:w="65" w:type="dxa"/>
              <w:bottom w:w="65" w:type="dxa"/>
              <w:left w:w="85" w:type="dxa"/>
              <w:right w:w="85" w:type="dxa"/>
            </w:tcMar>
            <w:tcBorders>
              <w:top w:val="single" w:sz="6" w:color="000000"/>
              <w:bottom w:val="single" w:sz="6" w:color="000000"/>
            </w:tcBorders>
          </w:tcPr>
          <w:p>
            <w:pPr>
              <w:spacing w:after="0" w:line="245" w:lineRule="auto"/>
            </w:pPr>
            <w:r>
              <w:rPr>
                <w:b/>
                <w:sz w:val="20"/>
              </w:rPr>
              <w:t>Overcommitment m³/day</w:t>
            </w:r>
          </w:p>
        </w:tc>
      </w:tr>
      <w:tr>
        <w:trPr>
          <w:cantSplit/>
        </w:trPr>
        <w:tc>
          <w:tcPr>
            <w:tcW w:type="dxa" w:w="2376"/>
            <w:tcMar>
              <w:top w:w="65" w:type="dxa"/>
              <w:bottom w:w="65" w:type="dxa"/>
              <w:left w:w="85" w:type="dxa"/>
              <w:right w:w="85" w:type="dxa"/>
            </w:tcMar>
          </w:tcPr>
          <w:p>
            <w:pPr>
              <w:spacing w:after="0" w:line="245" w:lineRule="auto"/>
            </w:pPr>
            <w:r>
              <w:rPr>
                <w:b w:val="0"/>
                <w:sz w:val="20"/>
              </w:rPr>
              <w:t>Persistence</w:t>
            </w:r>
          </w:p>
        </w:tc>
        <w:tc>
          <w:tcPr>
            <w:tcW w:type="dxa" w:w="2376"/>
            <w:tcMar>
              <w:top w:w="65" w:type="dxa"/>
              <w:bottom w:w="65" w:type="dxa"/>
              <w:left w:w="85" w:type="dxa"/>
              <w:right w:w="85" w:type="dxa"/>
            </w:tcMar>
          </w:tcPr>
          <w:p>
            <w:pPr>
              <w:spacing w:after="0" w:line="245" w:lineRule="auto"/>
            </w:pPr>
            <w:r>
              <w:rPr>
                <w:b w:val="0"/>
                <w:sz w:val="20"/>
              </w:rPr>
              <w:t>54.47%</w:t>
            </w:r>
          </w:p>
        </w:tc>
        <w:tc>
          <w:tcPr>
            <w:tcW w:type="dxa" w:w="2808"/>
            <w:tcMar>
              <w:top w:w="65" w:type="dxa"/>
              <w:bottom w:w="65" w:type="dxa"/>
              <w:left w:w="85" w:type="dxa"/>
              <w:right w:w="85" w:type="dxa"/>
            </w:tcMar>
          </w:tcPr>
          <w:p>
            <w:pPr>
              <w:spacing w:after="0" w:line="245" w:lineRule="auto"/>
            </w:pPr>
            <w:r>
              <w:rPr>
                <w:b w:val="0"/>
                <w:sz w:val="20"/>
              </w:rPr>
              <w:t>1.5893</w:t>
            </w:r>
          </w:p>
        </w:tc>
        <w:tc>
          <w:tcPr>
            <w:tcW w:type="dxa" w:w="2520"/>
            <w:tcMar>
              <w:top w:w="65" w:type="dxa"/>
              <w:bottom w:w="65" w:type="dxa"/>
              <w:left w:w="85" w:type="dxa"/>
              <w:right w:w="85" w:type="dxa"/>
            </w:tcMar>
          </w:tcPr>
          <w:p>
            <w:pPr>
              <w:spacing w:after="0" w:line="245" w:lineRule="auto"/>
            </w:pPr>
            <w:r>
              <w:rPr>
                <w:b w:val="0"/>
                <w:sz w:val="20"/>
              </w:rPr>
              <w:t>63,317</w:t>
            </w:r>
          </w:p>
        </w:tc>
      </w:tr>
      <w:tr>
        <w:trPr>
          <w:cantSplit/>
        </w:trPr>
        <w:tc>
          <w:tcPr>
            <w:tcW w:type="dxa" w:w="2376"/>
            <w:tcMar>
              <w:top w:w="65" w:type="dxa"/>
              <w:bottom w:w="65" w:type="dxa"/>
              <w:left w:w="85" w:type="dxa"/>
              <w:right w:w="85" w:type="dxa"/>
            </w:tcMar>
          </w:tcPr>
          <w:p>
            <w:pPr>
              <w:spacing w:after="0" w:line="245" w:lineRule="auto"/>
            </w:pPr>
            <w:r>
              <w:rPr>
                <w:b w:val="0"/>
                <w:sz w:val="20"/>
              </w:rPr>
              <w:t>BMA mean</w:t>
            </w:r>
          </w:p>
        </w:tc>
        <w:tc>
          <w:tcPr>
            <w:tcW w:type="dxa" w:w="2376"/>
            <w:tcMar>
              <w:top w:w="65" w:type="dxa"/>
              <w:bottom w:w="65" w:type="dxa"/>
              <w:left w:w="85" w:type="dxa"/>
              <w:right w:w="85" w:type="dxa"/>
            </w:tcMar>
          </w:tcPr>
          <w:p>
            <w:pPr>
              <w:spacing w:after="0" w:line="245" w:lineRule="auto"/>
            </w:pPr>
            <w:r>
              <w:rPr>
                <w:b w:val="0"/>
                <w:sz w:val="20"/>
              </w:rPr>
              <w:t>63.55%</w:t>
            </w:r>
          </w:p>
        </w:tc>
        <w:tc>
          <w:tcPr>
            <w:tcW w:type="dxa" w:w="2808"/>
            <w:tcMar>
              <w:top w:w="65" w:type="dxa"/>
              <w:bottom w:w="65" w:type="dxa"/>
              <w:left w:w="85" w:type="dxa"/>
              <w:right w:w="85" w:type="dxa"/>
            </w:tcMar>
          </w:tcPr>
          <w:p>
            <w:pPr>
              <w:spacing w:after="0" w:line="245" w:lineRule="auto"/>
            </w:pPr>
            <w:r>
              <w:rPr>
                <w:b w:val="0"/>
                <w:sz w:val="20"/>
              </w:rPr>
              <w:t>1.5688</w:t>
            </w:r>
          </w:p>
        </w:tc>
        <w:tc>
          <w:tcPr>
            <w:tcW w:type="dxa" w:w="2520"/>
            <w:tcMar>
              <w:top w:w="65" w:type="dxa"/>
              <w:bottom w:w="65" w:type="dxa"/>
              <w:left w:w="85" w:type="dxa"/>
              <w:right w:w="85" w:type="dxa"/>
            </w:tcMar>
          </w:tcPr>
          <w:p>
            <w:pPr>
              <w:spacing w:after="0" w:line="245" w:lineRule="auto"/>
            </w:pPr>
            <w:r>
              <w:rPr>
                <w:b w:val="0"/>
                <w:sz w:val="20"/>
              </w:rPr>
              <w:t>78,526</w:t>
            </w:r>
          </w:p>
        </w:tc>
      </w:tr>
      <w:tr>
        <w:trPr>
          <w:cantSplit/>
        </w:trPr>
        <w:tc>
          <w:tcPr>
            <w:tcW w:type="dxa" w:w="2376"/>
            <w:tcMar>
              <w:top w:w="65" w:type="dxa"/>
              <w:bottom w:w="65" w:type="dxa"/>
              <w:left w:w="85" w:type="dxa"/>
              <w:right w:w="85" w:type="dxa"/>
            </w:tcMar>
          </w:tcPr>
          <w:p>
            <w:pPr>
              <w:spacing w:after="0" w:line="245" w:lineRule="auto"/>
            </w:pPr>
            <w:r>
              <w:rPr>
                <w:b w:val="0"/>
                <w:sz w:val="20"/>
              </w:rPr>
              <w:t>BMA 5th percentile</w:t>
            </w:r>
          </w:p>
        </w:tc>
        <w:tc>
          <w:tcPr>
            <w:tcW w:type="dxa" w:w="2376"/>
            <w:tcMar>
              <w:top w:w="65" w:type="dxa"/>
              <w:bottom w:w="65" w:type="dxa"/>
              <w:left w:w="85" w:type="dxa"/>
              <w:right w:w="85" w:type="dxa"/>
            </w:tcMar>
          </w:tcPr>
          <w:p>
            <w:pPr>
              <w:spacing w:after="0" w:line="245" w:lineRule="auto"/>
            </w:pPr>
            <w:r>
              <w:rPr>
                <w:b w:val="0"/>
                <w:sz w:val="20"/>
              </w:rPr>
              <w:t>1.46%</w:t>
            </w:r>
          </w:p>
        </w:tc>
        <w:tc>
          <w:tcPr>
            <w:tcW w:type="dxa" w:w="2808"/>
            <w:tcMar>
              <w:top w:w="65" w:type="dxa"/>
              <w:bottom w:w="65" w:type="dxa"/>
              <w:left w:w="85" w:type="dxa"/>
              <w:right w:w="85" w:type="dxa"/>
            </w:tcMar>
          </w:tcPr>
          <w:p>
            <w:pPr>
              <w:spacing w:after="0" w:line="245" w:lineRule="auto"/>
            </w:pPr>
            <w:r>
              <w:rPr>
                <w:b w:val="0"/>
                <w:sz w:val="20"/>
              </w:rPr>
              <w:t>1.8381</w:t>
            </w:r>
          </w:p>
        </w:tc>
        <w:tc>
          <w:tcPr>
            <w:tcW w:type="dxa" w:w="2520"/>
            <w:tcMar>
              <w:top w:w="65" w:type="dxa"/>
              <w:bottom w:w="65" w:type="dxa"/>
              <w:left w:w="85" w:type="dxa"/>
              <w:right w:w="85" w:type="dxa"/>
            </w:tcMar>
          </w:tcPr>
          <w:p>
            <w:pPr>
              <w:spacing w:after="0" w:line="245" w:lineRule="auto"/>
            </w:pPr>
            <w:r>
              <w:rPr>
                <w:b w:val="0"/>
                <w:sz w:val="20"/>
              </w:rPr>
              <w:t>2,717</w:t>
            </w:r>
          </w:p>
        </w:tc>
      </w:tr>
    </w:tbl>
    <w:p>
      <w:r>
        <w:t>Lower-tail planning sharply reduced supply overcommitment but increased unmet demand. This demonstrates a decision tradeoff under the stated scenario, rather than measured water savings or satellite benefit. The demand and reserve assumptions are not calibrated basin policy.</w:t>
      </w:r>
    </w:p>
    <w:p>
      <w:pPr>
        <w:pStyle w:val="Heading1"/>
      </w:pPr>
      <w:r>
        <w:t>Work remaining to establish the contribution</w:t>
      </w:r>
    </w:p>
    <w:p>
      <w:r>
        <w:t>First, choose a verified agricultural basin boundary and obtain authorized Earth Engine exports, independent rice labels and matched surface-moisture measurements. Flood and slope-change layers need dated reference inventories; turbidity needs paired measurements. Preserve acquisition support, release times, spatial footprints and provenance.</w:t>
      </w:r>
    </w:p>
    <w:p>
      <w:r>
        <w:t>Next, compare full information with flow-only, fixed-crop and no-wetness variants. Test additional 3, 7, 14 and 30-day delays, structured missingness, calibrated observation errors and multiple seeds. Hold out spatial blocks, seasons and catchments; use paired hydrological block-bootstrap intervals and new untouched evaluation data.</w:t>
      </w:r>
    </w:p>
    <w:p>
      <w:r>
        <w:t>The distinctive research objective is to measure when satellite information improves decisions and when the system should abstain. Report shortages, overcommitment, reserve violations, allocation distribution and regret. Routing, reservoirs, groundwater, calibrated crop demand and operational deployment remain outside the current implementation.</w:t>
      </w:r>
    </w:p>
    <w:p>
      <w:pPr>
        <w:pStyle w:val="Heading1"/>
      </w:pPr>
      <w:r>
        <w:t>Publication planning</w:t>
      </w:r>
    </w:p>
    <w:p>
      <w:r>
        <w:t>We shortlisted online conferences: IOCGM2027 on 17–18 March 2027, with abstracts due 20 November 2026; IOCAGE2027 on 1–3 February, due 2 November 2026; and EGU2027 on 4–9 April, due 12 January 2027. IOCGM and IOCAGE advertise free participation and separately reviewed free proceedings routes. EGU offers undergraduate/master’s virtual-registration waivers, with membership and abstract charges separate. No submission has been made.</w:t>
      </w:r>
    </w:p>
    <w:p>
      <w:pPr>
        <w:pStyle w:val="Heading1"/>
      </w:pPr>
      <w:r>
        <w:t>Evidence and source record</w:t>
      </w:r>
    </w:p>
    <w:p>
      <w:pPr>
        <w:pStyle w:val="Caption"/>
      </w:pPr>
      <w:r>
        <w:t>Local evidence: docs/datasets.md; docs/first_experiment.md; docs/digital_twin.md; results/baseline_seed42/metrics.json; and results/decision_replay_20261027/{report,implementation_validation}.json. Files are under phosphorus_wetlands_datasets/Hydrology_Institute-project.</w:t>
      </w:r>
    </w:p>
    <w:p>
      <w:pPr>
        <w:pStyle w:val="Caption"/>
      </w:pPr>
      <w:r>
        <w:t>Scientific references and official dataset links are recorded in the manuscript and protocol, including Yang et al. (2024), DOI 10.1038/s44304-024-00047-2; USGS; Google Earth Engine; and UN-SPIDER. Conference pages checked on 27 October: sciforum.net/event/IOCGM2027, sciforum.net/event/IOCAGE2027 and egu27.eu.</w:t>
      </w:r>
    </w:p>
    <w:sectPr w:rsidR="00FC693F" w:rsidRPr="0006063C" w:rsidSect="00034616">
      <w:footerReference w:type="default" r:id="rId9"/>
      <w:pgSz w:w="12240" w:h="15840"/>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 resources research progress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0" w:lineRule="auto"/>
    </w:pPr>
    <w:rPr>
      <w:rFonts w:ascii="Arial" w:hAnsi="Arial"/>
      <w:color w:val="000000"/>
      <w:sz w:val="22"/>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120" w:line="250" w:lineRule="auto"/>
    </w:pPr>
    <w:rPr>
      <w:rFonts w:ascii="Arial" w:hAnsi="Arial"/>
      <w:color w:val="000000"/>
      <w:sz w:val="22"/>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0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40" w:line="25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0"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50" w:lineRule="auto" w:after="120"/>
    </w:pPr>
    <w:rPr>
      <w:rFonts w:ascii="Arial" w:hAnsi="Arial"/>
      <w:b/>
      <w:bCs/>
      <w:color w:val="000000"/>
      <w:sz w:val="22"/>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 Basin Digital Twin Research Progress Report</dc:title>
  <dc:subject>Work completed through 27 October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