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332B2">
      <w:pPr>
        <w:spacing w:line="360" w:lineRule="auto"/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I.</w:t>
      </w:r>
      <w:r>
        <w:rPr>
          <w:rFonts w:hint="eastAsia"/>
          <w:sz w:val="32"/>
          <w:szCs w:val="40"/>
          <w:lang w:val="en-US" w:eastAsia="zh-CN"/>
        </w:rPr>
        <w:t>烯烃复分解反应周小结</w:t>
      </w:r>
    </w:p>
    <w:p w14:paraId="01CB5768">
      <w:pPr>
        <w:spacing w:line="360" w:lineRule="auto"/>
        <w:jc w:val="righ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张嵩仁 2400011765</w:t>
      </w:r>
    </w:p>
    <w:p w14:paraId="19DD5713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黄晨星 2400011775</w:t>
      </w:r>
    </w:p>
    <w:p w14:paraId="3FDD1173"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本实验采取以下路线(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Scheme 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)进行烯烃复分解反应。本路线以4-甲氧基苯甲醛及3,5-二甲氧基苯甲醛为原料，二者先分别经过Wittig反应合成4-甲氧基苯乙烯与3,5-二甲氧基苯乙烯，两产物再通过Grubbs II催化剂催化发生烯烃复分解反应，生成三种甲氧基取代的二苯乙烯衍生物，其中一种为两烯烃进行交叉复分解所生成的产物，另外两种为烯烃分别自复分解所生成的产物。</w:t>
      </w:r>
    </w:p>
    <w:p w14:paraId="3179C98E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578475" cy="22529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Scheme 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Synthesis of methoxy-substituted stilbene derivatives via olefin metathesis</w:t>
      </w:r>
    </w:p>
    <w:p w14:paraId="3EC7EB9E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以下内容为本实验每周情况汇总小结。</w:t>
      </w:r>
    </w:p>
    <w:p w14:paraId="5094321C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074084F1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6A82F51D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1A43079B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18ED15F0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305CC9B6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5B684C26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404232F0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52107579"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 w14:paraId="1971312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 w14:paraId="48710B5E">
      <w:pPr>
        <w:spacing w:line="360" w:lineRule="auto"/>
        <w:jc w:val="center"/>
        <w:rPr>
          <w:rFonts w:hint="eastAsia" w:ascii="Times New Roman" w:hAnsi="Times New Roman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40"/>
          <w:lang w:val="en-US" w:eastAsia="zh-CN"/>
        </w:rPr>
        <w:t>第一周周小结</w:t>
      </w:r>
    </w:p>
    <w:p w14:paraId="3D673AC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一、实验内容</w:t>
      </w:r>
    </w:p>
    <w:p w14:paraId="742D06F8">
      <w:p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分为两组分别对两原料醛进行Wittig反应，生成对应的甲氧基取代的苯乙烯衍生物，反应式见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1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。</w:t>
      </w:r>
    </w:p>
    <w:p w14:paraId="7E21624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注：A组（张嵩仁）进行的反应为：4-甲氧基苯甲醛发生Wittig反应生成4-甲氧基苯乙烯。B组（黄晨星）进行的反应为：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5-二甲氧基苯甲醛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发生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Wittig反应生成3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5-二甲氧基苯乙烯。</w:t>
      </w:r>
    </w:p>
    <w:p w14:paraId="544BC777"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024505" cy="19792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817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DF7D">
      <w:pPr>
        <w:spacing w:line="360" w:lineRule="auto"/>
        <w:ind w:firstLine="420" w:firstLineChars="0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Preparation of methoxylated styrene derivatives utilizing Wittig olefination</w:t>
      </w:r>
    </w:p>
    <w:p w14:paraId="6FD69EF9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实验步骤与实验现象</w:t>
      </w:r>
    </w:p>
    <w:p w14:paraId="26F85B59">
      <w:pPr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Ref: Janna, V.; Stefanie, R.; Johann, L.; Hans-Günther, S.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Synthesis.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2006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, 273-278.</w:t>
      </w:r>
    </w:p>
    <w:p w14:paraId="174901D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A组：</w:t>
      </w:r>
    </w:p>
    <w:p w14:paraId="2D9BDEEC"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将甲基三苯基溴化膦 (6.21 g, 17.4 mmol)、t-BuOK (1.95 g, 17.4 mmol) 加入100 mL三颈烧瓶（装有带翻口塞的10 mL恒压滴液漏斗），氮气保护。于12:09通过翻口塞用注射器加入20 mL无水氯化钙干燥过的THF（滴入时已显黄色），加入后下层为固体，上层为浅黄色溶液。磁子搅拌，液体瞬间变为亮黄色，且呈均匀浆状。再继续搅拌3 min至12:12。</w:t>
      </w:r>
    </w:p>
    <w:p w14:paraId="44C65652"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通过翻口塞加入4-甲氧基苯甲醛 (1.91 g, 14 mmol, 事先溶于8 mL THF) , 于12:20始缓慢滴加，过程中溶液颜色逐渐变浅。加至醛的最后部分，直到12:25时体系黄色快速变浅，最终变为米白色，停止滴加醛。于12:26向体系内滴入丙酮淬灭磷叶立德，直到12:27体系变为纯白色，停止滴加。</w:t>
      </w:r>
    </w:p>
    <w:p w14:paraId="3B7A3158"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12:50-13:00减压至0.04 MPa加热旋蒸除去丙酮与THF，后体系内逐渐产生黄白色沉淀，加入10 mL石油醚。使用12:1的石油醚-乙酸乙酯溶液作为展开剂与原料的4-甲氧基苯甲醛共同进行薄板层析，结果见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Figure 2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(a)(已适当调整了板面的长度与宽度，为使观察便利，展开剂前沿的位置已按比例调整)。</w:t>
      </w:r>
    </w:p>
    <w:p w14:paraId="36188FD4"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20 g硅胶H-石油醚湿法装柱，以10:1的石油醚-乙酸乙酯溶液洗脱，并以12:1的石油醚-乙酸乙酯溶液作为展开剂进行薄板层析监测(见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Figure 2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(b))(已适当调整了板面的长度与宽度，为使观察便利，展开剂前沿的位置已按比例调整，未绘制部分均为空白样)，收集得第19-23管纯品产物溶液约15 mL。</w:t>
      </w:r>
    </w:p>
    <w:p w14:paraId="70F25D79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55895" cy="318706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3382"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Figure 2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TLC comparison (eluent: PE/EA 12:1): (a) crude reaction mixture of 4-methylbenzaldehyde after workup; (b) purified product from column chromatography. Spots were visualized under UV 254 nm.</w:t>
      </w:r>
    </w:p>
    <w:p w14:paraId="29F0D2B3"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15:20-15:30将纯品部分合并减压至0.04 MPa加热旋蒸，得浅黄色液体，于15:38-15:58使用隔膜泵抽除残余溶剂，取半滴样品溶于氘代氯仿后进行核磁测试，产品放置冰箱低温保存。产物共0.32 g，计算得产率为13.7 %。</w:t>
      </w:r>
    </w:p>
    <w:p w14:paraId="058B286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产物4-甲氧基苯乙烯的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H NMR谱图(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 w:eastAsia="zh-CN"/>
        </w:rPr>
        <w:t>Figure 3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与结果：</w:t>
      </w:r>
    </w:p>
    <w:p w14:paraId="0934394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center"/>
        <w:rPr>
          <w:rFonts w:hint="default" w:ascii="Times New Roman" w:hAnsi="Times New Roman" w:cs="Times New Roman"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403850" cy="1903095"/>
            <wp:effectExtent l="0" t="0" r="0" b="0"/>
            <wp:docPr id="6" name="图片 6" descr="对甲氧基苯乙烯NMR-H谱小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对甲氧基苯乙烯NMR-H谱小版"/>
                    <pic:cNvPicPr>
                      <a:picLocks noChangeAspect="1"/>
                    </pic:cNvPicPr>
                  </pic:nvPicPr>
                  <pic:blipFill>
                    <a:blip r:embed="rId7"/>
                    <a:srcRect l="1139" r="264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6094"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3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The </w:t>
      </w:r>
      <w:r>
        <w:rPr>
          <w:rFonts w:hint="eastAsia" w:ascii="Times New Roman" w:hAnsi="Times New Roman" w:cs="Times New Roman"/>
          <w:sz w:val="24"/>
          <w:szCs w:val="32"/>
          <w:vertAlign w:val="super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H NMR spectrum of the synthesized 4-methoxystyrene</w:t>
      </w:r>
    </w:p>
    <w:p w14:paraId="1534C87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H NMR (500 MHz, CDCl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) δ 7.37 – 7.32 (m, 2H), 6.89 – 6.84 (m, 2H), 6.67 (dd,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= 17.6, 10.9 Hz, 1H), 5.61 (dd,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= 17.6, 1.0 Hz, 1H), 5.13 (dd,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= 10.9, 1.0 Hz, 1H), 3.81 (s, 3H), 1.54 (s, 1H).</w:t>
      </w:r>
    </w:p>
    <w:p w14:paraId="26A6144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文献(Ref: Takanori, I.; Yoshinori, M.; Ryo, A.; Yuuki, F.; Hitoshi, K.; Nobuaki, K. </w:t>
      </w:r>
      <w:r>
        <w:rPr>
          <w:rFonts w:hint="eastAsia" w:ascii="Times New Roman" w:hAnsi="Times New Roman" w:cs="Times New Roman"/>
          <w:i/>
          <w:iCs/>
          <w:color w:val="000000"/>
          <w:sz w:val="24"/>
          <w:szCs w:val="24"/>
          <w:lang w:val="en-US" w:eastAsia="zh-CN"/>
        </w:rPr>
        <w:t>J. Am. Chem. Soc.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2014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color w:val="000000"/>
          <w:sz w:val="24"/>
          <w:szCs w:val="24"/>
          <w:lang w:val="en-US" w:eastAsia="zh-CN"/>
        </w:rPr>
        <w:t>136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, 26, 9260-9263.) 给出的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4-甲氧基苯乙烯的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H NMR谱图(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Figure 4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)与结果：</w:t>
      </w:r>
    </w:p>
    <w:p w14:paraId="64E6AA5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center"/>
      </w:pPr>
      <w:r>
        <w:drawing>
          <wp:inline distT="0" distB="0" distL="114300" distR="114300">
            <wp:extent cx="4626610" cy="3230880"/>
            <wp:effectExtent l="0" t="0" r="889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983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4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The </w:t>
      </w:r>
      <w:r>
        <w:rPr>
          <w:rFonts w:hint="eastAsia" w:ascii="Times New Roman" w:hAnsi="Times New Roman" w:cs="Times New Roman"/>
          <w:sz w:val="24"/>
          <w:szCs w:val="32"/>
          <w:vertAlign w:val="super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H NMR spectrum of 4-methoxystyrene</w:t>
      </w:r>
    </w:p>
    <w:p w14:paraId="0139FD6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H NMR (400 MHz, CDCl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): 7.3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–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7.3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(m, 2H)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6.8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7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–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6.8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(m, 2H),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6.66 (dd,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lang w:val="en-US" w:eastAsia="zh-CN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= 17.6, 10.7 Hz, 1H), 5.61 (dd,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lang w:val="en-US" w:eastAsia="zh-CN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= 17.6, 0.9 Hz, 1H),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5.12 (dd,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lang w:val="en-US" w:eastAsia="zh-CN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= 10.7, 0.9 Hz, 1H)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δ 3.80 (s, 3H)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.</w:t>
      </w:r>
    </w:p>
    <w:p w14:paraId="2B89AC0A"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于50 mL锥形瓶中使用无水氯化钙干燥25.0 mL二氯甲烷，供下周进行后续实验使用。</w:t>
      </w:r>
    </w:p>
    <w:p w14:paraId="45DDD3B2"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B组：</w:t>
      </w:r>
    </w:p>
    <w:p w14:paraId="1B9BD069"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将甲基三苯基溴化膦 (6.21 g, 17.4 mmol)、t-BuOK (1.95 g, 17.4 mmol) 加入100 mL三颈烧瓶（装有带翻口塞的10 mL恒压滴液漏斗），氮气保护。通过翻口塞用注射器加入20 mL无水氯化钙干燥过的THF（滴入时已显黄色），加入后下层为固体，上层为浅黄色溶液。磁子搅拌，液体瞬间变为亮黄色，且呈均匀浆状，继续搅拌。</w:t>
      </w:r>
    </w:p>
    <w:p w14:paraId="6E65AE68"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通过翻口塞加入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3,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5-二甲氧基苯甲醛 (2.33 g, 14 mmol, 事先溶于8 mL THF) , 缓慢滴加，过程中溶液颜色逐渐变浅至醛滴加完毕，体系仍呈浅黄色。向体系内滴入大量丙酮淬灭磷叶立德，体系仍为浅黄色，停止滴加。</w:t>
      </w:r>
    </w:p>
    <w:p w14:paraId="1A335712"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减压至0.04 MPa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加热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至30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℃旋蒸除去丙酮与THF，后体系内逐渐产生黄色沉淀，加入10 mL石油醚。使用12:1的石油醚-乙酸乙酯溶液作为展开剂与原料的3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5-二甲氧基苯甲醛共同进行薄板层析。</w:t>
      </w:r>
    </w:p>
    <w:p w14:paraId="649FC9CD"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20 g硅胶H-石油醚湿法装柱，以10:1的石油醚-乙酸乙酯溶液洗脱，并以12:1的石油醚-乙酸乙酯溶液作为展开剂进行薄板层析监测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(见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Figure 5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，收集得第13-18管纯品产物溶液约20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mL。</w:t>
      </w:r>
    </w:p>
    <w:p w14:paraId="49529820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33875" cy="161353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C59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center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5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TLC comparison (eluent: PE/EA 12:1): crude reaction mixture of 3,5-methylbenzaldehyde after workup and product from column chromatography. Spots were visualized under UV 254 nm.</w:t>
      </w:r>
    </w:p>
    <w:p w14:paraId="49D6886F"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将纯品部分合并减压至0.04 MPa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加热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至30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℃旋蒸，得浅黄色液体，使用隔膜泵抽除残余溶剂，取半滴样品溶于氘代氯仿后进行核磁测试，产品放置冰箱低温保存。产物共0.81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g，计算得产率为37.8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%。</w:t>
      </w:r>
    </w:p>
    <w:p w14:paraId="6DE6E44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产物3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5-二甲氧基苯乙烯的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H NMR结果：</w:t>
      </w:r>
    </w:p>
    <w:p w14:paraId="5082849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H NMR (500 MHz, CDCl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) δ 6.71 – 6.55 (m, 3H), 6.40 (t, J = 2.0 Hz, 1H), 5.74 (ddd, J = 17.5, 1.7, 0.9 Hz, 1H), 5.26 (dt, J = 10.8, 1.1 Hz, 1H), 3.81 (d, J = 0.7 Hz, 6H).</w:t>
      </w:r>
    </w:p>
    <w:p w14:paraId="22F712F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文献(Ref: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Lionel, G.; Cyril, B.; Daniel, G.; Bertrand D. </w:t>
      </w:r>
      <w:r>
        <w:rPr>
          <w:rFonts w:hint="default" w:ascii="Times New Roman" w:hAnsi="Times New Roman" w:eastAsia="宋体" w:cs="Times New Roman"/>
          <w:i/>
          <w:iCs/>
          <w:color w:val="000000"/>
          <w:sz w:val="24"/>
          <w:szCs w:val="24"/>
          <w:lang w:val="en-US" w:eastAsia="zh-CN"/>
        </w:rPr>
        <w:t>J. Am. Chem. Soc.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  <w:lang w:val="en-US" w:eastAsia="zh-CN"/>
        </w:rPr>
        <w:t>2004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color w:val="000000"/>
          <w:sz w:val="24"/>
          <w:szCs w:val="24"/>
          <w:lang w:val="en-US" w:eastAsia="zh-CN"/>
        </w:rPr>
        <w:t>126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, 12, 3856–3867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) 给出的3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-二甲氧基苯乙烯的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H NMR结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果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：</w:t>
      </w:r>
    </w:p>
    <w:p w14:paraId="7C2E9A6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default" w:ascii="Times New Roman" w:hAnsi="Times New Roman" w:cs="Times New Roman"/>
          <w:sz w:val="24"/>
          <w:szCs w:val="32"/>
          <w:lang w:val="en-US" w:eastAsia="ja-JP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H NMR (CDCl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): δ 6.66 (dd, 1H, J = 10.8 Hz and 17.1 Hz), 6.58 (d, 2H, J = 2.35 Hz), 6.4 (t, 1H, J = 2.35 Hz), 5.74 (d, 1H, J= 17.1 Hz), 5.26 (d, 1H, J= 10.8 Hz), 3.82 (s, 6H).</w:t>
      </w:r>
    </w:p>
    <w:p w14:paraId="2FF92FEF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实验结果与分析</w:t>
      </w:r>
    </w:p>
    <w:p w14:paraId="771DBE6A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A组：</w:t>
      </w:r>
    </w:p>
    <w:p w14:paraId="28975A45">
      <w:pPr>
        <w:numPr>
          <w:ilvl w:val="0"/>
          <w:numId w:val="4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可见，实验室所提供的4-甲氧基苯甲醛在该展开剂条件下Rf值约为0.22，但在距点样板位置较近处出现了一个较小的浅显色点，且在点样板位点也出现了一个更小的显色点，推测二者可能为某些大极性杂质，如4-甲氧基苯甲醛被空气中的氧气氧化成的4-甲氧基苯甲酸等。</w:t>
      </w:r>
    </w:p>
    <w:p w14:paraId="143EEBAD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而旋蒸后的体系经板层析后，点样板位点上的小显色点仍存在，我们推测其为反应副产物中如POPh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等高极性物质。但距点样板位置靠上处的较小浅显色点消失，基于极性及Rf值偏小的特点，我们不妨假设原先的浅显色点为4-甲氧基苯甲酸，即原料醛中混有少量氧化后的酸。在反应加入叔丁醇钾时，其优先被去质子化，且在后续过程中始终无法被酸化（丙酮无法淬灭之），故在旋蒸后以固体形式残留于烧瓶中，又由于其含量过少且极性显著增强，在第二次板层析时已无法被检测到，亦或同样存在于点样板位点的小显色点之中。总之，无论如何，如上大极性物质不会影响柱层析的提纯过程。</w:t>
      </w:r>
    </w:p>
    <w:p w14:paraId="30957E8F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此外，由于实验室未提供4-甲氧基苯乙烯样品，我们只可主观推测所获得的产物以及板层析样点即为4-甲氧基苯乙烯。</w:t>
      </w:r>
    </w:p>
    <w:p w14:paraId="5FDC1DA8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leftChars="0" w:right="0" w:rightChars="0" w:firstLine="420" w:firstLineChars="0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Figure 3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lang w:val="en-US" w:eastAsia="zh-CN"/>
        </w:rPr>
        <w:t>与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Figure 4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可见，实验产物的核磁检测结果与文献所给出的结果基本吻合，但在化学位移为1.54 ppm时出现一额外峰，且面积较大，发现其与H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O在CDCl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中的化学位移(1.56 ppm)较为接近，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推测可能由于所使用的氘代氯仿中含有微量的水存在，从而产生该水峰。进一步探究可尝试对氘代氯仿进行干燥处理（如使用分子筛处理等），并再次进行核磁检测从而验证结论。</w:t>
      </w:r>
    </w:p>
    <w:p w14:paraId="439F708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B组：</w:t>
      </w:r>
    </w:p>
    <w:p w14:paraId="6171A4A2"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薄板层析结果：经测量，原料醛在该展开剂条件下Rf值为0.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，产物Rf值为0.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，由于烯烃极性比醛小，Rf值应比醛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大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，符合预期。注意到原料醛靠近点样点处有一小显色点，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推测可能为某些大极性杂质，如3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5-二甲氧基苯甲醛被空气中的氧气氧化成的3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5-二甲氧基苯甲酸等。柱层析所得各管溶液经薄板层析后发现，从第13管开始出现显色点到第21管（最后一管）仍有小而浅的显色点存在，由于从第18管开始，显色点开始变浅，故可认为后续管中产物浓度较低，取13-18管合并纯化得到产物。</w:t>
      </w:r>
    </w:p>
    <w:p w14:paraId="75B1334A"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核磁共振氢谱结果：实验所得产物氢谱中H化学位移与文献中所给化学位移基本吻合，且未见明显异常峰，表明产物较纯。</w:t>
      </w:r>
    </w:p>
    <w:p w14:paraId="385B29B6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本实验相比文献中步骤的改动及可能的原因</w:t>
      </w:r>
    </w:p>
    <w:p w14:paraId="1AC51086">
      <w:pPr>
        <w:numPr>
          <w:ilvl w:val="0"/>
          <w:numId w:val="6"/>
        </w:numPr>
        <w:spacing w:line="360" w:lineRule="auto"/>
        <w:ind w:left="0" w:leftChars="0"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文献中使用11.77 g（0.07 mol）3,5-二甲氧基苯甲醛进行反应，而本实验将规模缩小到14 mmol。减少了反应物用量，从而能降低成本并减少反应时长，同时便于实验过程中的观察和操作。</w:t>
      </w:r>
    </w:p>
    <w:p w14:paraId="22C57E03">
      <w:pPr>
        <w:numPr>
          <w:ilvl w:val="0"/>
          <w:numId w:val="6"/>
        </w:numPr>
        <w:spacing w:line="360" w:lineRule="auto"/>
        <w:ind w:left="0" w:leftChars="0"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文献中使用氩气对反应体系进行保护，而本实验采用了氮气保护，其成本更低，在能基本实现实验内容的情况下尽可能降低了成本。</w:t>
      </w:r>
    </w:p>
    <w:p w14:paraId="1118979A">
      <w:pPr>
        <w:numPr>
          <w:ilvl w:val="0"/>
          <w:numId w:val="6"/>
        </w:numPr>
        <w:spacing w:line="360" w:lineRule="auto"/>
        <w:ind w:left="0" w:leftChars="0"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文献中直接将磷盐、碱和醛直接混合进行反应，本实验则先将甲基三苯基溴化膦与t-BuOK在THF中搅拌，生成磷叶立德后，再缓慢滴加醛。该方法可以避免醛与强碱的直接接触，减少某些副反应（如Cannizzaro反应等）的发生，利于提高产物的产率和纯度。</w:t>
      </w:r>
    </w:p>
    <w:p w14:paraId="243E0D70">
      <w:pPr>
        <w:numPr>
          <w:ilvl w:val="0"/>
          <w:numId w:val="6"/>
        </w:numPr>
        <w:spacing w:line="360" w:lineRule="auto"/>
        <w:ind w:left="0" w:leftChars="0"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文献中反应混合物在室温下搅拌2小时，而本实验在磷叶立德生成后，仅搅拌3分钟后就开始滴加醛，且观察到磷叶立德的生成非常迅速。由于使用了强碱t-BuOK，在无水THF中磷叶立德的生成极快，缩短反应时间的同时也可以保持磷叶立德的活性，防止其自发分解或发生副反应。</w:t>
      </w:r>
    </w:p>
    <w:p w14:paraId="2FA23374">
      <w:pPr>
        <w:numPr>
          <w:ilvl w:val="0"/>
          <w:numId w:val="6"/>
        </w:numPr>
        <w:spacing w:line="360" w:lineRule="auto"/>
        <w:ind w:left="0" w:leftChars="0"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文献采用饱和NH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l溶液淬灭反应后使用二氯甲烷萃取、水洗和干燥，而本实验反应后直接旋蒸除去THF与丙酮，并加入低极性的石油醚溶解产物。这一调整减少了水相处理步骤，简化了操作流程，适合教学实验，同时可直接以固液相分离副产物POPh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及KBr，有助于后续柱层析纯化。</w:t>
      </w:r>
    </w:p>
    <w:p w14:paraId="4D823DEF">
      <w:pPr>
        <w:numPr>
          <w:ilvl w:val="0"/>
          <w:numId w:val="6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文献使用石油醚-二氯甲烷（7:3）作为洗脱剂，本实验改用石油醚-乙酸乙酯（10:1）。选择乙酸乙酯作为极性调节剂有助于提高产物与杂质（如POPh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）之间的分离度，同时乙酸乙酯较二氯甲烷毒性低、气味小，更适合在课程教学环境中使用。</w:t>
      </w:r>
    </w:p>
    <w:p w14:paraId="2EE441A4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出现的意外状况及可能原因</w:t>
      </w:r>
    </w:p>
    <w:p w14:paraId="3D7ECFFB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A组：</w:t>
      </w:r>
    </w:p>
    <w:p w14:paraId="24EC3F99"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本实验获得4-甲氧基苯乙烯产率较低，仅0.32 g，而指导教师称产物质量大致位于1-2 g之间。由于实验整体步骤均按照指导教师所提供步骤进行，且实验过程中未出现系统性的失误，故我们推测问题出现在实验方案中未提供的某些细节步骤之中（如旋蒸的条件）。我们发现，于步骤5旋蒸后，液体明显减少且仅剩少许，由于对甲氧基苯乙烯本身沸点较高，即使在该减压条件下也有约100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℃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，故其不会被蒸出，但减压加热下由于体系沸腾较剧烈，溶剂的较强夹带效应会带走大量产物，导致不同旋蒸条件下，产率降低。</w:t>
      </w:r>
    </w:p>
    <w:p w14:paraId="0462E38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此外，由于实验人数较多且实验原料存放位置较远(位于其他实验室)，本次实验步骤2中加入用THF稀释后的4-甲氧基苯甲醛的时间(12:20)，距磷叶立德生成(12:12)以来已时隔8分钟，期间叶立德可能会发生失活，又由于相比之下4-甲氧基苯甲醛稍过量，故该过程也会导致产率降低。后续实验应注意提前准备好反应所需试剂，以防再次出现上述状况。</w:t>
      </w:r>
    </w:p>
    <w:p w14:paraId="77A3E31E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为进一步验证，可在未来实验中降低旋蒸温度或不加热，并减小减压幅度，同时在磷叶立德生成完全后立即加入醛，以探究产率变化情况。</w:t>
      </w:r>
    </w:p>
    <w:p w14:paraId="220452AF"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B组：</w:t>
      </w:r>
    </w:p>
    <w:p w14:paraId="091C78BF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产物质量为0.87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g，产率为37.8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%，略低于预期，可能由于柱层析时舍弃过多产物或旋蒸时溶剂夹带部分产物。</w:t>
      </w:r>
    </w:p>
    <w:p w14:paraId="631B0CB9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在后处理过程中，由于未及时加入丙酮进行淬灭，有较多磷叶立德被氧化导致出现了大量黄色固体，固体的存在导致后续柱层析湿法上样时难以用滴管吸取清液，可能导致上样不充分丢失部分产物，后续实验应注意提前准备好反应所需试剂，以防再次出现上述状况。</w:t>
      </w:r>
    </w:p>
    <w:p w14:paraId="44881275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下周实验初步计划</w:t>
      </w:r>
    </w:p>
    <w:p w14:paraId="283F4C31"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下周所进行的反应是将本周所得两烯烃按比例合并，并进行烯烃复分解反应。此外，我们小组还需要进行另一开放实验的前一部分反应（脯氨酸催化羟醛缩合实验的冰冻组）。</w:t>
      </w:r>
    </w:p>
    <w:p w14:paraId="5E6C8F55"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134A5BEB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6B9AAB9C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39BA64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26F7557B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FC3A2D6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150588AD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1CB758FD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12034CDC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3F41DEE5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EF3010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4784D7C9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777ADA58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30698FF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579A6BC1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33756A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C12AAB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110591BD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1181E6D3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55003ECE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4B570C77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794ECFB3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354BAD4E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D0E284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20C4A1D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04695000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553B408E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</w:p>
    <w:p w14:paraId="20E5BC14">
      <w:pPr>
        <w:spacing w:line="360" w:lineRule="auto"/>
        <w:jc w:val="center"/>
        <w:rPr>
          <w:rFonts w:hint="eastAsia" w:ascii="Times New Roman" w:hAnsi="Times New Roman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40"/>
          <w:lang w:val="en-US" w:eastAsia="zh-CN"/>
        </w:rPr>
        <w:t>第二周周小结</w:t>
      </w:r>
    </w:p>
    <w:p w14:paraId="168C221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一、实验内容</w:t>
      </w:r>
    </w:p>
    <w:p w14:paraId="41B6F7C3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混合上周制得的4-甲氧基苯乙烯与3,5-二甲氧基苯乙烯并加入Grubbs II催化剂，进行烯烃复分解反应，生成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三种甲氧基取代的二苯乙烯衍生物，其中一种为两烯烃进行交叉复分解所生成的产物，另外两种为烯烃分别自复分解所生成的产物。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反应式见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6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。</w:t>
      </w:r>
    </w:p>
    <w:p w14:paraId="13EE660F"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5271135" cy="2849245"/>
            <wp:effectExtent l="0" t="0" r="12065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E065">
      <w:pPr>
        <w:spacing w:line="360" w:lineRule="auto"/>
        <w:ind w:firstLine="420" w:firstLineChars="0"/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6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Olefin metathesis mediated by the second-generation Grubbs catalys</w:t>
      </w:r>
    </w:p>
    <w:p w14:paraId="5B3BBB8D">
      <w:pPr>
        <w:numPr>
          <w:ilvl w:val="0"/>
          <w:numId w:val="8"/>
        </w:numPr>
        <w:spacing w:line="360" w:lineRule="auto"/>
        <w:jc w:val="both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实验步骤与实验现象</w:t>
      </w:r>
    </w:p>
    <w:p w14:paraId="5F697BC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Ref: Janna, V.; Stefanie, R.; Johann, L.; Hans-Günther, S. </w:t>
      </w:r>
      <w:r>
        <w:rPr>
          <w:rFonts w:hint="default" w:ascii="Times New Roman" w:hAnsi="Times New Roman" w:eastAsia="宋体" w:cs="Times New Roman"/>
          <w:i/>
          <w:iCs/>
          <w:sz w:val="24"/>
          <w:szCs w:val="32"/>
          <w:lang w:val="en-US" w:eastAsia="zh-CN"/>
        </w:rPr>
        <w:t>Synthesis.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2006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, 273-278.</w:t>
      </w:r>
    </w:p>
    <w:p w14:paraId="4F0DF041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将Grubbs II催化剂 (15.1 mg, 0.0178 mmol) 加入50 mL三颈烧瓶中，氮气保护下加入4-甲氧基苯乙烯 (0.23 g, 1.7 mmol)、3,5-二甲基苯乙烯 (0.28 g, 1.7 mmol)、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事先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用无水氯化钙干燥一周后的CH</w:t>
      </w:r>
      <w:r>
        <w:rPr>
          <w:rFonts w:hint="default" w:ascii="Times New Roman" w:hAnsi="Times New Roman" w:eastAsia="宋体" w:cs="Times New Roman"/>
          <w:sz w:val="24"/>
          <w:szCs w:val="32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Cl</w:t>
      </w:r>
      <w:r>
        <w:rPr>
          <w:rFonts w:hint="default" w:ascii="Times New Roman" w:hAnsi="Times New Roman" w:eastAsia="宋体" w:cs="Times New Roman"/>
          <w:sz w:val="24"/>
          <w:szCs w:val="32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 (10 mL)，溶液先变为紫色，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同时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产生大量泡沫，后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溶液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变红色。</w:t>
      </w:r>
    </w:p>
    <w:p w14:paraId="32445CF6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于10:52开始，水浴搅拌约2小时，并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维持反应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体系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温度为25-30 ℃，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溶液始终呈浅红色。反应过程中于12:20、12:40、13:00取样，使用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12:1的石油醚-乙酸乙酯溶液作为展开剂进行薄板层析监测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(见 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 xml:space="preserve">Figure 7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(a))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(已适当调整了板面的长度与宽度，为使观察便利，展开剂前沿的位置已按比例调整)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。于13:00结束反应，反应共进行128 min。</w:t>
      </w:r>
    </w:p>
    <w:p w14:paraId="2C2016E5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于13:05开始，减压至0.04 MPa，加热至40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℃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旋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蒸产物，除去CH</w:t>
      </w:r>
      <w:r>
        <w:rPr>
          <w:rFonts w:hint="eastAsia" w:ascii="Times New Roman" w:hAnsi="Times New Roman" w:eastAsia="宋体" w:cs="Times New Roman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Cl</w:t>
      </w:r>
      <w:r>
        <w:rPr>
          <w:rFonts w:hint="eastAsia" w:ascii="Times New Roman" w:hAnsi="Times New Roman" w:eastAsia="宋体" w:cs="Times New Roman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32"/>
          <w:vertAlign w:val="baseline"/>
          <w:lang w:val="en-US" w:eastAsia="zh-CN"/>
        </w:rPr>
        <w:t>，</w:t>
      </w:r>
    </w:p>
    <w:p w14:paraId="6DEA1CA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vertAlign w:val="baseline"/>
          <w:lang w:val="en-US" w:eastAsia="zh-CN"/>
        </w:rPr>
        <w:t>至13:23结束旋蒸。烧瓶内有紫黑色产物，防溅球内有黄色液体，使用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12:1的石油醚-乙酸乙酯溶液作为展开剂对二者取样进行薄板层析监测(见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7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(b)，防溅球内液体板层析后除点板位点外无明显显色)(已适当调整了板面的长度与宽度，为使观察便利，展开剂前沿的位置已按比例调整)。</w:t>
      </w:r>
    </w:p>
    <w:p w14:paraId="0C513F51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加入4 mL丙酮，紫红色固体溶解，杯壁有白色晶体残余，振荡使其几乎全部溶解，快速加入4 g硅胶H，于13:35转移至培养皿并移至通风橱下挥发，至14:05结束挥发。使用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12:1的石油醚-乙酸乙酯溶液作为展开剂对烧瓶内残余产物进行薄板层析监测(见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7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(c))(已适当调整了板面的长度与宽度，为使观察便利，展开剂前沿的位置已按比例调整)。</w:t>
      </w:r>
    </w:p>
    <w:p w14:paraId="651032F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center"/>
      </w:pPr>
      <w:r>
        <w:drawing>
          <wp:inline distT="0" distB="0" distL="114300" distR="114300">
            <wp:extent cx="5337810" cy="2968625"/>
            <wp:effectExtent l="0" t="0" r="889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46B5">
      <w:pPr>
        <w:spacing w:line="36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Figure 7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TLC comparison (eluent: PE/EA 12:1): (a) time-course monitoring of the olefin metathesis reaction at various intervals; (b) crude product in the flask after rotary evaporation; (c) product dissolved in acetone and treated with silica gel H. Spots were visualized under UV 254 nm.</w:t>
      </w:r>
    </w:p>
    <w:p w14:paraId="7627B415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称量20.0 g硅胶H，并使用石油醚湿法装柱，干法上样，上样后柱顶呈灰黑色。以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10:1的石油醚-乙酸乙酯溶液作为洗脱剂进行洗脱，同时使用12:1的石油醚-乙酸乙酯溶液作为展开剂进行薄板层析监测(见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8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)(已适当调整了板面的长度与宽度，为使观察便利，展开剂前沿的位置已按比例调整)，由于时间因素并未获取最后一种纯品产物，收集得第33-40管纯品交叉复分解产物约24 mL。</w:t>
      </w:r>
    </w:p>
    <w:p w14:paraId="62A7C22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center"/>
      </w:pPr>
      <w:r>
        <w:drawing>
          <wp:inline distT="0" distB="0" distL="114300" distR="114300">
            <wp:extent cx="4993005" cy="2370455"/>
            <wp:effectExtent l="0" t="0" r="1079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2088">
      <w:pPr>
        <w:spacing w:line="36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Figure 8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TLC comparison (eluent: PE/EA 12:1): purified product from column chromatography. Spots were visualized under UV 254 nm.</w:t>
      </w:r>
    </w:p>
    <w:p w14:paraId="015D1B77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于15:35开始，减压至0.04 MPa，加热至45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 ℃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，旋蒸纯品交叉复分解产物。旋蒸至15:50，烧瓶内壁附有白色偏黄的固体，还附有少量油状液体。于15:55-16:25使用隔膜泵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抽除残余溶剂，产物部分为白色固体，部分呈油状液体。称量得产物重量为0.09 g(0.3 mmol)，计算得产率为0.3/1.7=19.6 %。</w:t>
      </w:r>
    </w:p>
    <w:p w14:paraId="7F2115B4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uto"/>
        <w:ind w:left="0" w:leftChars="0" w:right="0" w:rightChars="0" w:firstLine="397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取少量样品溶于氘代氯仿后进行核磁测试。</w:t>
      </w:r>
    </w:p>
    <w:p w14:paraId="2AAE5A9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产物(E)-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1-(4-甲氧基)-2-(3,5-二甲氧基)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苯的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H NMR谱图(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 w:eastAsia="zh-CN"/>
        </w:rPr>
        <w:t>Figure 9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与结果：</w:t>
      </w:r>
    </w:p>
    <w:p w14:paraId="64CA242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center"/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431155" cy="2872105"/>
            <wp:effectExtent l="0" t="0" r="4445" b="10795"/>
            <wp:docPr id="10" name="图片 10" descr="交叉烯烃谱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叉烯烃谱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5919"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9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The </w:t>
      </w:r>
      <w:r>
        <w:rPr>
          <w:rFonts w:hint="eastAsia" w:ascii="Times New Roman" w:hAnsi="Times New Roman" w:cs="Times New Roman"/>
          <w:sz w:val="24"/>
          <w:szCs w:val="32"/>
          <w:vertAlign w:val="super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H NMR spectrum of the synthesized (E)-1-(4-methoxyphenyl)-2-(3,5-dimethoxyphenyl) ethene</w:t>
      </w:r>
    </w:p>
    <w:p w14:paraId="3B418DD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H NMR (500 MHz, CDCl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) δ 7.47 – 7.43 (m, 2H), 7.05 (d, J = 16.2 Hz, 1H), 6.94 – 6.88 (m, 3H), 6.66 (d, J = 2.3 Hz, 2H), 6.39 (t, J = 2.3 Hz, 1H), 3.83 (s, 9H).</w:t>
      </w:r>
    </w:p>
    <w:p w14:paraId="52EAAACD"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文献(Ref: 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Janna, V.; Stefanie, R.; Johann, L.; Hans-Günther, S. </w:t>
      </w:r>
      <w:r>
        <w:rPr>
          <w:rFonts w:hint="default" w:ascii="Times New Roman" w:hAnsi="Times New Roman" w:eastAsia="宋体" w:cs="Times New Roman"/>
          <w:i/>
          <w:iCs/>
          <w:sz w:val="24"/>
          <w:szCs w:val="32"/>
          <w:lang w:val="en-US" w:eastAsia="zh-CN"/>
        </w:rPr>
        <w:t>Synthesis.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2006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, 273-278.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)给出的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(E)-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1-(4-甲氧基)-2-(3,5-二甲氧基)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苯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的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H NMR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结果：</w:t>
      </w:r>
    </w:p>
    <w:p w14:paraId="4437ACF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 w:firstLine="420" w:firstLineChars="0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H NMR (300 MHz, CDCl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): δ 3.81 (s, 6H, OCH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), 3.82 (s, 3H, OCH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), 6.38 (t, 1H, J = 2.4 Hz, H-4), 6.65 (d, 2H, J = 2.4 Hz, H2, H-6), 6.89 (d, 2H, J = 8.7 Hz, H-3`, H-5`), 6.90 (d, 1H, J = 16.2 Hz, HC=), 7.05 (d, 1H, J = 16.2 Hz, =CH), 7.44 (d, 2H, J = 8.7 Hz, H-2`, H-6`).</w:t>
      </w:r>
    </w:p>
    <w:p w14:paraId="5EBC53F5">
      <w:pPr>
        <w:numPr>
          <w:ilvl w:val="0"/>
          <w:numId w:val="8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实验结果与分析</w:t>
      </w:r>
    </w:p>
    <w:p w14:paraId="10F5E1E0">
      <w:pPr>
        <w:numPr>
          <w:ilvl w:val="0"/>
          <w:numId w:val="1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Figure 7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(a)，显色的五种物质自上到下Rf值约为：0.61, 0.47, 0.33, 0.24, 0.17，由上周周小结数据，可推断A、B均为原料两烯烃的显色点，由本次实验核磁数据，可推断D产物为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(E)-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1-(4-甲氧基)-2-(3,5-二甲氧基)苯，即交叉复分解产物。</w:t>
      </w:r>
    </w:p>
    <w:p w14:paraId="5DFD3433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由显色深度随时间变化可看出，C产物量随时间变化缓慢减少，且始终含量较低，D产物与E产物均随时间推进而增多，A原料（4-甲氧基苯乙烯）减少速度较慢，B原料（3,5-二甲氧基苯乙烯）减少速率较快，因此可合理推测E产物为B原料自复分解所生成的(E)-1,2-(3,3`,5,5`-二甲氧基苯)乙烯，C产物则为A原料自复分解所生成的(E)-1,2-(4,4`-甲氧基苯)乙烯。且根据产物所含O原子数量排序（决定板层析上行速度快慢）：C &lt; D &lt; E，仍能得出相同结论。但上述推测与原文献中所提到的“3,5-二甲氧基苯乙烯未过量时不会生成其自复分解产物”不符，该问题可在后续实验中进一步验证，如对E纯品产物进行核磁测试或对(E)-1,2-(4,4`-甲氧基苯)乙烯或(E)-1,2-(3,3`,5,5`-二甲氧基苯)乙烯在相同条件下进行板层析，比较二者Rf值大小，以及本次实验所测得的Rf值大小。由于本实验实验条件与原文献中实验条件区别较大（如温度、时间等），结果也可能会有所不同，根据助教提供的信息，产物C会随反应时间增长而减少，可能由于文献中反应时间较短(1.5 h)，导致本实验中产物C几乎减少至无。</w:t>
      </w:r>
    </w:p>
    <w:p w14:paraId="715DDA5A">
      <w:pPr>
        <w:numPr>
          <w:ilvl w:val="0"/>
          <w:numId w:val="10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 w:eastAsia="zh-CN"/>
        </w:rPr>
        <w:t>Figure 7</w:t>
      </w: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 xml:space="preserve"> (b)(c)也可看出，反应的主要产物为D和E，C的显色极浅，产率也应极低。此外，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 w:eastAsia="zh-CN"/>
        </w:rPr>
        <w:t xml:space="preserve">Figure 7 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(b)中出现了拖尾的情况，由于当次板层析所用样品为旋蒸溶剂后的纯产品，浓度很高，样品会在点样点形成“沉积”，难以被展开剂洗脱，从而造成拖尾。即使在浓度很高的情况下产物C的显色仍很浅，可见C的产率应足够低。</w:t>
      </w:r>
    </w:p>
    <w:p w14:paraId="652CA079">
      <w:pPr>
        <w:numPr>
          <w:ilvl w:val="0"/>
          <w:numId w:val="10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vertAlign w:val="baseline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 w:eastAsia="zh-CN"/>
        </w:rPr>
        <w:t>Figure 8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及柱层析纯化实验过程的实际情况，可见在本条件下原料烯烃与产物烯烃会有少量（约6~15 mL）混合产品产生，而产物C在单次柱层析下甚至无法被分离出，其于第31、32管中与原料烯烃及产物D同时出现，若需分离出产物C可能需多次进行柱层析进一步纯化。后续会产生约24 mL的纯D组分，此后又会产生至少36 mL的D、E混合组分，显然D、E间的柱层析分离也较为困难，但由于产率较高，单次柱层析仍能纯化大部分D产物。</w:t>
      </w:r>
    </w:p>
    <w:p w14:paraId="11CAFD50">
      <w:pPr>
        <w:numPr>
          <w:ilvl w:val="0"/>
          <w:numId w:val="10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 w:eastAsia="zh-CN"/>
        </w:rPr>
        <w:t>Figure 9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可见，实测数据与文献中给出的化学位移基本一致，耦合常数也较为接近，但部分质子信号发生重叠，不如文献中分离得清晰，说明本产物纯度尚可，但仍有提升空间，可进一步纯化，如减少使用柱层析后的纯产品前后两侧的管数，或再一次进行柱层析等。</w:t>
      </w:r>
    </w:p>
    <w:p w14:paraId="7D1F377A">
      <w:pPr>
        <w:numPr>
          <w:ilvl w:val="0"/>
          <w:numId w:val="8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出现的意外状况及可能原因</w:t>
      </w:r>
    </w:p>
    <w:p w14:paraId="75FAAAEB">
      <w:pPr>
        <w:numPr>
          <w:ilvl w:val="0"/>
          <w:numId w:val="11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反应过程中取样时，需将毛细管通过翻口塞插入反应体系中，但该过程难度较大，毛细管在插入过程中易发生断裂，且在取样后取出毛细管时由于翻口塞的挤压，毛细管中的液体会被挤回反应体系。为避免氧气进入反应体系而导致Grubbs II催化剂失活，我们并没有采取卸下三通直接取样的方法。最终，我们尝试将注射器针头卸下，换为更加细长的针头，排净空气后插入反应体系，以吸取少量液体用于板监测，该方法的实现更加方便且安全。</w:t>
      </w:r>
    </w:p>
    <w:p w14:paraId="1C3B91DD">
      <w:pPr>
        <w:numPr>
          <w:ilvl w:val="0"/>
          <w:numId w:val="11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反应结束后旋蒸时，有大量有色液体进入防溅球，防溅球内呈红色，我们推测由于未开启减压导致，蒸汽无法快速进入接收瓶。我们卸下蒸馏瓶与防溅球，由于温度仍较高（约40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℃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），液体迅速变为红黑色，其应为Grubbs II催化剂在较高温下与空气中的氧气快速反应导致，但由于反应已结束，该过程已不会对产率造成影响。将防溅球中液体倒回蒸馏瓶并用干燥后的二氯甲烷洗涤，再次减压蒸馏，防溅球中再次进入少量黄色液体，我们推测由于加热温度较低，且防溅球部分未接触热水，二氯甲烷携带部分催化剂进入防溅球后液化形成。我们于旋蒸后取样，发现防溅球内样品经板层析后仅在点样点处存在显色（推测为强极性的Grubbs II催化剂），可见原料及产物均未被二氯甲烷带入防溅球中，故该步旋蒸对产率影响较小。</w:t>
      </w:r>
    </w:p>
    <w:p w14:paraId="2718ADC8">
      <w:pPr>
        <w:numPr>
          <w:ilvl w:val="0"/>
          <w:numId w:val="8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下周实验初步计划</w:t>
      </w:r>
    </w:p>
    <w:p w14:paraId="43094EAB"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本实验进程已基本结束，下周本组全员将进行脯氨酸催化的羟醛缩合反应。</w:t>
      </w:r>
    </w:p>
    <w:p w14:paraId="4E012DCA">
      <w:pPr>
        <w:spacing w:line="360" w:lineRule="auto"/>
        <w:jc w:val="center"/>
        <w:rPr>
          <w:rFonts w:hint="default" w:ascii="Times New Roman" w:hAnsi="Times New Roman" w:eastAsia="宋体" w:cs="Times New Roman"/>
          <w:sz w:val="32"/>
          <w:szCs w:val="40"/>
        </w:rPr>
      </w:pPr>
      <w:r>
        <w:rPr>
          <w:rFonts w:hint="eastAsia" w:ascii="Times New Roman" w:hAnsi="Times New Roman" w:eastAsia="宋体" w:cs="Times New Roman"/>
          <w:sz w:val="32"/>
          <w:szCs w:val="40"/>
          <w:lang w:val="en-US" w:eastAsia="zh-CN"/>
        </w:rPr>
        <w:t>II.</w:t>
      </w:r>
      <w:r>
        <w:rPr>
          <w:rFonts w:hint="default" w:ascii="Times New Roman" w:hAnsi="Times New Roman" w:eastAsia="宋体" w:cs="Times New Roman"/>
          <w:sz w:val="32"/>
          <w:szCs w:val="40"/>
        </w:rPr>
        <w:t>绿色Suzuki偶联反应周小结</w:t>
      </w:r>
    </w:p>
    <w:p w14:paraId="1E468975">
      <w:pPr>
        <w:wordWrap w:val="0"/>
        <w:spacing w:line="360" w:lineRule="auto"/>
        <w:jc w:val="righ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夏颢天 2400011739</w:t>
      </w:r>
    </w:p>
    <w:p w14:paraId="181D91D2">
      <w:pPr>
        <w:wordWrap w:val="0"/>
        <w:spacing w:line="360" w:lineRule="auto"/>
        <w:jc w:val="righ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朱恒辉 2400011753</w:t>
      </w:r>
    </w:p>
    <w:p w14:paraId="131416A3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本实验采取以下路线(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Scheme 1, 2</w:t>
      </w:r>
      <w:r>
        <w:rPr>
          <w:rFonts w:hint="default" w:ascii="Times New Roman" w:hAnsi="Times New Roman" w:eastAsia="宋体" w:cs="Times New Roman"/>
          <w:sz w:val="24"/>
          <w:szCs w:val="32"/>
        </w:rPr>
        <w:t>)进行绿色Suzuki偶联反应。本路线以香草醛为原料，先经过碘代反应合成5-碘代香草醛，产物再通过钯碳催化与对甲苯硼酸发生Suzuki偶联反应，生成产物。</w:t>
      </w:r>
    </w:p>
    <w:p w14:paraId="2E5854CE"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4736465" cy="1532255"/>
            <wp:effectExtent l="0" t="0" r="635" b="4445"/>
            <wp:docPr id="1160396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632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4611" r="5586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297C"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Scheme 1</w:t>
      </w:r>
      <w:r>
        <w:rPr>
          <w:rFonts w:hint="default" w:ascii="Times New Roman" w:hAnsi="Times New Roman" w:eastAsia="宋体" w:cs="Times New Roman"/>
          <w:sz w:val="24"/>
          <w:szCs w:val="32"/>
        </w:rPr>
        <w:t xml:space="preserve">  Synthesis of 5-iodovanillin</w:t>
      </w:r>
    </w:p>
    <w:p w14:paraId="634B10CF"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274310" cy="1043940"/>
            <wp:effectExtent l="0" t="0" r="8890" b="10160"/>
            <wp:docPr id="173749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804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B98"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Scheme 2</w:t>
      </w:r>
      <w:r>
        <w:rPr>
          <w:rFonts w:hint="default" w:ascii="Times New Roman" w:hAnsi="Times New Roman" w:eastAsia="宋体" w:cs="Times New Roman"/>
          <w:sz w:val="24"/>
          <w:szCs w:val="32"/>
        </w:rPr>
        <w:t xml:space="preserve">  Suzuki Reaction</w:t>
      </w:r>
    </w:p>
    <w:p w14:paraId="3ED86363"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以下内容为本实验每周情况汇总小结。</w:t>
      </w:r>
    </w:p>
    <w:p w14:paraId="010108EB"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br w:type="page"/>
      </w:r>
    </w:p>
    <w:p w14:paraId="0E69B0FF">
      <w:pPr>
        <w:spacing w:line="360" w:lineRule="auto"/>
        <w:jc w:val="center"/>
        <w:rPr>
          <w:rFonts w:hint="default" w:ascii="Times New Roman" w:hAnsi="Times New Roman" w:eastAsia="宋体" w:cs="Times New Roman"/>
          <w:sz w:val="32"/>
          <w:szCs w:val="40"/>
        </w:rPr>
      </w:pPr>
      <w:r>
        <w:rPr>
          <w:rFonts w:hint="default" w:ascii="Times New Roman" w:hAnsi="Times New Roman" w:eastAsia="宋体" w:cs="Times New Roman"/>
          <w:sz w:val="32"/>
          <w:szCs w:val="40"/>
        </w:rPr>
        <w:t>第一周周小结</w:t>
      </w:r>
    </w:p>
    <w:p w14:paraId="07B7ECEC">
      <w:p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一、实验内容</w:t>
      </w:r>
    </w:p>
    <w:p w14:paraId="0CE30934"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以Oxone为氧化剂，KI作为碘源将香草醛碘代，反应式见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Scheme 1</w:t>
      </w:r>
      <w:r>
        <w:rPr>
          <w:rFonts w:hint="default" w:ascii="Times New Roman" w:hAnsi="Times New Roman" w:eastAsia="宋体" w:cs="Times New Roman"/>
          <w:sz w:val="24"/>
          <w:szCs w:val="32"/>
        </w:rPr>
        <w:t>。</w:t>
      </w:r>
    </w:p>
    <w:p w14:paraId="1FB7C785">
      <w:pPr>
        <w:numPr>
          <w:ilvl w:val="0"/>
          <w:numId w:val="12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实验步骤与实验现象</w:t>
      </w:r>
    </w:p>
    <w:p w14:paraId="4E12E974">
      <w:pPr>
        <w:tabs>
          <w:tab w:val="left" w:pos="75"/>
        </w:tabs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ab/>
      </w:r>
      <w:r>
        <w:rPr>
          <w:rFonts w:hint="default" w:ascii="Times New Roman" w:hAnsi="Times New Roman" w:eastAsia="宋体" w:cs="Times New Roman"/>
          <w:sz w:val="24"/>
          <w:szCs w:val="32"/>
        </w:rPr>
        <w:tab/>
      </w:r>
      <w:r>
        <w:rPr>
          <w:rFonts w:hint="default" w:ascii="Times New Roman" w:hAnsi="Times New Roman" w:eastAsia="宋体" w:cs="Times New Roman"/>
          <w:sz w:val="24"/>
          <w:szCs w:val="32"/>
        </w:rPr>
        <w:t>将1.0 g 香草醛，碘化钾 1.1 g，8 mL 去离子水加入50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</w:rPr>
        <w:t>mL三颈圆底烧瓶，搅拌下滴加 2.0 g Oxone 的 8 mL 水溶液。回流，有碘晶体附在冷凝管壁上，用乙醇将其冲下。每隔30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</w:rPr>
        <w:t>min从反应体系取样进行薄层色谱层析，展开剂为二氯甲烷。</w:t>
      </w:r>
    </w:p>
    <w:p w14:paraId="4692EE64">
      <w:pPr>
        <w:spacing w:line="360" w:lineRule="auto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object>
          <v:shape id="_x0000_i1025" o:spt="75" type="#_x0000_t75" style="height:204.65pt;width:204.6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ChemDraw.Document.6.0" ShapeID="_x0000_i1025" DrawAspect="Content" ObjectID="_1468075725" r:id="rId16">
            <o:LockedField>false</o:LockedField>
          </o:OLEObject>
        </w:object>
      </w:r>
    </w:p>
    <w:p w14:paraId="0DD057B6">
      <w:pPr>
        <w:spacing w:line="360" w:lineRule="auto"/>
        <w:ind w:firstLine="420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 xml:space="preserve">Figure 1 </w:t>
      </w:r>
      <w:r>
        <w:rPr>
          <w:rFonts w:hint="default" w:ascii="Times New Roman" w:hAnsi="Times New Roman" w:eastAsia="宋体" w:cs="Times New Roman"/>
          <w:sz w:val="24"/>
          <w:szCs w:val="32"/>
        </w:rPr>
        <w:t xml:space="preserve"> TLC comparison (eluent: CH</w:t>
      </w:r>
      <w:r>
        <w:rPr>
          <w:rFonts w:hint="default" w:ascii="Times New Roman" w:hAnsi="Times New Roman" w:eastAsia="宋体" w:cs="Times New Roman"/>
          <w:sz w:val="24"/>
          <w:szCs w:val="32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</w:rPr>
        <w:t>Cl</w:t>
      </w:r>
      <w:r>
        <w:rPr>
          <w:rFonts w:hint="default" w:ascii="Times New Roman" w:hAnsi="Times New Roman" w:eastAsia="宋体" w:cs="Times New Roman"/>
          <w:sz w:val="24"/>
          <w:szCs w:val="32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4"/>
          <w:szCs w:val="32"/>
        </w:rPr>
        <w:t>): (a) Vanillin; (b)</w:t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</w:rPr>
        <w:t>The number represents the sample taken from the reaction system every thirty minutes</w:t>
      </w:r>
    </w:p>
    <w:p w14:paraId="62DE648A">
      <w:pPr>
        <w:numPr>
          <w:ilvl w:val="0"/>
          <w:numId w:val="12"/>
        </w:num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实验结果与分析</w:t>
      </w:r>
    </w:p>
    <w:p w14:paraId="08C3FDEB">
      <w:pPr>
        <w:numPr>
          <w:ilvl w:val="0"/>
          <w:numId w:val="13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由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Figure 1</w:t>
      </w:r>
      <w:r>
        <w:rPr>
          <w:rFonts w:hint="default" w:ascii="Times New Roman" w:hAnsi="Times New Roman" w:eastAsia="宋体" w:cs="Times New Roman"/>
          <w:sz w:val="24"/>
          <w:szCs w:val="32"/>
        </w:rPr>
        <w:t>可见，产物5-碘代香草醛Rf=0.30，底物香草醛Rf=0.16.</w:t>
      </w:r>
    </w:p>
    <w:p w14:paraId="42BF3B4E">
      <w:pPr>
        <w:numPr>
          <w:ilvl w:val="0"/>
          <w:numId w:val="13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产物点大小相比于底物较小，推测可能是由于产物在水中溶解度较小，故取样时样液碘代产物含量较少。</w:t>
      </w:r>
    </w:p>
    <w:p w14:paraId="57A15AFC">
      <w:pPr>
        <w:numPr>
          <w:ilvl w:val="0"/>
          <w:numId w:val="12"/>
        </w:num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szCs w:val="32"/>
          <w:lang w:eastAsia="ja-JP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出现的意外状况及可能原因</w:t>
      </w:r>
    </w:p>
    <w:p w14:paraId="027208E4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实验过程中容器壁出现较多白色至淡黄色固体，推测可能是香草醛挥发而后凝华所致。取下烧瓶并进行敲击后固体脱落进入反应液。</w:t>
      </w:r>
    </w:p>
    <w:p w14:paraId="6BCBC76D">
      <w:pPr>
        <w:numPr>
          <w:ilvl w:val="0"/>
          <w:numId w:val="12"/>
        </w:numPr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  <w:szCs w:val="32"/>
          <w:lang w:eastAsia="ja-JP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下周实验初步计划</w:t>
      </w:r>
    </w:p>
    <w:p w14:paraId="77845311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对所得产物过滤分离后进行柱色谱纯化，随后进行钯碳催化下的Suzuki偶联反应，最后进行柱色谱纯化得到最终产物。</w:t>
      </w:r>
    </w:p>
    <w:p w14:paraId="174A8F8B">
      <w:pPr>
        <w:spacing w:line="360" w:lineRule="auto"/>
        <w:jc w:val="center"/>
        <w:rPr>
          <w:rFonts w:hint="eastAsia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40"/>
          <w:lang w:val="en-US" w:eastAsia="zh-CN"/>
        </w:rPr>
        <w:t>III.</w:t>
      </w:r>
      <w:r>
        <w:rPr>
          <w:rFonts w:hint="default" w:ascii="Times New Roman" w:hAnsi="Times New Roman" w:eastAsia="宋体" w:cs="Times New Roman"/>
          <w:sz w:val="32"/>
          <w:szCs w:val="40"/>
        </w:rPr>
        <w:t>L-脯氨酸催化的不对称羟醛缩合反应</w:t>
      </w:r>
      <w:r>
        <w:rPr>
          <w:rFonts w:hint="eastAsia" w:ascii="Times New Roman" w:hAnsi="Times New Roman" w:eastAsia="宋体" w:cs="Times New Roman"/>
          <w:sz w:val="32"/>
          <w:szCs w:val="40"/>
          <w:lang w:val="en-US" w:eastAsia="zh-CN"/>
        </w:rPr>
        <w:t>周小结</w:t>
      </w:r>
    </w:p>
    <w:p w14:paraId="584E5CB6">
      <w:pPr>
        <w:wordWrap w:val="0"/>
        <w:spacing w:line="360" w:lineRule="auto"/>
        <w:jc w:val="right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夏颢天 2400011739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32"/>
        </w:rPr>
        <w:t>朱恒辉 2400011753</w:t>
      </w:r>
    </w:p>
    <w:p w14:paraId="1510E0F1">
      <w:pPr>
        <w:wordWrap w:val="0"/>
        <w:spacing w:line="360" w:lineRule="auto"/>
        <w:jc w:val="right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黄晨星 2400011775 张嵩仁 2400011765</w:t>
      </w:r>
    </w:p>
    <w:p w14:paraId="4DC7E5F0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本实验采取以下路线(</w:t>
      </w: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Scheme 1</w:t>
      </w: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  <w:t>进行L-脯氨酸催化的不对称羟醛缩合反应。以4-硝基苯甲醛与丙酮为原料，加入少量L-脯氨酸作为催化剂，在不同条件下进行反应，生成产物(4R)-4-羟基-4-(4-硝基苯基)丁-2-酮。其中常温反应由夏颢天与朱恒辉进行，低温反应由黄晨星与张嵩仁进行。分离纯化后对各组所得产物进行产率计算、光学纯度表征、核磁表征并进行对比，以探究最为适宜的反应条件。</w:t>
      </w:r>
    </w:p>
    <w:p w14:paraId="11C54379"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drawing>
          <wp:inline distT="0" distB="0" distL="114300" distR="114300">
            <wp:extent cx="5270500" cy="1123950"/>
            <wp:effectExtent l="0" t="0" r="0" b="635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A027"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</w:rPr>
        <w:t>Scheme 1</w:t>
      </w:r>
      <w:r>
        <w:rPr>
          <w:rFonts w:hint="default" w:ascii="Times New Roman" w:hAnsi="Times New Roman" w:eastAsia="宋体" w:cs="Times New Roman"/>
          <w:sz w:val="24"/>
          <w:szCs w:val="32"/>
        </w:rPr>
        <w:t xml:space="preserve">  L-Proline-Catalyzed Asymmetric Aldol Reaction</w:t>
      </w:r>
    </w:p>
    <w:p w14:paraId="0F8C1BC3"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以下内容为本实验每周情况汇总小结。</w:t>
      </w:r>
    </w:p>
    <w:p w14:paraId="2F95E797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71321F28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03FEBFB0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5CECF57A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01E47D3E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4B816DA8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6F068EE3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79DC9C8C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33463D41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79AEFA82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5864A902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58A19365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35146878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6F161EB1"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65E0BC47"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32"/>
          <w:lang w:val="en-US" w:eastAsia="ja-JP"/>
        </w:rPr>
      </w:pPr>
    </w:p>
    <w:p w14:paraId="0C23097F">
      <w:pPr>
        <w:spacing w:line="360" w:lineRule="auto"/>
        <w:jc w:val="center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40"/>
          <w:lang w:val="en-US" w:eastAsia="zh-CN"/>
        </w:rPr>
        <w:t>第一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32"/>
          <w:szCs w:val="40"/>
          <w:lang w:val="en-US" w:eastAsia="zh-CN"/>
        </w:rPr>
        <w:t>周周小结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91E99"/>
    <w:multiLevelType w:val="singleLevel"/>
    <w:tmpl w:val="84F91E9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5747550"/>
    <w:multiLevelType w:val="singleLevel"/>
    <w:tmpl w:val="85747550"/>
    <w:lvl w:ilvl="0" w:tentative="0">
      <w:start w:val="1"/>
      <w:numFmt w:val="decimal"/>
      <w:lvlText w:val="%1."/>
      <w:lvlJc w:val="left"/>
      <w:rPr>
        <w:rFonts w:hint="default"/>
        <w:b w:val="0"/>
        <w:bCs w:val="0"/>
      </w:rPr>
    </w:lvl>
  </w:abstractNum>
  <w:abstractNum w:abstractNumId="2">
    <w:nsid w:val="96C00048"/>
    <w:multiLevelType w:val="singleLevel"/>
    <w:tmpl w:val="96C00048"/>
    <w:lvl w:ilvl="0" w:tentative="0">
      <w:start w:val="1"/>
      <w:numFmt w:val="decimal"/>
      <w:suff w:val="space"/>
      <w:lvlText w:val="%1."/>
      <w:lvlJc w:val="left"/>
      <w:pPr>
        <w:ind w:left="0" w:firstLine="420"/>
      </w:pPr>
      <w:rPr>
        <w:rFonts w:hint="default"/>
        <w:b w:val="0"/>
        <w:bCs w:val="0"/>
      </w:rPr>
    </w:lvl>
  </w:abstractNum>
  <w:abstractNum w:abstractNumId="3">
    <w:nsid w:val="B325804C"/>
    <w:multiLevelType w:val="singleLevel"/>
    <w:tmpl w:val="B325804C"/>
    <w:lvl w:ilvl="0" w:tentative="0">
      <w:start w:val="1"/>
      <w:numFmt w:val="decimal"/>
      <w:lvlText w:val="%1."/>
      <w:lvlJc w:val="left"/>
      <w:pPr>
        <w:ind w:left="0" w:firstLine="420"/>
      </w:pPr>
    </w:lvl>
  </w:abstractNum>
  <w:abstractNum w:abstractNumId="4">
    <w:nsid w:val="DC2DF3E4"/>
    <w:multiLevelType w:val="singleLevel"/>
    <w:tmpl w:val="DC2DF3E4"/>
    <w:lvl w:ilvl="0" w:tentative="0">
      <w:start w:val="1"/>
      <w:numFmt w:val="decimal"/>
      <w:lvlText w:val="%1."/>
      <w:lvlJc w:val="left"/>
    </w:lvl>
  </w:abstractNum>
  <w:abstractNum w:abstractNumId="5">
    <w:nsid w:val="EA824C17"/>
    <w:multiLevelType w:val="singleLevel"/>
    <w:tmpl w:val="EA824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5F2078"/>
    <w:multiLevelType w:val="singleLevel"/>
    <w:tmpl w:val="EE5F2078"/>
    <w:lvl w:ilvl="0" w:tentative="0">
      <w:start w:val="1"/>
      <w:numFmt w:val="decimal"/>
      <w:lvlText w:val="%1."/>
      <w:lvlJc w:val="left"/>
      <w:pPr>
        <w:ind w:left="0" w:leftChars="0" w:firstLine="397" w:firstLineChars="0"/>
      </w:pPr>
      <w:rPr>
        <w:rFonts w:hint="default"/>
      </w:rPr>
    </w:lvl>
  </w:abstractNum>
  <w:abstractNum w:abstractNumId="7">
    <w:nsid w:val="1810D674"/>
    <w:multiLevelType w:val="singleLevel"/>
    <w:tmpl w:val="1810D6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86C324B"/>
    <w:multiLevelType w:val="singleLevel"/>
    <w:tmpl w:val="186C324B"/>
    <w:lvl w:ilvl="0" w:tentative="0">
      <w:start w:val="1"/>
      <w:numFmt w:val="decimal"/>
      <w:lvlText w:val="%1."/>
      <w:lvlJc w:val="left"/>
      <w:pPr>
        <w:ind w:left="0" w:firstLine="420"/>
      </w:pPr>
    </w:lvl>
  </w:abstractNum>
  <w:abstractNum w:abstractNumId="9">
    <w:nsid w:val="2063574F"/>
    <w:multiLevelType w:val="singleLevel"/>
    <w:tmpl w:val="2063574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</w:lvl>
  </w:abstractNum>
  <w:abstractNum w:abstractNumId="10">
    <w:nsid w:val="250220CC"/>
    <w:multiLevelType w:val="singleLevel"/>
    <w:tmpl w:val="250220C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293A9558"/>
    <w:multiLevelType w:val="singleLevel"/>
    <w:tmpl w:val="293A9558"/>
    <w:lvl w:ilvl="0" w:tentative="0">
      <w:start w:val="1"/>
      <w:numFmt w:val="decimal"/>
      <w:lvlText w:val="%1."/>
      <w:lvlJc w:val="left"/>
      <w:pPr>
        <w:ind w:left="0" w:firstLine="420"/>
      </w:pPr>
    </w:lvl>
  </w:abstractNum>
  <w:abstractNum w:abstractNumId="12">
    <w:nsid w:val="3FC26225"/>
    <w:multiLevelType w:val="singleLevel"/>
    <w:tmpl w:val="3FC26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BA1"/>
    <w:rsid w:val="005E0AA6"/>
    <w:rsid w:val="01583192"/>
    <w:rsid w:val="015C24EA"/>
    <w:rsid w:val="01BD5744"/>
    <w:rsid w:val="021D04ED"/>
    <w:rsid w:val="02A97FD3"/>
    <w:rsid w:val="04D352F4"/>
    <w:rsid w:val="056A0F14"/>
    <w:rsid w:val="05B80C59"/>
    <w:rsid w:val="05FD2B10"/>
    <w:rsid w:val="07660241"/>
    <w:rsid w:val="08901A19"/>
    <w:rsid w:val="08C3786B"/>
    <w:rsid w:val="097529BD"/>
    <w:rsid w:val="0A2226F7"/>
    <w:rsid w:val="0A7F7F97"/>
    <w:rsid w:val="0B5638DC"/>
    <w:rsid w:val="0D8E6743"/>
    <w:rsid w:val="103709CC"/>
    <w:rsid w:val="10D426BF"/>
    <w:rsid w:val="10FE598E"/>
    <w:rsid w:val="11651569"/>
    <w:rsid w:val="1212349F"/>
    <w:rsid w:val="12305F8D"/>
    <w:rsid w:val="14587BD8"/>
    <w:rsid w:val="14B52807"/>
    <w:rsid w:val="14DC7D94"/>
    <w:rsid w:val="14EE0010"/>
    <w:rsid w:val="15783F61"/>
    <w:rsid w:val="15901032"/>
    <w:rsid w:val="16077093"/>
    <w:rsid w:val="170535D2"/>
    <w:rsid w:val="17832749"/>
    <w:rsid w:val="17BD6337"/>
    <w:rsid w:val="189270E7"/>
    <w:rsid w:val="189C5C61"/>
    <w:rsid w:val="1AEF6A73"/>
    <w:rsid w:val="1BBC447B"/>
    <w:rsid w:val="1BD9502D"/>
    <w:rsid w:val="1BF63E31"/>
    <w:rsid w:val="1C676ADD"/>
    <w:rsid w:val="1CC932F4"/>
    <w:rsid w:val="1E276524"/>
    <w:rsid w:val="1E707ECB"/>
    <w:rsid w:val="1EEB57A3"/>
    <w:rsid w:val="1F5E41C7"/>
    <w:rsid w:val="1FCF0C21"/>
    <w:rsid w:val="209B3CDC"/>
    <w:rsid w:val="20E05897"/>
    <w:rsid w:val="219537A4"/>
    <w:rsid w:val="22C34341"/>
    <w:rsid w:val="25137802"/>
    <w:rsid w:val="25643BBA"/>
    <w:rsid w:val="26AE0194"/>
    <w:rsid w:val="26B75F6B"/>
    <w:rsid w:val="26D625F8"/>
    <w:rsid w:val="26F61189"/>
    <w:rsid w:val="2A426494"/>
    <w:rsid w:val="2C522877"/>
    <w:rsid w:val="2C9A25B7"/>
    <w:rsid w:val="2D79041E"/>
    <w:rsid w:val="2D9C38C2"/>
    <w:rsid w:val="2EB931C8"/>
    <w:rsid w:val="2EEE0025"/>
    <w:rsid w:val="30977539"/>
    <w:rsid w:val="312D1C4B"/>
    <w:rsid w:val="31EF7B42"/>
    <w:rsid w:val="322F2F33"/>
    <w:rsid w:val="32D57A9A"/>
    <w:rsid w:val="333C6176"/>
    <w:rsid w:val="33A65CE5"/>
    <w:rsid w:val="352073D1"/>
    <w:rsid w:val="35292F17"/>
    <w:rsid w:val="356B3A25"/>
    <w:rsid w:val="359F29EC"/>
    <w:rsid w:val="36484E32"/>
    <w:rsid w:val="36EC7002"/>
    <w:rsid w:val="37DF17C6"/>
    <w:rsid w:val="38044D88"/>
    <w:rsid w:val="383E2852"/>
    <w:rsid w:val="386C19EA"/>
    <w:rsid w:val="38D22C14"/>
    <w:rsid w:val="3B9603ED"/>
    <w:rsid w:val="3D872B79"/>
    <w:rsid w:val="3DEA67CE"/>
    <w:rsid w:val="3E854E75"/>
    <w:rsid w:val="3F41113A"/>
    <w:rsid w:val="3F5D194E"/>
    <w:rsid w:val="400224F5"/>
    <w:rsid w:val="40524A88"/>
    <w:rsid w:val="40C854ED"/>
    <w:rsid w:val="40C8729B"/>
    <w:rsid w:val="40D53766"/>
    <w:rsid w:val="41401527"/>
    <w:rsid w:val="41DA7286"/>
    <w:rsid w:val="420A6B47"/>
    <w:rsid w:val="424741EF"/>
    <w:rsid w:val="426D634C"/>
    <w:rsid w:val="44DF1057"/>
    <w:rsid w:val="452A0CEE"/>
    <w:rsid w:val="45CE5353"/>
    <w:rsid w:val="460C58A6"/>
    <w:rsid w:val="46CE6F53"/>
    <w:rsid w:val="473A5ED3"/>
    <w:rsid w:val="47A15762"/>
    <w:rsid w:val="48673535"/>
    <w:rsid w:val="49E67C76"/>
    <w:rsid w:val="4A111CB3"/>
    <w:rsid w:val="4AFF5FAF"/>
    <w:rsid w:val="4C0D46FC"/>
    <w:rsid w:val="4C160AFB"/>
    <w:rsid w:val="4C2A705C"/>
    <w:rsid w:val="4C8A2ADB"/>
    <w:rsid w:val="4DBA61E0"/>
    <w:rsid w:val="4E086F29"/>
    <w:rsid w:val="4EAA6232"/>
    <w:rsid w:val="4EB946C7"/>
    <w:rsid w:val="4F6B3C13"/>
    <w:rsid w:val="50525637"/>
    <w:rsid w:val="513D7184"/>
    <w:rsid w:val="52A03BD4"/>
    <w:rsid w:val="53C42691"/>
    <w:rsid w:val="540C5299"/>
    <w:rsid w:val="547A48F8"/>
    <w:rsid w:val="548E5CAE"/>
    <w:rsid w:val="55052414"/>
    <w:rsid w:val="556C457C"/>
    <w:rsid w:val="55AF1596"/>
    <w:rsid w:val="55E71B19"/>
    <w:rsid w:val="560501F2"/>
    <w:rsid w:val="56AF6ADB"/>
    <w:rsid w:val="58C3061C"/>
    <w:rsid w:val="58CF3F50"/>
    <w:rsid w:val="592B61C1"/>
    <w:rsid w:val="59316B6C"/>
    <w:rsid w:val="59940212"/>
    <w:rsid w:val="5A427C66"/>
    <w:rsid w:val="5A4758E3"/>
    <w:rsid w:val="5A6D0C93"/>
    <w:rsid w:val="5AA81633"/>
    <w:rsid w:val="5C864A33"/>
    <w:rsid w:val="5D172CE4"/>
    <w:rsid w:val="5D354553"/>
    <w:rsid w:val="5D620538"/>
    <w:rsid w:val="5DFB1BC1"/>
    <w:rsid w:val="5E2E29DB"/>
    <w:rsid w:val="5E7F3237"/>
    <w:rsid w:val="5F584860"/>
    <w:rsid w:val="60CC64DC"/>
    <w:rsid w:val="60FF240D"/>
    <w:rsid w:val="61686204"/>
    <w:rsid w:val="6172497C"/>
    <w:rsid w:val="624102D9"/>
    <w:rsid w:val="624433B1"/>
    <w:rsid w:val="62E010C3"/>
    <w:rsid w:val="63E36016"/>
    <w:rsid w:val="63F577A8"/>
    <w:rsid w:val="64963088"/>
    <w:rsid w:val="64FA41EC"/>
    <w:rsid w:val="654518E8"/>
    <w:rsid w:val="66AA2E1B"/>
    <w:rsid w:val="68692862"/>
    <w:rsid w:val="69164798"/>
    <w:rsid w:val="6B7F7069"/>
    <w:rsid w:val="6C9A748E"/>
    <w:rsid w:val="6DC95B75"/>
    <w:rsid w:val="6DEF1E0D"/>
    <w:rsid w:val="6E146DCC"/>
    <w:rsid w:val="6E8D497A"/>
    <w:rsid w:val="6F057370"/>
    <w:rsid w:val="6F795A80"/>
    <w:rsid w:val="702F13E2"/>
    <w:rsid w:val="708B2A21"/>
    <w:rsid w:val="72E94CCB"/>
    <w:rsid w:val="746740F9"/>
    <w:rsid w:val="74D774D1"/>
    <w:rsid w:val="757F74B1"/>
    <w:rsid w:val="76225F59"/>
    <w:rsid w:val="772C5865"/>
    <w:rsid w:val="77BB3CF4"/>
    <w:rsid w:val="78654DF4"/>
    <w:rsid w:val="78880AE2"/>
    <w:rsid w:val="790B6163"/>
    <w:rsid w:val="7B0541F1"/>
    <w:rsid w:val="7B713AB0"/>
    <w:rsid w:val="7C662EE9"/>
    <w:rsid w:val="7DBF0B02"/>
    <w:rsid w:val="7EA668DF"/>
    <w:rsid w:val="7F515A36"/>
    <w:rsid w:val="7F7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e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7436</Words>
  <Characters>10628</Characters>
  <Lines>0</Lines>
  <Paragraphs>0</Paragraphs>
  <TotalTime>5</TotalTime>
  <ScaleCrop>false</ScaleCrop>
  <LinksUpToDate>false</LinksUpToDate>
  <CharactersWithSpaces>11379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2025-04-26T05:27:00Z</dcterms:created>
  <dc:creator>10179</dc:creator>
  <cp:lastModifiedBy>Dora丶lyyyyy</cp:lastModifiedBy>
  <dcterms:modified xsi:type="dcterms:W3CDTF">2025-05-01T12:35:43Z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eyJoZGlkIjoiOGM1ZTRhZGFmZjlmZDYwYTIwYWVjMjdlMmI4ZjY1MTIiLCJ1c2VySWQiOiI4MTU2MDc4OTAifQ==</vt:lpwstr>
  </property>
  <property fmtid="{D5CDD505-2E9C-101B-9397-08002B2CF9AE}" pid="4" name="ICV">
    <vt:lpwstr>7C92A32D2C0D41A28B8B4C755772D23A_13</vt:lpwstr>
  </property>
</Properties>
</file>