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120"/>
        <w:jc w:val="center"/>
      </w:pPr>
      <w:r>
        <w:rPr>
          <w:rFonts w:ascii="맑은 고딕" w:hAnsi="맑은 고딕" w:eastAsia="맑은 고딕"/>
          <w:b w:val="0"/>
          <w:color w:val="888888"/>
          <w:sz w:val="18"/>
        </w:rPr>
        <w:t>CONTRACT NO. KH-2027-0142</w:t>
      </w:r>
    </w:p>
    <w:p>
      <w:pPr>
        <w:spacing w:after="80"/>
        <w:jc w:val="center"/>
        <w:pBdr>
          <w:bottom w:val="single" w:sz="18" w:space="4" w:color="1F3864"/>
        </w:pBdr>
      </w:pPr>
      <w:r>
        <w:rPr>
          <w:rFonts w:ascii="맑은 고딕" w:hAnsi="맑은 고딕" w:eastAsia="맑은 고딕"/>
          <w:b/>
          <w:color w:val="1F3864"/>
          <w:sz w:val="60"/>
        </w:rPr>
        <w:t>부 품 공 급 계 약 서</w:t>
      </w:r>
    </w:p>
    <w:p>
      <w:pPr>
        <w:spacing w:after="800" w:before="120"/>
        <w:jc w:val="center"/>
      </w:pPr>
      <w:r>
        <w:rPr>
          <w:rFonts w:ascii="맑은 고딕" w:hAnsi="맑은 고딕" w:eastAsia="맑은 고딕"/>
          <w:b w:val="0"/>
          <w:color w:val="666666"/>
          <w:sz w:val="20"/>
        </w:rPr>
        <w:t>SUPPLY AGREEMENT FOR INJECTION-MOLDED PARTS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shd w:val="clear" w:color="auto" w:fill="DCE6F2"/>
          </w:tcPr>
          <w:p>
            <w:pPr>
              <w:spacing w:line="31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계약 번호</w:t>
            </w:r>
          </w:p>
        </w:tc>
        <w:tc>
          <w:tcPr>
            <w:tcW w:type="dxa" w:w="6520"/>
          </w:tcPr>
          <w:p>
            <w:pPr>
              <w:spacing w:line="312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KH-2027-0142</w:t>
            </w:r>
          </w:p>
        </w:tc>
      </w:tr>
      <w:tr>
        <w:tc>
          <w:tcPr>
            <w:tcW w:type="dxa" w:w="2268"/>
            <w:shd w:val="clear" w:color="auto" w:fill="DCE6F2"/>
          </w:tcPr>
          <w:p>
            <w:pPr>
              <w:spacing w:line="31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계약 명칭</w:t>
            </w:r>
          </w:p>
        </w:tc>
        <w:tc>
          <w:tcPr>
            <w:tcW w:type="dxa" w:w="6520"/>
          </w:tcPr>
          <w:p>
            <w:pPr>
              <w:spacing w:line="312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합성수지 사출 부품 공급 계약</w:t>
            </w:r>
          </w:p>
        </w:tc>
      </w:tr>
      <w:tr>
        <w:tc>
          <w:tcPr>
            <w:tcW w:type="dxa" w:w="2268"/>
            <w:shd w:val="clear" w:color="auto" w:fill="DCE6F2"/>
          </w:tcPr>
          <w:p>
            <w:pPr>
              <w:spacing w:line="31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발주사 (갑)</w:t>
            </w:r>
          </w:p>
        </w:tc>
        <w:tc>
          <w:tcPr>
            <w:tcW w:type="dxa" w:w="6520"/>
          </w:tcPr>
          <w:p>
            <w:pPr>
              <w:spacing w:line="312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가나다전자 주식회사</w:t>
            </w:r>
          </w:p>
        </w:tc>
      </w:tr>
      <w:tr>
        <w:tc>
          <w:tcPr>
            <w:tcW w:type="dxa" w:w="2268"/>
            <w:shd w:val="clear" w:color="auto" w:fill="DCE6F2"/>
          </w:tcPr>
          <w:p>
            <w:pPr>
              <w:spacing w:line="31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공급사 (을)</w:t>
            </w:r>
          </w:p>
        </w:tc>
        <w:tc>
          <w:tcPr>
            <w:tcW w:type="dxa" w:w="6520"/>
          </w:tcPr>
          <w:p>
            <w:pPr>
              <w:spacing w:line="312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라마바산업 주식회사</w:t>
            </w:r>
          </w:p>
        </w:tc>
      </w:tr>
      <w:tr>
        <w:tc>
          <w:tcPr>
            <w:tcW w:type="dxa" w:w="2268"/>
            <w:shd w:val="clear" w:color="auto" w:fill="DCE6F2"/>
          </w:tcPr>
          <w:p>
            <w:pPr>
              <w:spacing w:line="31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계약 기간</w:t>
            </w:r>
          </w:p>
        </w:tc>
        <w:tc>
          <w:tcPr>
            <w:tcW w:type="dxa" w:w="6520"/>
          </w:tcPr>
          <w:p>
            <w:pPr>
              <w:spacing w:line="312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2027. 1. 1. ~ 2027. 12. 31.</w:t>
            </w:r>
          </w:p>
        </w:tc>
      </w:tr>
    </w:tbl>
    <w:p>
      <w:pPr>
        <w:spacing w:after="1200"/>
      </w:pP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sz w:val="24"/>
        </w:rPr>
        <w:t>2027년 1월 1일</w:t>
      </w:r>
    </w:p>
    <w:p>
      <w:pPr>
        <w:jc w:val="center"/>
      </w:pPr>
      <w:r>
        <w:rPr>
          <w:rFonts w:ascii="맑은 고딕" w:hAnsi="맑은 고딕" w:eastAsia="맑은 고딕"/>
          <w:b/>
          <w:color w:val="1F3864"/>
          <w:sz w:val="24"/>
        </w:rPr>
        <w:t>가나다전자 주식회사  ·  라마바산업 주식회사</w:t>
      </w:r>
    </w:p>
    <w:p>
      <w:pPr>
        <w:spacing w:after="600"/>
      </w:pPr>
    </w:p>
    <w:p>
      <w:pPr>
        <w:jc w:val="center"/>
      </w:pPr>
      <w:r>
        <w:rPr>
          <w:rFonts w:ascii="맑은 고딕" w:hAnsi="맑은 고딕" w:eastAsia="맑은 고딕"/>
          <w:b w:val="0"/>
          <w:color w:val="C0392B"/>
          <w:sz w:val="18"/>
        </w:rPr>
        <w:t>※ 이 문서는 교육 실습을 위해 만든 가상의 계약서입니다. 실제 회사·금액과 무관합니다.</w:t>
      </w:r>
    </w:p>
    <w:p>
      <w:r>
        <w:br w:type="page"/>
      </w:r>
    </w:p>
    <w:p>
      <w:pPr>
        <w:spacing w:after="160"/>
        <w:jc w:val="center"/>
      </w:pPr>
      <w:r>
        <w:rPr>
          <w:rFonts w:ascii="맑은 고딕" w:hAnsi="맑은 고딕" w:eastAsia="맑은 고딕"/>
          <w:b/>
          <w:color w:val="1F3864"/>
          <w:sz w:val="36"/>
        </w:rPr>
        <w:t>부 품 공 급 계 약 서</w:t>
      </w:r>
    </w:p>
    <w:p>
      <w:pPr>
        <w:spacing w:after="200"/>
      </w:pPr>
      <w:r>
        <w:rPr>
          <w:rFonts w:ascii="맑은 고딕" w:hAnsi="맑은 고딕" w:eastAsia="맑은 고딕"/>
          <w:b w:val="0"/>
        </w:rPr>
        <w:t>가나다전자 주식회사(이하 “갑”)와 라마바산업 주식회사(이하 “을”)는 갑이 필요로 하는 부품의 공급에 관하여 다음과 같이 계약을 체결한다.</w:t>
      </w:r>
    </w:p>
    <w:p>
      <w:pPr>
        <w:keepNext/>
        <w:spacing w:after="20" w:before="160"/>
      </w:pPr>
      <w:r>
        <w:rPr>
          <w:rFonts w:ascii="맑은 고딕" w:hAnsi="맑은 고딕" w:eastAsia="맑은 고딕"/>
          <w:b/>
          <w:color w:val="1F3864"/>
          <w:sz w:val="23"/>
        </w:rPr>
        <w:t>제1조 (목적)</w:t>
      </w:r>
    </w:p>
    <w:p>
      <w:pPr>
        <w:ind w:left="227"/>
      </w:pPr>
      <w:r>
        <w:rPr>
          <w:rFonts w:ascii="맑은 고딕" w:hAnsi="맑은 고딕" w:eastAsia="맑은 고딕"/>
          <w:b w:val="0"/>
        </w:rPr>
        <w:t>본 계약은 을이 갑에게 합성수지 사출 부품(이하 “목적물”)을 제작·공급하는 데 필요한 사항을 정함을 목적으로 한다.</w:t>
      </w:r>
    </w:p>
    <w:p>
      <w:pPr>
        <w:keepNext/>
        <w:spacing w:after="20" w:before="160"/>
      </w:pPr>
      <w:r>
        <w:rPr>
          <w:rFonts w:ascii="맑은 고딕" w:hAnsi="맑은 고딕" w:eastAsia="맑은 고딕"/>
          <w:b/>
          <w:color w:val="1F3864"/>
          <w:sz w:val="23"/>
        </w:rPr>
        <w:t>제2조 (계약 기간)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① 계약 기간은 2027년 1월 1일부터 2027년 12월 31일까지로 한다.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② 갑이 별도의 의사표시를 하지 않으면 동일 조건으로 1년씩 자동 연장된다.</w:t>
      </w:r>
    </w:p>
    <w:p>
      <w:pPr>
        <w:keepNext/>
        <w:spacing w:after="20" w:before="160"/>
      </w:pPr>
      <w:r>
        <w:rPr>
          <w:rFonts w:ascii="맑은 고딕" w:hAnsi="맑은 고딕" w:eastAsia="맑은 고딕"/>
          <w:b/>
          <w:color w:val="1F3864"/>
          <w:sz w:val="23"/>
        </w:rPr>
        <w:t>제3조 (단가)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① 목적물의 단가는 별표 1에 따른다.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② 갑은 시장 상황에 따라 필요하다고 판단하는 경우 단가의 인하를 요구할 수 있으며, 을은 이에 이의 없이 따른다.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③ 원재료 가격이 상승하더라도 단가는 조정하지 아니한다.</w:t>
      </w:r>
    </w:p>
    <w:p>
      <w:pPr>
        <w:keepNext/>
        <w:spacing w:after="20" w:before="160"/>
      </w:pPr>
      <w:r>
        <w:rPr>
          <w:rFonts w:ascii="맑은 고딕" w:hAnsi="맑은 고딕" w:eastAsia="맑은 고딕"/>
          <w:b/>
          <w:color w:val="1F3864"/>
          <w:sz w:val="23"/>
        </w:rPr>
        <w:t>제4조 (납품)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① 을은 갑이 발주서로 지정한 일시와 장소에 목적물을 납품한다.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② 갑은 발주 수량과 납기를 납기 3일 전까지 변경할 수 있으며, 변경으로 인한 추가 비용은 을이 부담한다.</w:t>
      </w:r>
    </w:p>
    <w:p>
      <w:pPr>
        <w:keepNext/>
        <w:spacing w:after="20" w:before="160"/>
      </w:pPr>
      <w:r>
        <w:rPr>
          <w:rFonts w:ascii="맑은 고딕" w:hAnsi="맑은 고딕" w:eastAsia="맑은 고딕"/>
          <w:b/>
          <w:color w:val="1F3864"/>
          <w:sz w:val="23"/>
        </w:rPr>
        <w:t>제5조 (검사)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① 갑은 납품 후 90일 이내에 검사를 실시할 수 있다.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② 검사에서 불합격한 목적물의 반품·재작업·폐기 비용 및 갑의 생산 차질 손해는 모두 을이 부담한다.</w:t>
      </w:r>
    </w:p>
    <w:p>
      <w:pPr>
        <w:keepNext/>
        <w:spacing w:after="20" w:before="160"/>
      </w:pPr>
      <w:r>
        <w:rPr>
          <w:rFonts w:ascii="맑은 고딕" w:hAnsi="맑은 고딕" w:eastAsia="맑은 고딕"/>
          <w:b/>
          <w:color w:val="1F3864"/>
          <w:sz w:val="23"/>
        </w:rPr>
        <w:t>제6조 (대금 지급)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① 갑은 검수 완료일이 속한 달의 말일부터 90일 후에 대금을 지급한다.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② 지급은 갑이 정하는 어음 또는 현금으로 하며, 어음의 만기는 별도로 정한다.</w:t>
      </w:r>
    </w:p>
    <w:p>
      <w:pPr>
        <w:keepNext/>
        <w:spacing w:after="20" w:before="160"/>
      </w:pPr>
      <w:r>
        <w:rPr>
          <w:rFonts w:ascii="맑은 고딕" w:hAnsi="맑은 고딕" w:eastAsia="맑은 고딕"/>
          <w:b/>
          <w:color w:val="1F3864"/>
          <w:sz w:val="23"/>
        </w:rPr>
        <w:t>제7조 (지체상금)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① 을이 납기를 지연한 경우 지연 일수 1일당 납품 대금의 0.5%에 해당하는 지체상금을 갑에게 지급한다.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② 지체상금의 상한은 두지 아니한다.</w:t>
      </w:r>
    </w:p>
    <w:p>
      <w:pPr>
        <w:keepNext/>
        <w:spacing w:after="20" w:before="160"/>
      </w:pPr>
      <w:r>
        <w:rPr>
          <w:rFonts w:ascii="맑은 고딕" w:hAnsi="맑은 고딕" w:eastAsia="맑은 고딕"/>
          <w:b/>
          <w:color w:val="1F3864"/>
          <w:sz w:val="23"/>
        </w:rPr>
        <w:t>제8조 (하자보증)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① 을은 목적물에 대하여 납품일로부터 5년간 하자를 보증한다.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② 보증 기간 중 발생한 모든 하자의 원인이 불분명한 경우에도 을이 책임을 진다.</w:t>
      </w:r>
    </w:p>
    <w:p>
      <w:pPr>
        <w:keepNext/>
        <w:spacing w:after="20" w:before="160"/>
      </w:pPr>
      <w:r>
        <w:rPr>
          <w:rFonts w:ascii="맑은 고딕" w:hAnsi="맑은 고딕" w:eastAsia="맑은 고딕"/>
          <w:b/>
          <w:color w:val="1F3864"/>
          <w:sz w:val="23"/>
        </w:rPr>
        <w:t>제9조 (지식재산권)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① 본 계약과 관련하여 을이 개발하거나 보유한 금형, 설계, 공정 기술 등 모든 지식재산권은 갑에게 귀속한다.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② 을은 이를 제3자에게 사용하게 할 수 없으며, 갑은 별도의 대가를 지급하지 아니한다.</w:t>
      </w:r>
    </w:p>
    <w:p>
      <w:pPr>
        <w:keepNext/>
        <w:spacing w:after="20" w:before="160"/>
      </w:pPr>
      <w:r>
        <w:rPr>
          <w:rFonts w:ascii="맑은 고딕" w:hAnsi="맑은 고딕" w:eastAsia="맑은 고딕"/>
          <w:b/>
          <w:color w:val="1F3864"/>
          <w:sz w:val="23"/>
        </w:rPr>
        <w:t>제10조 (비밀유지)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① 을은 본 계약과 관련하여 알게 된 갑의 모든 정보를 계약 종료 후 영구히 비밀로 유지한다.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② 갑의 비밀유지 의무에 관하여는 별도로 정하지 아니한다.</w:t>
      </w:r>
    </w:p>
    <w:p>
      <w:pPr>
        <w:keepNext/>
        <w:spacing w:after="20" w:before="160"/>
      </w:pPr>
      <w:r>
        <w:rPr>
          <w:rFonts w:ascii="맑은 고딕" w:hAnsi="맑은 고딕" w:eastAsia="맑은 고딕"/>
          <w:b/>
          <w:color w:val="1F3864"/>
          <w:sz w:val="23"/>
        </w:rPr>
        <w:t>제11조 (손해배상)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① 을의 귀책 여부와 관계없이 목적물로 인하여 갑 또는 제3자에게 발생한 모든 손해는 을이 배상한다.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② 배상 한도는 정하지 아니한다.</w:t>
      </w:r>
    </w:p>
    <w:p>
      <w:pPr>
        <w:keepNext/>
        <w:spacing w:after="20" w:before="160"/>
      </w:pPr>
      <w:r>
        <w:rPr>
          <w:rFonts w:ascii="맑은 고딕" w:hAnsi="맑은 고딕" w:eastAsia="맑은 고딕"/>
          <w:b/>
          <w:color w:val="1F3864"/>
          <w:sz w:val="23"/>
        </w:rPr>
        <w:t>제12조 (계약 해지)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① 갑은 언제든지 사전 통지 없이 본 계약의 전부 또는 일부를 해지할 수 있다.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② 을은 갑의 사유로 해지되더라도 이미 투입한 비용에 대하여 갑에게 청구할 수 없다.</w:t>
      </w:r>
    </w:p>
    <w:p>
      <w:pPr>
        <w:keepNext/>
        <w:spacing w:after="20" w:before="160"/>
      </w:pPr>
      <w:r>
        <w:rPr>
          <w:rFonts w:ascii="맑은 고딕" w:hAnsi="맑은 고딕" w:eastAsia="맑은 고딕"/>
          <w:b/>
          <w:color w:val="1F3864"/>
          <w:sz w:val="23"/>
        </w:rPr>
        <w:t>제13조 (재하도급)</w:t>
      </w:r>
    </w:p>
    <w:p>
      <w:pPr>
        <w:ind w:left="227"/>
      </w:pPr>
      <w:r>
        <w:rPr>
          <w:rFonts w:ascii="맑은 고딕" w:hAnsi="맑은 고딕" w:eastAsia="맑은 고딕"/>
          <w:b w:val="0"/>
        </w:rPr>
        <w:t>을은 갑의 사전 서면 동의 없이 본 계약상의 업무를 제3자에게 맡길 수 없다.</w:t>
      </w:r>
    </w:p>
    <w:p>
      <w:pPr>
        <w:keepNext/>
        <w:spacing w:after="20" w:before="160"/>
      </w:pPr>
      <w:r>
        <w:rPr>
          <w:rFonts w:ascii="맑은 고딕" w:hAnsi="맑은 고딕" w:eastAsia="맑은 고딕"/>
          <w:b/>
          <w:color w:val="1F3864"/>
          <w:sz w:val="23"/>
        </w:rPr>
        <w:t>제14조 (분쟁 해결)</w:t>
      </w:r>
    </w:p>
    <w:p>
      <w:pPr>
        <w:ind w:left="227"/>
      </w:pPr>
      <w:r>
        <w:rPr>
          <w:rFonts w:ascii="맑은 고딕" w:hAnsi="맑은 고딕" w:eastAsia="맑은 고딕"/>
          <w:b w:val="0"/>
        </w:rPr>
        <w:t>본 계약에 관한 분쟁은 갑의 본사 소재지 관할 법원을 전속 관할로 한다.</w:t>
      </w:r>
    </w:p>
    <w:p>
      <w:pPr>
        <w:keepNext/>
        <w:spacing w:after="20" w:before="160"/>
      </w:pPr>
      <w:r>
        <w:rPr>
          <w:rFonts w:ascii="맑은 고딕" w:hAnsi="맑은 고딕" w:eastAsia="맑은 고딕"/>
          <w:b/>
          <w:color w:val="1F3864"/>
          <w:sz w:val="23"/>
        </w:rPr>
        <w:t>제15조 (안전재고)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① 을은 갑의 월 예상 발주 수량 기준 3개월분의 안전재고를 을의 비용으로 보유하고 보관·관리한다.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② 갑이 발주하지 않은 재고의 보관·폐기 비용은 을이 부담하며, 갑은 이를 보상하지 아니한다.</w:t>
      </w:r>
    </w:p>
    <w:p>
      <w:pPr>
        <w:keepNext/>
        <w:spacing w:after="20" w:before="160"/>
      </w:pPr>
      <w:r>
        <w:rPr>
          <w:rFonts w:ascii="맑은 고딕" w:hAnsi="맑은 고딕" w:eastAsia="맑은 고딕"/>
          <w:b/>
          <w:color w:val="1F3864"/>
          <w:sz w:val="23"/>
        </w:rPr>
        <w:t>제16조 (금형)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① 목적물 제작에 필요한 금형은 을이 비용을 들여 제작하며, 금형 제작비는 별표 1의 단가에 포함된 것으로 본다.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② 갑이 요청하는 경우 을은 금형을 갑이 지정하는 장소로 인도하며, 계약 종료 후 금형의 보관·폐기 비용은 을이 부담한다.</w:t>
      </w:r>
    </w:p>
    <w:p>
      <w:pPr>
        <w:keepNext/>
        <w:spacing w:after="20" w:before="160"/>
      </w:pPr>
      <w:r>
        <w:rPr>
          <w:rFonts w:ascii="맑은 고딕" w:hAnsi="맑은 고딕" w:eastAsia="맑은 고딕"/>
          <w:b/>
          <w:color w:val="1F3864"/>
          <w:sz w:val="23"/>
        </w:rPr>
        <w:t>제17조 (설계 변경)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① 갑은 필요한 경우 도면과 사양을 변경할 수 있으며, 을은 변경된 사양에 따라 납품한다.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② 설계 변경에 따른 금형 수정비와 재고 폐기 비용은 을이 부담하며, 단가는 조정하지 아니한다.</w:t>
      </w:r>
    </w:p>
    <w:p>
      <w:pPr>
        <w:keepNext/>
        <w:spacing w:after="20" w:before="160"/>
      </w:pPr>
      <w:r>
        <w:rPr>
          <w:rFonts w:ascii="맑은 고딕" w:hAnsi="맑은 고딕" w:eastAsia="맑은 고딕"/>
          <w:b/>
          <w:color w:val="1F3864"/>
          <w:sz w:val="23"/>
        </w:rPr>
        <w:t>제18조 (품질 기준과 협력사 평가)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① 을은 별표 3의 품질 기준을 준수하며, 갑은 분기마다 을을 평가한다.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② 평가 점수가 갑이 정한 기준에 미달하는 경우 갑은 발주 물량을 줄이거나 거래를 중단할 수 있다.</w:t>
      </w:r>
    </w:p>
    <w:p>
      <w:pPr>
        <w:keepNext/>
        <w:spacing w:after="20" w:before="160"/>
      </w:pPr>
      <w:r>
        <w:rPr>
          <w:rFonts w:ascii="맑은 고딕" w:hAnsi="맑은 고딕" w:eastAsia="맑은 고딕"/>
          <w:b/>
          <w:color w:val="1F3864"/>
          <w:sz w:val="23"/>
        </w:rPr>
        <w:t>제19조 (불량 및 클레임)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① 목적물의 불량으로 갑의 생산 라인이 정지된 경우 을은 갑이 산정한 라인 정지 비용, 선별 비용, 재작업 인건비를 배상한다.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② 갑이 청구한 금액에 대하여 을은 이의를 제기할 수 없다.</w:t>
      </w:r>
    </w:p>
    <w:p>
      <w:pPr>
        <w:keepNext/>
        <w:spacing w:after="20" w:before="160"/>
      </w:pPr>
      <w:r>
        <w:rPr>
          <w:rFonts w:ascii="맑은 고딕" w:hAnsi="맑은 고딕" w:eastAsia="맑은 고딕"/>
          <w:b/>
          <w:color w:val="1F3864"/>
          <w:sz w:val="23"/>
        </w:rPr>
        <w:t>제20조 (독점 공급)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① 을은 본 목적물과 동일하거나 유사한 제품을 갑의 경쟁사에 공급할 수 없다.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② 다만 갑은 을 외의 제3자로부터 같은 목적물을 자유롭게 공급받을 수 있다.</w:t>
      </w:r>
    </w:p>
    <w:p>
      <w:pPr>
        <w:keepNext/>
        <w:spacing w:after="20" w:before="160"/>
      </w:pPr>
      <w:r>
        <w:rPr>
          <w:rFonts w:ascii="맑은 고딕" w:hAnsi="맑은 고딕" w:eastAsia="맑은 고딕"/>
          <w:b/>
          <w:color w:val="1F3864"/>
          <w:sz w:val="23"/>
        </w:rPr>
        <w:t>제21조 (기술자료 제출)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① 갑은 품질 확인을 위하여 을에게 공정도, 원가 구성 자료, 금형 도면 등의 제출을 요청할 수 있으며, 을은 이에 응한다.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② 제출된 자료의 사용 범위와 반환에 관하여는 별도로 정하지 아니한다.</w:t>
      </w:r>
    </w:p>
    <w:p>
      <w:pPr>
        <w:keepNext/>
        <w:spacing w:after="20" w:before="160"/>
      </w:pPr>
      <w:r>
        <w:rPr>
          <w:rFonts w:ascii="맑은 고딕" w:hAnsi="맑은 고딕" w:eastAsia="맑은 고딕"/>
          <w:b/>
          <w:color w:val="1F3864"/>
          <w:sz w:val="23"/>
        </w:rPr>
        <w:t>제22조 (상계)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① 갑은 을에 대하여 가지는 채권을 본 계약에 따른 대금과 상계할 수 있다.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② 을은 갑에 대한 채권을 갑의 대금 채권과 상계할 수 없다.</w:t>
      </w:r>
    </w:p>
    <w:p>
      <w:pPr>
        <w:keepNext/>
        <w:spacing w:after="20" w:before="160"/>
      </w:pPr>
      <w:r>
        <w:rPr>
          <w:rFonts w:ascii="맑은 고딕" w:hAnsi="맑은 고딕" w:eastAsia="맑은 고딕"/>
          <w:b/>
          <w:color w:val="1F3864"/>
          <w:sz w:val="23"/>
        </w:rPr>
        <w:t>제23조 (환경·안전 및 현장 점검)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① 을은 관련 법령에 따른 환경·안전 의무를 준수한다.</w:t>
      </w:r>
    </w:p>
    <w:p>
      <w:pPr>
        <w:ind w:left="510" w:hanging="283"/>
      </w:pPr>
      <w:r>
        <w:rPr>
          <w:rFonts w:ascii="맑은 고딕" w:hAnsi="맑은 고딕" w:eastAsia="맑은 고딕"/>
          <w:b w:val="0"/>
        </w:rPr>
        <w:t>② 갑은 사전 통지 없이 을의 사업장을 점검할 수 있으며, 을이 환경·안전 규정을 위반한 경우 갑은 계약을 즉시 해지하고 손해를 청구할 수 있다.</w:t>
      </w:r>
    </w:p>
    <w:p>
      <w:pPr>
        <w:keepNext/>
        <w:spacing w:after="20" w:before="160"/>
      </w:pPr>
      <w:r>
        <w:rPr>
          <w:rFonts w:ascii="맑은 고딕" w:hAnsi="맑은 고딕" w:eastAsia="맑은 고딕"/>
          <w:b/>
          <w:color w:val="1F3864"/>
          <w:sz w:val="23"/>
        </w:rPr>
        <w:t>제24조 (보험)</w:t>
      </w:r>
    </w:p>
    <w:p>
      <w:pPr>
        <w:ind w:left="227"/>
      </w:pPr>
      <w:r>
        <w:rPr>
          <w:rFonts w:ascii="맑은 고딕" w:hAnsi="맑은 고딕" w:eastAsia="맑은 고딕"/>
          <w:b w:val="0"/>
        </w:rPr>
        <w:t>을은 목적물로 인한 사고에 대비하여 생산물배상책임보험에 가입하고, 갑의 요청 시 증권 사본을 제출한다.</w:t>
      </w:r>
    </w:p>
    <w:p>
      <w:pPr>
        <w:keepNext/>
        <w:spacing w:after="20" w:before="160"/>
      </w:pPr>
      <w:r>
        <w:rPr>
          <w:rFonts w:ascii="맑은 고딕" w:hAnsi="맑은 고딕" w:eastAsia="맑은 고딕"/>
          <w:b/>
          <w:color w:val="1F3864"/>
          <w:sz w:val="23"/>
        </w:rPr>
        <w:t>제25조 (계약의 변경)</w:t>
      </w:r>
    </w:p>
    <w:p>
      <w:pPr>
        <w:ind w:left="227"/>
      </w:pPr>
      <w:r>
        <w:rPr>
          <w:rFonts w:ascii="맑은 고딕" w:hAnsi="맑은 고딕" w:eastAsia="맑은 고딕"/>
          <w:b w:val="0"/>
        </w:rPr>
        <w:t>본 계약의 내용을 변경하려면 갑과 을이 서면으로 합의하여야 한다.</w:t>
      </w:r>
    </w:p>
    <w:p>
      <w:pPr>
        <w:keepNext/>
        <w:spacing w:after="20" w:before="160"/>
      </w:pPr>
      <w:r>
        <w:rPr>
          <w:rFonts w:ascii="맑은 고딕" w:hAnsi="맑은 고딕" w:eastAsia="맑은 고딕"/>
          <w:b/>
          <w:color w:val="1F3864"/>
          <w:sz w:val="23"/>
        </w:rPr>
        <w:t>제26조 (기타)</w:t>
      </w:r>
    </w:p>
    <w:p>
      <w:pPr>
        <w:ind w:left="227"/>
      </w:pPr>
      <w:r>
        <w:rPr>
          <w:rFonts w:ascii="맑은 고딕" w:hAnsi="맑은 고딕" w:eastAsia="맑은 고딕"/>
          <w:b w:val="0"/>
        </w:rPr>
        <w:t>본 계약에서 정하지 아니한 사항은 갑과 을이 협의하여 정하되, 협의가 이루어지지 않는 경우 갑의 해석에 따른다.</w:t>
      </w:r>
    </w:p>
    <w:p>
      <w:pPr>
        <w:spacing w:after="120"/>
      </w:pPr>
    </w:p>
    <w:p>
      <w:pPr>
        <w:spacing w:after="240" w:before="160"/>
      </w:pPr>
      <w:r>
        <w:rPr>
          <w:rFonts w:ascii="맑은 고딕" w:hAnsi="맑은 고딕" w:eastAsia="맑은 고딕"/>
          <w:b w:val="0"/>
        </w:rPr>
        <w:t>본 계약의 성립을 증명하기 위하여 계약서 2부를 작성하고, 갑과 을이 각각 서명 또는 날인한 후 1부씩 보관한다.</w:t>
      </w:r>
    </w:p>
    <w:p>
      <w:pPr>
        <w:spacing w:after="200"/>
        <w:jc w:val="center"/>
      </w:pPr>
      <w:r>
        <w:rPr>
          <w:rFonts w:ascii="맑은 고딕" w:hAnsi="맑은 고딕" w:eastAsia="맑은 고딕"/>
          <w:b/>
          <w:sz w:val="24"/>
        </w:rPr>
        <w:t>2027년 1월 1일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F5F7FA"/>
          </w:tcPr>
          <w:p>
            <w:pPr>
              <w:spacing w:line="384" w:lineRule="auto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【 갑 】</w:t>
            </w:r>
          </w:p>
          <w:p>
            <w:pPr>
              <w:spacing w:line="384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가나다전자 주식회사</w:t>
            </w:r>
          </w:p>
          <w:p>
            <w:pPr>
              <w:spacing w:line="384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경기도 ○○시 ○○로 123</w:t>
            </w:r>
          </w:p>
          <w:p>
            <w:pPr>
              <w:spacing w:line="384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대표이사   김 가 나   (인)</w:t>
            </w:r>
          </w:p>
        </w:tc>
        <w:tc>
          <w:tcPr>
            <w:tcW w:type="dxa" w:w="4592"/>
            <w:shd w:val="clear" w:color="auto" w:fill="F5F7FA"/>
          </w:tcPr>
          <w:p>
            <w:pPr>
              <w:spacing w:line="384" w:lineRule="auto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【 을 】</w:t>
            </w:r>
          </w:p>
          <w:p>
            <w:pPr>
              <w:spacing w:line="384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라마바산업 주식회사</w:t>
            </w:r>
          </w:p>
          <w:p>
            <w:pPr>
              <w:spacing w:line="384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전라남도 ○○시 ○○로 45</w:t>
            </w:r>
          </w:p>
          <w:p>
            <w:pPr>
              <w:spacing w:line="384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대표이사   이 라 마   (인)</w:t>
            </w:r>
          </w:p>
        </w:tc>
      </w:tr>
    </w:tbl>
    <w:p>
      <w:pPr>
        <w:pageBreakBefore/>
        <w:spacing w:after="40"/>
      </w:pPr>
      <w:r>
        <w:rPr>
          <w:rFonts w:ascii="맑은 고딕" w:hAnsi="맑은 고딕" w:eastAsia="맑은 고딕"/>
          <w:b/>
          <w:color w:val="1F3864"/>
          <w:sz w:val="28"/>
        </w:rPr>
        <w:t>[별표 1]  목적물 및 단가</w:t>
      </w:r>
    </w:p>
    <w:p>
      <w:pPr>
        <w:jc w:val="right"/>
      </w:pPr>
      <w:r>
        <w:rPr>
          <w:rFonts w:ascii="맑은 고딕" w:hAnsi="맑은 고딕" w:eastAsia="맑은 고딕"/>
          <w:b w:val="0"/>
          <w:color w:val="666666"/>
          <w:sz w:val="18"/>
        </w:rPr>
        <w:t>(단위: 원, 부가가치세 별도)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1F3864"/>
          </w:tcPr>
          <w:p>
            <w:pPr>
              <w:spacing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품번</w:t>
            </w:r>
          </w:p>
        </w:tc>
        <w:tc>
          <w:tcPr>
            <w:tcW w:type="dxa" w:w="1837"/>
            <w:shd w:val="clear" w:color="auto" w:fill="1F3864"/>
          </w:tcPr>
          <w:p>
            <w:pPr>
              <w:spacing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품명</w:t>
            </w:r>
          </w:p>
        </w:tc>
        <w:tc>
          <w:tcPr>
            <w:tcW w:type="dxa" w:w="1837"/>
            <w:shd w:val="clear" w:color="auto" w:fill="1F3864"/>
          </w:tcPr>
          <w:p>
            <w:pPr>
              <w:spacing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재질</w:t>
            </w:r>
          </w:p>
        </w:tc>
        <w:tc>
          <w:tcPr>
            <w:tcW w:type="dxa" w:w="1837"/>
            <w:shd w:val="clear" w:color="auto" w:fill="1F3864"/>
          </w:tcPr>
          <w:p>
            <w:pPr>
              <w:spacing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단가</w:t>
            </w:r>
          </w:p>
        </w:tc>
        <w:tc>
          <w:tcPr>
            <w:tcW w:type="dxa" w:w="1837"/>
            <w:shd w:val="clear" w:color="auto" w:fill="1F3864"/>
          </w:tcPr>
          <w:p>
            <w:pPr>
              <w:spacing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월 예상 수량</w:t>
            </w:r>
          </w:p>
        </w:tc>
      </w:tr>
      <w:tr>
        <w:tc>
          <w:tcPr>
            <w:tcW w:type="dxa" w:w="1837"/>
          </w:tcPr>
          <w:p>
            <w:pPr>
              <w:spacing w:line="31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KP-1001</w:t>
            </w:r>
          </w:p>
        </w:tc>
        <w:tc>
          <w:tcPr>
            <w:tcW w:type="dxa" w:w="1837"/>
          </w:tcPr>
          <w:p>
            <w:pPr>
              <w:spacing w:line="312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외장 케이스 (상)</w:t>
            </w:r>
          </w:p>
        </w:tc>
        <w:tc>
          <w:tcPr>
            <w:tcW w:type="dxa" w:w="1837"/>
          </w:tcPr>
          <w:p>
            <w:pPr>
              <w:spacing w:line="31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ABS</w:t>
            </w:r>
          </w:p>
        </w:tc>
        <w:tc>
          <w:tcPr>
            <w:tcW w:type="dxa" w:w="1837"/>
          </w:tcPr>
          <w:p>
            <w:pPr>
              <w:spacing w:line="312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1,250</w:t>
            </w:r>
          </w:p>
        </w:tc>
        <w:tc>
          <w:tcPr>
            <w:tcW w:type="dxa" w:w="1837"/>
          </w:tcPr>
          <w:p>
            <w:pPr>
              <w:spacing w:line="312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40,000</w:t>
            </w:r>
          </w:p>
        </w:tc>
      </w:tr>
      <w:tr>
        <w:tc>
          <w:tcPr>
            <w:tcW w:type="dxa" w:w="1837"/>
            <w:shd w:val="clear" w:color="auto" w:fill="F5F7FA"/>
          </w:tcPr>
          <w:p>
            <w:pPr>
              <w:spacing w:line="31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KP-1002</w:t>
            </w:r>
          </w:p>
        </w:tc>
        <w:tc>
          <w:tcPr>
            <w:tcW w:type="dxa" w:w="1837"/>
            <w:shd w:val="clear" w:color="auto" w:fill="F5F7FA"/>
          </w:tcPr>
          <w:p>
            <w:pPr>
              <w:spacing w:line="312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외장 케이스 (하)</w:t>
            </w:r>
          </w:p>
        </w:tc>
        <w:tc>
          <w:tcPr>
            <w:tcW w:type="dxa" w:w="1837"/>
            <w:shd w:val="clear" w:color="auto" w:fill="F5F7FA"/>
          </w:tcPr>
          <w:p>
            <w:pPr>
              <w:spacing w:line="31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ABS</w:t>
            </w:r>
          </w:p>
        </w:tc>
        <w:tc>
          <w:tcPr>
            <w:tcW w:type="dxa" w:w="1837"/>
            <w:shd w:val="clear" w:color="auto" w:fill="F5F7FA"/>
          </w:tcPr>
          <w:p>
            <w:pPr>
              <w:spacing w:line="312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1,180</w:t>
            </w:r>
          </w:p>
        </w:tc>
        <w:tc>
          <w:tcPr>
            <w:tcW w:type="dxa" w:w="1837"/>
            <w:shd w:val="clear" w:color="auto" w:fill="F5F7FA"/>
          </w:tcPr>
          <w:p>
            <w:pPr>
              <w:spacing w:line="312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40,000</w:t>
            </w:r>
          </w:p>
        </w:tc>
      </w:tr>
      <w:tr>
        <w:tc>
          <w:tcPr>
            <w:tcW w:type="dxa" w:w="1837"/>
          </w:tcPr>
          <w:p>
            <w:pPr>
              <w:spacing w:line="31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KP-2010</w:t>
            </w:r>
          </w:p>
        </w:tc>
        <w:tc>
          <w:tcPr>
            <w:tcW w:type="dxa" w:w="1837"/>
          </w:tcPr>
          <w:p>
            <w:pPr>
              <w:spacing w:line="312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내부 브래킷</w:t>
            </w:r>
          </w:p>
        </w:tc>
        <w:tc>
          <w:tcPr>
            <w:tcW w:type="dxa" w:w="1837"/>
          </w:tcPr>
          <w:p>
            <w:pPr>
              <w:spacing w:line="31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PC+GF</w:t>
            </w:r>
          </w:p>
        </w:tc>
        <w:tc>
          <w:tcPr>
            <w:tcW w:type="dxa" w:w="1837"/>
          </w:tcPr>
          <w:p>
            <w:pPr>
              <w:spacing w:line="312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860</w:t>
            </w:r>
          </w:p>
        </w:tc>
        <w:tc>
          <w:tcPr>
            <w:tcW w:type="dxa" w:w="1837"/>
          </w:tcPr>
          <w:p>
            <w:pPr>
              <w:spacing w:line="312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80,000</w:t>
            </w:r>
          </w:p>
        </w:tc>
      </w:tr>
      <w:tr>
        <w:tc>
          <w:tcPr>
            <w:tcW w:type="dxa" w:w="1837"/>
            <w:shd w:val="clear" w:color="auto" w:fill="F5F7FA"/>
          </w:tcPr>
          <w:p>
            <w:pPr>
              <w:spacing w:line="31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KP-2011</w:t>
            </w:r>
          </w:p>
        </w:tc>
        <w:tc>
          <w:tcPr>
            <w:tcW w:type="dxa" w:w="1837"/>
            <w:shd w:val="clear" w:color="auto" w:fill="F5F7FA"/>
          </w:tcPr>
          <w:p>
            <w:pPr>
              <w:spacing w:line="312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스위치 커버</w:t>
            </w:r>
          </w:p>
        </w:tc>
        <w:tc>
          <w:tcPr>
            <w:tcW w:type="dxa" w:w="1837"/>
            <w:shd w:val="clear" w:color="auto" w:fill="F5F7FA"/>
          </w:tcPr>
          <w:p>
            <w:pPr>
              <w:spacing w:line="31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PC</w:t>
            </w:r>
          </w:p>
        </w:tc>
        <w:tc>
          <w:tcPr>
            <w:tcW w:type="dxa" w:w="1837"/>
            <w:shd w:val="clear" w:color="auto" w:fill="F5F7FA"/>
          </w:tcPr>
          <w:p>
            <w:pPr>
              <w:spacing w:line="312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430</w:t>
            </w:r>
          </w:p>
        </w:tc>
        <w:tc>
          <w:tcPr>
            <w:tcW w:type="dxa" w:w="1837"/>
            <w:shd w:val="clear" w:color="auto" w:fill="F5F7FA"/>
          </w:tcPr>
          <w:p>
            <w:pPr>
              <w:spacing w:line="312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120,000</w:t>
            </w:r>
          </w:p>
        </w:tc>
      </w:tr>
      <w:tr>
        <w:tc>
          <w:tcPr>
            <w:tcW w:type="dxa" w:w="1837"/>
          </w:tcPr>
          <w:p>
            <w:pPr>
              <w:spacing w:line="31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KP-3005</w:t>
            </w:r>
          </w:p>
        </w:tc>
        <w:tc>
          <w:tcPr>
            <w:tcW w:type="dxa" w:w="1837"/>
          </w:tcPr>
          <w:p>
            <w:pPr>
              <w:spacing w:line="312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커넥터 하우징</w:t>
            </w:r>
          </w:p>
        </w:tc>
        <w:tc>
          <w:tcPr>
            <w:tcW w:type="dxa" w:w="1837"/>
          </w:tcPr>
          <w:p>
            <w:pPr>
              <w:spacing w:line="31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PA66</w:t>
            </w:r>
          </w:p>
        </w:tc>
        <w:tc>
          <w:tcPr>
            <w:tcW w:type="dxa" w:w="1837"/>
          </w:tcPr>
          <w:p>
            <w:pPr>
              <w:spacing w:line="312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1,540</w:t>
            </w:r>
          </w:p>
        </w:tc>
        <w:tc>
          <w:tcPr>
            <w:tcW w:type="dxa" w:w="1837"/>
          </w:tcPr>
          <w:p>
            <w:pPr>
              <w:spacing w:line="312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30,000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 w:val="0"/>
          <w:color w:val="666666"/>
          <w:sz w:val="18"/>
        </w:rPr>
        <w:t>※ 월 예상 수량은 참고용이며 갑의 발주서에 따라 달라질 수 있다. 단가에는 금형비, 포장비, 운송비가 포함되어 있다.</w:t>
      </w:r>
    </w:p>
    <w:p>
      <w:pPr>
        <w:spacing w:after="200"/>
      </w:pPr>
    </w:p>
    <w:p>
      <w:pPr>
        <w:spacing w:after="80"/>
      </w:pPr>
      <w:r>
        <w:rPr>
          <w:rFonts w:ascii="맑은 고딕" w:hAnsi="맑은 고딕" w:eastAsia="맑은 고딕"/>
          <w:b/>
          <w:color w:val="1F3864"/>
          <w:sz w:val="28"/>
        </w:rPr>
        <w:t>[별표 2]  납품 및 지급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val="clear" w:color="auto" w:fill="1F3864"/>
          </w:tcPr>
          <w:p>
            <w:pPr>
              <w:spacing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6803"/>
            <w:shd w:val="clear" w:color="auto" w:fill="1F3864"/>
          </w:tcPr>
          <w:p>
            <w:pPr>
              <w:spacing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984"/>
            <w:shd w:val="clear" w:color="auto" w:fill="DCE6F2"/>
          </w:tcPr>
          <w:p>
            <w:pPr>
              <w:spacing w:line="31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납품 장소</w:t>
            </w:r>
          </w:p>
        </w:tc>
        <w:tc>
          <w:tcPr>
            <w:tcW w:type="dxa" w:w="6803"/>
          </w:tcPr>
          <w:p>
            <w:pPr>
              <w:spacing w:line="312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갑의 본사 공장 자재 입고장</w:t>
            </w:r>
          </w:p>
        </w:tc>
      </w:tr>
      <w:tr>
        <w:tc>
          <w:tcPr>
            <w:tcW w:type="dxa" w:w="1984"/>
            <w:shd w:val="clear" w:color="auto" w:fill="DCE6F2"/>
          </w:tcPr>
          <w:p>
            <w:pPr>
              <w:spacing w:line="31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납품 주기</w:t>
            </w:r>
          </w:p>
        </w:tc>
        <w:tc>
          <w:tcPr>
            <w:tcW w:type="dxa" w:w="6803"/>
          </w:tcPr>
          <w:p>
            <w:pPr>
              <w:spacing w:line="312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주 2회 (발주서에 따름)</w:t>
            </w:r>
          </w:p>
        </w:tc>
      </w:tr>
      <w:tr>
        <w:tc>
          <w:tcPr>
            <w:tcW w:type="dxa" w:w="1984"/>
            <w:shd w:val="clear" w:color="auto" w:fill="DCE6F2"/>
          </w:tcPr>
          <w:p>
            <w:pPr>
              <w:spacing w:line="31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검수 완료</w:t>
            </w:r>
          </w:p>
        </w:tc>
        <w:tc>
          <w:tcPr>
            <w:tcW w:type="dxa" w:w="6803"/>
          </w:tcPr>
          <w:p>
            <w:pPr>
              <w:spacing w:line="312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납품 후 갑이 검사를 마친 날</w:t>
            </w:r>
          </w:p>
        </w:tc>
      </w:tr>
      <w:tr>
        <w:tc>
          <w:tcPr>
            <w:tcW w:type="dxa" w:w="1984"/>
            <w:shd w:val="clear" w:color="auto" w:fill="DCE6F2"/>
          </w:tcPr>
          <w:p>
            <w:pPr>
              <w:spacing w:line="31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대금 지급</w:t>
            </w:r>
          </w:p>
        </w:tc>
        <w:tc>
          <w:tcPr>
            <w:tcW w:type="dxa" w:w="6803"/>
          </w:tcPr>
          <w:p>
            <w:pPr>
              <w:spacing w:line="312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검수 완료일이 속한 달의 말일부터 90일 후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맑은 고딕" w:hAnsi="맑은 고딕" w:eastAsia="맑은 고딕"/>
          <w:b/>
          <w:color w:val="1F3864"/>
          <w:sz w:val="28"/>
        </w:rPr>
        <w:t>[별표 3]  품질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val="clear" w:color="auto" w:fill="1F3864"/>
          </w:tcPr>
          <w:p>
            <w:pPr>
              <w:spacing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803"/>
            <w:shd w:val="clear" w:color="auto" w:fill="1F3864"/>
          </w:tcPr>
          <w:p>
            <w:pPr>
              <w:spacing w:line="312" w:lineRule="auto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기준</w:t>
            </w:r>
          </w:p>
        </w:tc>
      </w:tr>
      <w:tr>
        <w:tc>
          <w:tcPr>
            <w:tcW w:type="dxa" w:w="1984"/>
            <w:shd w:val="clear" w:color="auto" w:fill="DCE6F2"/>
          </w:tcPr>
          <w:p>
            <w:pPr>
              <w:spacing w:line="31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불량률 목표</w:t>
            </w:r>
          </w:p>
        </w:tc>
        <w:tc>
          <w:tcPr>
            <w:tcW w:type="dxa" w:w="6803"/>
          </w:tcPr>
          <w:p>
            <w:pPr>
              <w:spacing w:line="312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월 평균 500 PPM 이하</w:t>
            </w:r>
          </w:p>
        </w:tc>
      </w:tr>
      <w:tr>
        <w:tc>
          <w:tcPr>
            <w:tcW w:type="dxa" w:w="1984"/>
            <w:shd w:val="clear" w:color="auto" w:fill="DCE6F2"/>
          </w:tcPr>
          <w:p>
            <w:pPr>
              <w:spacing w:line="31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외관 검사</w:t>
            </w:r>
          </w:p>
        </w:tc>
        <w:tc>
          <w:tcPr>
            <w:tcW w:type="dxa" w:w="6803"/>
          </w:tcPr>
          <w:p>
            <w:pPr>
              <w:spacing w:line="312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갑의 한도 견본 기준 (갑이 수시로 개정)</w:t>
            </w:r>
          </w:p>
        </w:tc>
      </w:tr>
      <w:tr>
        <w:tc>
          <w:tcPr>
            <w:tcW w:type="dxa" w:w="1984"/>
            <w:shd w:val="clear" w:color="auto" w:fill="DCE6F2"/>
          </w:tcPr>
          <w:p>
            <w:pPr>
              <w:spacing w:line="31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치수 검사</w:t>
            </w:r>
          </w:p>
        </w:tc>
        <w:tc>
          <w:tcPr>
            <w:tcW w:type="dxa" w:w="6803"/>
          </w:tcPr>
          <w:p>
            <w:pPr>
              <w:spacing w:line="312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도면 공차 이내, 전수 검사 성적서 첨부</w:t>
            </w:r>
          </w:p>
        </w:tc>
      </w:tr>
      <w:tr>
        <w:tc>
          <w:tcPr>
            <w:tcW w:type="dxa" w:w="1984"/>
            <w:shd w:val="clear" w:color="auto" w:fill="DCE6F2"/>
          </w:tcPr>
          <w:p>
            <w:pPr>
              <w:spacing w:line="31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신뢰성 시험</w:t>
            </w:r>
          </w:p>
        </w:tc>
        <w:tc>
          <w:tcPr>
            <w:tcW w:type="dxa" w:w="6803"/>
          </w:tcPr>
          <w:p>
            <w:pPr>
              <w:spacing w:line="312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분기 1회, 시험 비용은 을이 부담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888888"/>
        <w:sz w:val="16"/>
      </w:rPr>
      <w:t xml:space="preserve">교육용 가상 문서 · 실제 회사·금액과 무관  — 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맑은 고딕" w:hAnsi="맑은 고딕" w:eastAsia="맑은 고딕"/>
        <w:b w:val="0"/>
        <w:color w:val="666666"/>
        <w:sz w:val="17"/>
      </w:rPr>
      <w:t>가나다전자 주식회사  |  부품 공급 계약서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4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