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1D7A" w:rsidRDefault="00841D7A" w:rsidP="00841D7A">
      <w:pPr>
        <w:pStyle w:val="xmsonormal"/>
        <w:shd w:val="clear" w:color="auto" w:fill="FFFFFF"/>
        <w:bidi/>
        <w:spacing w:before="0" w:beforeAutospacing="0" w:after="0" w:afterAutospacing="0"/>
        <w:rPr>
          <w:rFonts w:ascii="Arial" w:hAnsi="Arial" w:cs="Arial"/>
          <w:color w:val="242424"/>
          <w:sz w:val="22"/>
          <w:szCs w:val="22"/>
        </w:rPr>
      </w:pPr>
      <w:r>
        <w:rPr>
          <w:rFonts w:ascii="Arial" w:hAnsi="Arial" w:cs="Arial"/>
          <w:b/>
          <w:bCs/>
          <w:color w:val="242424"/>
          <w:sz w:val="22"/>
          <w:szCs w:val="22"/>
          <w:bdr w:val="none" w:sz="0" w:space="0" w:color="auto" w:frame="1"/>
          <w:rtl/>
        </w:rPr>
        <w:t>אשר תנאי שימוש</w:t>
      </w:r>
    </w:p>
    <w:p w:rsidR="00841D7A" w:rsidRDefault="00841D7A" w:rsidP="00841D7A">
      <w:pPr>
        <w:pStyle w:val="xmsonormal"/>
        <w:shd w:val="clear" w:color="auto" w:fill="FFFFFF"/>
        <w:bidi/>
        <w:spacing w:before="0" w:beforeAutospacing="0" w:after="0" w:afterAutospacing="0"/>
        <w:rPr>
          <w:rFonts w:ascii="Arial" w:hAnsi="Arial" w:cs="Arial"/>
          <w:color w:val="242424"/>
          <w:sz w:val="22"/>
          <w:szCs w:val="22"/>
          <w:rtl/>
        </w:rPr>
      </w:pPr>
      <w:r>
        <w:rPr>
          <w:rFonts w:ascii="Arial" w:hAnsi="Arial" w:cs="Arial"/>
          <w:color w:val="242424"/>
          <w:sz w:val="22"/>
          <w:szCs w:val="22"/>
          <w:bdr w:val="none" w:sz="0" w:space="0" w:color="auto" w:frame="1"/>
          <w:rtl/>
        </w:rPr>
        <w:t>מהו "מידע אישי"? מידע אישי – מידע הנוגע לאדם פרטי (שאינו תאגיד) ומאפשר זיהוי שלו, כגון: שם, מספר מזהה, מידע על מיקום, או למאפיין פיזי, כגון: מידע גנטי, כלכלי ואף מזהה תרבותי – חברתי. בהתאם ל</w:t>
      </w:r>
      <w:r>
        <w:rPr>
          <w:rFonts w:ascii="Arial" w:hAnsi="Arial" w:cs="Arial"/>
          <w:color w:val="242424"/>
          <w:sz w:val="22"/>
          <w:szCs w:val="22"/>
          <w:bdr w:val="none" w:sz="0" w:space="0" w:color="auto" w:frame="1"/>
        </w:rPr>
        <w:t>-GDPR, "</w:t>
      </w:r>
      <w:r>
        <w:rPr>
          <w:rFonts w:ascii="Arial" w:hAnsi="Arial" w:cs="Arial"/>
          <w:color w:val="242424"/>
          <w:sz w:val="22"/>
          <w:szCs w:val="22"/>
          <w:bdr w:val="none" w:sz="0" w:space="0" w:color="auto" w:frame="1"/>
          <w:rtl/>
        </w:rPr>
        <w:t>מידע אישי" מוגדר כמידע המאפשר זיהוי של אדם מסוים. עם זאת, במסגרת הרגולציה ובמסמכים הנלווים לה המחוקק האירופי הבהיר כי ההגדרה רחבה ביותר ומתייחסת גם לכתובת מייל ומספר טלפון גם אם אין שום פרט נוסף עליהם. בדומה לכך הרגולציה אף חלה בנסיבות מסוימות על שורה של מזהים דיגיטאליים, כגון: כתובת</w:t>
      </w:r>
      <w:r>
        <w:rPr>
          <w:rFonts w:ascii="Arial" w:hAnsi="Arial" w:cs="Arial"/>
          <w:color w:val="242424"/>
          <w:sz w:val="22"/>
          <w:szCs w:val="22"/>
          <w:bdr w:val="none" w:sz="0" w:space="0" w:color="auto" w:frame="1"/>
        </w:rPr>
        <w:t> IP, Cookie ID </w:t>
      </w:r>
      <w:r>
        <w:rPr>
          <w:rFonts w:ascii="Arial" w:hAnsi="Arial" w:cs="Arial"/>
          <w:color w:val="242424"/>
          <w:sz w:val="22"/>
          <w:szCs w:val="22"/>
          <w:bdr w:val="none" w:sz="0" w:space="0" w:color="auto" w:frame="1"/>
          <w:rtl/>
        </w:rPr>
        <w:t>וכו'. הרגולציה מטילה שורה של כללים מחמירים על בעלי מאגר מידע</w:t>
      </w:r>
      <w:r>
        <w:rPr>
          <w:rFonts w:ascii="Arial" w:hAnsi="Arial" w:cs="Arial"/>
          <w:color w:val="242424"/>
          <w:sz w:val="22"/>
          <w:szCs w:val="22"/>
          <w:bdr w:val="none" w:sz="0" w:space="0" w:color="auto" w:frame="1"/>
        </w:rPr>
        <w:t> (Controllers) </w:t>
      </w:r>
      <w:r>
        <w:rPr>
          <w:rFonts w:ascii="Arial" w:hAnsi="Arial" w:cs="Arial"/>
          <w:color w:val="242424"/>
          <w:sz w:val="22"/>
          <w:szCs w:val="22"/>
          <w:bdr w:val="none" w:sz="0" w:space="0" w:color="auto" w:frame="1"/>
          <w:rtl/>
        </w:rPr>
        <w:t>וצדדים שלישיים המעבדים עבורם מידע</w:t>
      </w:r>
      <w:r>
        <w:rPr>
          <w:rFonts w:ascii="Arial" w:hAnsi="Arial" w:cs="Arial"/>
          <w:color w:val="242424"/>
          <w:sz w:val="22"/>
          <w:szCs w:val="22"/>
          <w:bdr w:val="none" w:sz="0" w:space="0" w:color="auto" w:frame="1"/>
        </w:rPr>
        <w:t> (Processors) </w:t>
      </w:r>
      <w:r>
        <w:rPr>
          <w:rFonts w:ascii="Arial" w:hAnsi="Arial" w:cs="Arial"/>
          <w:color w:val="242424"/>
          <w:sz w:val="22"/>
          <w:szCs w:val="22"/>
          <w:bdr w:val="none" w:sz="0" w:space="0" w:color="auto" w:frame="1"/>
          <w:rtl/>
        </w:rPr>
        <w:t>של תושבי האיחוד האירופי. למאמר המפרט את ההבדלים בין בעלי מאגר מידע למחזיקי מאגר מידע לחצו כאן במידה ויש עסקים שמקום מושבם מחוץ לאיחוד האירופי האוספים ומעבדים מידע אישי על תושבי האיחוד, יידרשו העסקים למנות נציג רשמי</w:t>
      </w:r>
      <w:r>
        <w:rPr>
          <w:rFonts w:ascii="Arial" w:hAnsi="Arial" w:cs="Arial"/>
          <w:color w:val="242424"/>
          <w:sz w:val="22"/>
          <w:szCs w:val="22"/>
          <w:bdr w:val="none" w:sz="0" w:space="0" w:color="auto" w:frame="1"/>
        </w:rPr>
        <w:t> (DPR) </w:t>
      </w:r>
      <w:r>
        <w:rPr>
          <w:rFonts w:ascii="Arial" w:hAnsi="Arial" w:cs="Arial"/>
          <w:color w:val="242424"/>
          <w:sz w:val="22"/>
          <w:szCs w:val="22"/>
          <w:bdr w:val="none" w:sz="0" w:space="0" w:color="auto" w:frame="1"/>
          <w:rtl/>
        </w:rPr>
        <w:t>מטעמם באחת ממדינות האיחוד האירופי שיהיה מיופה כוח וייצג אותם מול הרגולטורים להגנת פרטיות באירופה. כל מה שצריך לדעת אודות</w:t>
      </w:r>
      <w:r>
        <w:rPr>
          <w:rFonts w:ascii="Arial" w:hAnsi="Arial" w:cs="Arial"/>
          <w:color w:val="242424"/>
          <w:sz w:val="22"/>
          <w:szCs w:val="22"/>
          <w:bdr w:val="none" w:sz="0" w:space="0" w:color="auto" w:frame="1"/>
        </w:rPr>
        <w:t> DPR – Data Protection Representative – </w:t>
      </w:r>
      <w:r>
        <w:rPr>
          <w:rFonts w:ascii="Arial" w:hAnsi="Arial" w:cs="Arial"/>
          <w:color w:val="242424"/>
          <w:sz w:val="22"/>
          <w:szCs w:val="22"/>
          <w:bdr w:val="none" w:sz="0" w:space="0" w:color="auto" w:frame="1"/>
          <w:rtl/>
        </w:rPr>
        <w:t>לחצו כאן על מי חלות תקנות</w:t>
      </w:r>
      <w:r>
        <w:rPr>
          <w:rFonts w:ascii="Arial" w:hAnsi="Arial" w:cs="Arial"/>
          <w:color w:val="242424"/>
          <w:sz w:val="22"/>
          <w:szCs w:val="22"/>
          <w:bdr w:val="none" w:sz="0" w:space="0" w:color="auto" w:frame="1"/>
        </w:rPr>
        <w:t> GDPR? </w:t>
      </w:r>
      <w:r>
        <w:rPr>
          <w:rFonts w:ascii="Arial" w:hAnsi="Arial" w:cs="Arial"/>
          <w:color w:val="242424"/>
          <w:sz w:val="22"/>
          <w:szCs w:val="22"/>
          <w:bdr w:val="none" w:sz="0" w:space="0" w:color="auto" w:frame="1"/>
          <w:rtl/>
        </w:rPr>
        <w:t>תקנות</w:t>
      </w:r>
      <w:r>
        <w:rPr>
          <w:rFonts w:ascii="Arial" w:hAnsi="Arial" w:cs="Arial"/>
          <w:color w:val="242424"/>
          <w:sz w:val="22"/>
          <w:szCs w:val="22"/>
          <w:bdr w:val="none" w:sz="0" w:space="0" w:color="auto" w:frame="1"/>
        </w:rPr>
        <w:t> GDPR </w:t>
      </w:r>
      <w:r>
        <w:rPr>
          <w:rFonts w:ascii="Arial" w:hAnsi="Arial" w:cs="Arial"/>
          <w:color w:val="242424"/>
          <w:sz w:val="22"/>
          <w:szCs w:val="22"/>
          <w:bdr w:val="none" w:sz="0" w:space="0" w:color="auto" w:frame="1"/>
          <w:rtl/>
        </w:rPr>
        <w:t>חלות על כל בעל שליטה במידע ומעבד מידע אשר העסק שלו נמצא בגבולות האיחוד האירופי: בעל השליטה במידע</w:t>
      </w:r>
      <w:r>
        <w:rPr>
          <w:rFonts w:ascii="Arial" w:hAnsi="Arial" w:cs="Arial"/>
          <w:color w:val="242424"/>
          <w:sz w:val="22"/>
          <w:szCs w:val="22"/>
          <w:bdr w:val="none" w:sz="0" w:space="0" w:color="auto" w:frame="1"/>
        </w:rPr>
        <w:t> (Data controller) – </w:t>
      </w:r>
      <w:r>
        <w:rPr>
          <w:rFonts w:ascii="Arial" w:hAnsi="Arial" w:cs="Arial"/>
          <w:color w:val="242424"/>
          <w:sz w:val="22"/>
          <w:szCs w:val="22"/>
          <w:bdr w:val="none" w:sz="0" w:space="0" w:color="auto" w:frame="1"/>
          <w:rtl/>
        </w:rPr>
        <w:t>הגורם אשר קובע את מטרות עיבוד המידע ומעמיד את האמצעים לשם האיסוף והעיבוד, או במילים פשוטות יותר – מי שיוזם ומבקש את איסוף ועיבוד המידע. בדרך כלל במסגרת ולצורכי הפעילות העסקית שלו. מעבד המידע</w:t>
      </w:r>
      <w:r>
        <w:rPr>
          <w:rFonts w:ascii="Arial" w:hAnsi="Arial" w:cs="Arial"/>
          <w:color w:val="242424"/>
          <w:sz w:val="22"/>
          <w:szCs w:val="22"/>
          <w:bdr w:val="none" w:sz="0" w:space="0" w:color="auto" w:frame="1"/>
        </w:rPr>
        <w:t> (Processor) – </w:t>
      </w:r>
      <w:r>
        <w:rPr>
          <w:rFonts w:ascii="Arial" w:hAnsi="Arial" w:cs="Arial"/>
          <w:color w:val="242424"/>
          <w:sz w:val="22"/>
          <w:szCs w:val="22"/>
          <w:bdr w:val="none" w:sz="0" w:space="0" w:color="auto" w:frame="1"/>
          <w:rtl/>
        </w:rPr>
        <w:t>גורם משני המספק שירותים לבקר המידע – אוסף עבורו מידע, מעבד אותו או אפילו רק מאחסן אותו עבור בעל השליטה במידע. בנוסף, התקנות יחולו גם על כל בעל שליטה במידע ומעבד מידע אשר העסק שלו אינו נמצא בגבולות האיחוד האירופי במידה ו: העסק נושא מידע על תושבי האיחוד האירופי, זאת בעקבות שיווק ומכירת שירותים/מוצרים לתושבי האיחוד. העסק עוקב אחר התנהגות המשתמש האירופאי באתר/באפליקציה. תקנות</w:t>
      </w:r>
      <w:r>
        <w:rPr>
          <w:rFonts w:ascii="Arial" w:hAnsi="Arial" w:cs="Arial"/>
          <w:color w:val="242424"/>
          <w:sz w:val="22"/>
          <w:szCs w:val="22"/>
          <w:bdr w:val="none" w:sz="0" w:space="0" w:color="auto" w:frame="1"/>
        </w:rPr>
        <w:t> GDPR </w:t>
      </w:r>
      <w:r>
        <w:rPr>
          <w:rFonts w:ascii="Arial" w:hAnsi="Arial" w:cs="Arial"/>
          <w:color w:val="242424"/>
          <w:sz w:val="22"/>
          <w:szCs w:val="22"/>
          <w:bdr w:val="none" w:sz="0" w:space="0" w:color="auto" w:frame="1"/>
          <w:rtl/>
        </w:rPr>
        <w:t>לא חלות במידה ו: השימוש במידע אישי הינו לצרכים אישיים בלבד. השימוש במידע אישי הינו לצורכי חקירה ומניעת עבירות פליליות. השימוש במידע אישי הינו לצורכי ביטחון לאומי. לקבלת מידע טלפוני אודות רגולציית</w:t>
      </w:r>
      <w:r>
        <w:rPr>
          <w:rFonts w:ascii="Arial" w:hAnsi="Arial" w:cs="Arial"/>
          <w:color w:val="242424"/>
          <w:sz w:val="22"/>
          <w:szCs w:val="22"/>
          <w:bdr w:val="none" w:sz="0" w:space="0" w:color="auto" w:frame="1"/>
        </w:rPr>
        <w:t> GDPR – </w:t>
      </w:r>
      <w:r>
        <w:rPr>
          <w:rFonts w:ascii="Arial" w:hAnsi="Arial" w:cs="Arial"/>
          <w:color w:val="242424"/>
          <w:sz w:val="22"/>
          <w:szCs w:val="22"/>
          <w:bdr w:val="none" w:sz="0" w:space="0" w:color="auto" w:frame="1"/>
          <w:rtl/>
        </w:rPr>
        <w:t>לחצו כאן או התקשרו ל- 03-9677337 מהן הזכויות של מי שפרטיו שמורים במאגר המידע? רגולציית</w:t>
      </w:r>
      <w:r>
        <w:rPr>
          <w:rFonts w:ascii="Arial" w:hAnsi="Arial" w:cs="Arial"/>
          <w:color w:val="242424"/>
          <w:sz w:val="22"/>
          <w:szCs w:val="22"/>
          <w:bdr w:val="none" w:sz="0" w:space="0" w:color="auto" w:frame="1"/>
        </w:rPr>
        <w:t> GDPR </w:t>
      </w:r>
      <w:r>
        <w:rPr>
          <w:rFonts w:ascii="Arial" w:hAnsi="Arial" w:cs="Arial"/>
          <w:color w:val="242424"/>
          <w:sz w:val="22"/>
          <w:szCs w:val="22"/>
          <w:bdr w:val="none" w:sz="0" w:space="0" w:color="auto" w:frame="1"/>
          <w:rtl/>
        </w:rPr>
        <w:t>מבקשת להעניק לכל אזרח מהאיחוד האירופי שהמידע האישי שלו שמור במאגר, את הזכויות הבאות: על העסק לידע את האזרח במידה ואסף מידע אישי אודותיו. במידה ואסף, על העסק לספק מידע שלם וברור על המידע האישי שנאסף/נחשף על ידו. על העסק לספק עותק מהמידע המיוחס לאזרח בצורה נגישה ומהירה. על העסק לאפשר את העברת המידע האישי של האזרח לספק שירות אחר. המידע האישי יועבר בצורה נגישה ומהירה. על העסק לתקן את המידע האישי של האזרח במידה ואינו עדכני או שגוי ולוודא שעודכן גם אצל צד שלישי. במידה והמידע אינו רלוונטי, או כאשר ההסכמה על ידי הפרט השתנתה, יש למחוק את המידע על הפרט. אז למה רגולציה אירופאית משנה לי כאן בישראל? ראשית, מבחינה משפטית ה</w:t>
      </w:r>
      <w:r>
        <w:rPr>
          <w:rFonts w:ascii="Arial" w:hAnsi="Arial" w:cs="Arial"/>
          <w:color w:val="242424"/>
          <w:sz w:val="22"/>
          <w:szCs w:val="22"/>
          <w:bdr w:val="none" w:sz="0" w:space="0" w:color="auto" w:frame="1"/>
        </w:rPr>
        <w:t>-GDPR </w:t>
      </w:r>
      <w:r>
        <w:rPr>
          <w:rFonts w:ascii="Arial" w:hAnsi="Arial" w:cs="Arial"/>
          <w:color w:val="242424"/>
          <w:sz w:val="22"/>
          <w:szCs w:val="22"/>
          <w:bdr w:val="none" w:sz="0" w:space="0" w:color="auto" w:frame="1"/>
          <w:rtl/>
        </w:rPr>
        <w:t>חלה בצורה ישירה על כל גורם שמעבד, מאחסן ומשתמש במידע של אזרחים אירופאים, גם אם אינו פועל מתוך שטחי האיחוד. ולכן, כל גורם ישראלי המשווק את המוצרים שלו באיחוד האירופי או מספק שירותים הקשורים במידע אישי של אזרחי האיחוד האירופי (ואפילו כמעבד מידע), כפוף למעשה לרגולציה. בנוסף, הרגולציה קובעת את חובתו של כל בקר מידע לוודא כי כל העברה של מידע אישי מצדו, מבוצעת בכפוף לכך שהגורם אליו הוא מעביר את המידע (בדרך כלל מעבד המידע) פועל בהתאם לרגולציה ומציית לדרישות השונות החלות עליו. מצב זה יוצר בעצם "שרשרת" של התחייבויות בין גורמים עסקיים אירופים ובין גורמים עסקיים שונים בישראל, הנדרשים לעמוד גם הם בהוראות ה</w:t>
      </w:r>
      <w:r>
        <w:rPr>
          <w:rFonts w:ascii="Arial" w:hAnsi="Arial" w:cs="Arial"/>
          <w:color w:val="242424"/>
          <w:sz w:val="22"/>
          <w:szCs w:val="22"/>
          <w:bdr w:val="none" w:sz="0" w:space="0" w:color="auto" w:frame="1"/>
        </w:rPr>
        <w:t>-GDPR. </w:t>
      </w:r>
      <w:r>
        <w:rPr>
          <w:rFonts w:ascii="Arial" w:hAnsi="Arial" w:cs="Arial"/>
          <w:color w:val="242424"/>
          <w:sz w:val="22"/>
          <w:szCs w:val="22"/>
          <w:bdr w:val="none" w:sz="0" w:space="0" w:color="auto" w:frame="1"/>
          <w:rtl/>
        </w:rPr>
        <w:t>נקודה נוספת המובילה ל"תחולה" של ה</w:t>
      </w:r>
      <w:r>
        <w:rPr>
          <w:rFonts w:ascii="Arial" w:hAnsi="Arial" w:cs="Arial"/>
          <w:color w:val="242424"/>
          <w:sz w:val="22"/>
          <w:szCs w:val="22"/>
          <w:bdr w:val="none" w:sz="0" w:space="0" w:color="auto" w:frame="1"/>
        </w:rPr>
        <w:t>-GDPR </w:t>
      </w:r>
      <w:r>
        <w:rPr>
          <w:rFonts w:ascii="Arial" w:hAnsi="Arial" w:cs="Arial"/>
          <w:color w:val="242424"/>
          <w:sz w:val="22"/>
          <w:szCs w:val="22"/>
          <w:bdr w:val="none" w:sz="0" w:space="0" w:color="auto" w:frame="1"/>
          <w:rtl/>
        </w:rPr>
        <w:t>בפועל גם על גופים ישראלים לחלוטין, היא למעשה מערכת ההסכמים החוזית שבין בעלי מאגר המידע</w:t>
      </w:r>
      <w:r>
        <w:rPr>
          <w:rFonts w:ascii="Arial" w:hAnsi="Arial" w:cs="Arial"/>
          <w:color w:val="242424"/>
          <w:sz w:val="22"/>
          <w:szCs w:val="22"/>
          <w:bdr w:val="none" w:sz="0" w:space="0" w:color="auto" w:frame="1"/>
        </w:rPr>
        <w:t> (Controller) </w:t>
      </w:r>
      <w:r>
        <w:rPr>
          <w:rFonts w:ascii="Arial" w:hAnsi="Arial" w:cs="Arial"/>
          <w:color w:val="242424"/>
          <w:sz w:val="22"/>
          <w:szCs w:val="22"/>
          <w:bdr w:val="none" w:sz="0" w:space="0" w:color="auto" w:frame="1"/>
          <w:rtl/>
        </w:rPr>
        <w:t>ובין הצדדים השלישיים העוסקים בעיבוד מידע עבורם</w:t>
      </w:r>
      <w:r>
        <w:rPr>
          <w:rFonts w:ascii="Arial" w:hAnsi="Arial" w:cs="Arial"/>
          <w:color w:val="242424"/>
          <w:sz w:val="22"/>
          <w:szCs w:val="22"/>
          <w:bdr w:val="none" w:sz="0" w:space="0" w:color="auto" w:frame="1"/>
        </w:rPr>
        <w:t> (Processors). </w:t>
      </w:r>
      <w:r>
        <w:rPr>
          <w:rFonts w:ascii="Arial" w:hAnsi="Arial" w:cs="Arial"/>
          <w:color w:val="242424"/>
          <w:sz w:val="22"/>
          <w:szCs w:val="22"/>
          <w:bdr w:val="none" w:sz="0" w:space="0" w:color="auto" w:frame="1"/>
          <w:rtl/>
        </w:rPr>
        <w:t>אחת התקנות המרכזיות ב</w:t>
      </w:r>
      <w:r>
        <w:rPr>
          <w:rFonts w:ascii="Arial" w:hAnsi="Arial" w:cs="Arial"/>
          <w:color w:val="242424"/>
          <w:sz w:val="22"/>
          <w:szCs w:val="22"/>
          <w:bdr w:val="none" w:sz="0" w:space="0" w:color="auto" w:frame="1"/>
        </w:rPr>
        <w:t>- GDPR </w:t>
      </w:r>
      <w:r>
        <w:rPr>
          <w:rFonts w:ascii="Arial" w:hAnsi="Arial" w:cs="Arial"/>
          <w:color w:val="242424"/>
          <w:sz w:val="22"/>
          <w:szCs w:val="22"/>
          <w:bdr w:val="none" w:sz="0" w:space="0" w:color="auto" w:frame="1"/>
          <w:rtl/>
        </w:rPr>
        <w:t>קובעת כי בכל פעם שקונטרולר בוחר בשירותיו של צד ג' לעיבוד מידע, הוא חייב להחתים אותו על שורה של התחייבויות חוזיות. המסמך המוכר והמקובל בשוק לעניין זה הינו אותו</w:t>
      </w:r>
      <w:r>
        <w:rPr>
          <w:rFonts w:ascii="Arial" w:hAnsi="Arial" w:cs="Arial"/>
          <w:color w:val="242424"/>
          <w:sz w:val="22"/>
          <w:szCs w:val="22"/>
          <w:bdr w:val="none" w:sz="0" w:space="0" w:color="auto" w:frame="1"/>
        </w:rPr>
        <w:t> Data Processing Agreement, </w:t>
      </w:r>
      <w:r>
        <w:rPr>
          <w:rFonts w:ascii="Arial" w:hAnsi="Arial" w:cs="Arial"/>
          <w:color w:val="242424"/>
          <w:sz w:val="22"/>
          <w:szCs w:val="22"/>
          <w:bdr w:val="none" w:sz="0" w:space="0" w:color="auto" w:frame="1"/>
          <w:rtl/>
        </w:rPr>
        <w:t>או בשמו המוכר</w:t>
      </w:r>
      <w:r>
        <w:rPr>
          <w:rFonts w:ascii="Arial" w:hAnsi="Arial" w:cs="Arial"/>
          <w:color w:val="242424"/>
          <w:sz w:val="22"/>
          <w:szCs w:val="22"/>
          <w:bdr w:val="none" w:sz="0" w:space="0" w:color="auto" w:frame="1"/>
        </w:rPr>
        <w:t> DPA. </w:t>
      </w:r>
      <w:r>
        <w:rPr>
          <w:rFonts w:ascii="Arial" w:hAnsi="Arial" w:cs="Arial"/>
          <w:color w:val="242424"/>
          <w:sz w:val="22"/>
          <w:szCs w:val="22"/>
          <w:bdr w:val="none" w:sz="0" w:space="0" w:color="auto" w:frame="1"/>
          <w:rtl/>
        </w:rPr>
        <w:t>בהתאם, ייתכן מצב בו חברה עליה ה</w:t>
      </w:r>
      <w:r>
        <w:rPr>
          <w:rFonts w:ascii="Arial" w:hAnsi="Arial" w:cs="Arial"/>
          <w:color w:val="242424"/>
          <w:sz w:val="22"/>
          <w:szCs w:val="22"/>
          <w:bdr w:val="none" w:sz="0" w:space="0" w:color="auto" w:frame="1"/>
        </w:rPr>
        <w:t>- GDPR </w:t>
      </w:r>
      <w:r>
        <w:rPr>
          <w:rFonts w:ascii="Arial" w:hAnsi="Arial" w:cs="Arial"/>
          <w:color w:val="242424"/>
          <w:sz w:val="22"/>
          <w:szCs w:val="22"/>
          <w:bdr w:val="none" w:sz="0" w:space="0" w:color="auto" w:frame="1"/>
          <w:rtl/>
        </w:rPr>
        <w:t>לא חל באופן ישיר, תתחייב כלפי לקוחותיה במסגרת</w:t>
      </w:r>
      <w:r>
        <w:rPr>
          <w:rFonts w:ascii="Arial" w:hAnsi="Arial" w:cs="Arial"/>
          <w:color w:val="242424"/>
          <w:sz w:val="22"/>
          <w:szCs w:val="22"/>
          <w:bdr w:val="none" w:sz="0" w:space="0" w:color="auto" w:frame="1"/>
        </w:rPr>
        <w:t> DPA </w:t>
      </w:r>
      <w:r>
        <w:rPr>
          <w:rFonts w:ascii="Arial" w:hAnsi="Arial" w:cs="Arial"/>
          <w:color w:val="242424"/>
          <w:sz w:val="22"/>
          <w:szCs w:val="22"/>
          <w:bdr w:val="none" w:sz="0" w:space="0" w:color="auto" w:frame="1"/>
          <w:rtl/>
        </w:rPr>
        <w:t>לקיים חלק או כל מהוראות ה</w:t>
      </w:r>
      <w:r>
        <w:rPr>
          <w:rFonts w:ascii="Arial" w:hAnsi="Arial" w:cs="Arial"/>
          <w:color w:val="242424"/>
          <w:sz w:val="22"/>
          <w:szCs w:val="22"/>
          <w:bdr w:val="none" w:sz="0" w:space="0" w:color="auto" w:frame="1"/>
        </w:rPr>
        <w:t>- GDPR.</w:t>
      </w:r>
    </w:p>
    <w:p w:rsidR="00841D7A" w:rsidRDefault="00841D7A" w:rsidP="00841D7A">
      <w:pPr>
        <w:pStyle w:val="xmsonormal"/>
        <w:shd w:val="clear" w:color="auto" w:fill="FFFFFF"/>
        <w:bidi/>
        <w:spacing w:before="0" w:beforeAutospacing="0" w:after="0" w:afterAutospacing="0"/>
        <w:rPr>
          <w:rFonts w:ascii="Arial" w:hAnsi="Arial" w:cs="Arial"/>
          <w:color w:val="242424"/>
          <w:sz w:val="22"/>
          <w:szCs w:val="22"/>
          <w:rtl/>
        </w:rPr>
      </w:pPr>
      <w:r>
        <w:rPr>
          <w:rFonts w:ascii="Arial" w:hAnsi="Arial" w:cs="Arial"/>
          <w:color w:val="242424"/>
          <w:sz w:val="22"/>
          <w:szCs w:val="22"/>
          <w:bdr w:val="none" w:sz="0" w:space="0" w:color="auto" w:frame="1"/>
          <w:rtl/>
        </w:rPr>
        <w:t>ראש הטופס</w:t>
      </w:r>
    </w:p>
    <w:p w:rsidR="00841D7A" w:rsidRDefault="00841D7A" w:rsidP="00841D7A">
      <w:pPr>
        <w:pStyle w:val="xmsonormal"/>
        <w:shd w:val="clear" w:color="auto" w:fill="FFFFFF"/>
        <w:bidi/>
        <w:spacing w:before="0" w:beforeAutospacing="0" w:after="0" w:afterAutospacing="0"/>
        <w:rPr>
          <w:rFonts w:ascii="Arial" w:hAnsi="Arial" w:cs="Arial"/>
          <w:color w:val="242424"/>
          <w:sz w:val="22"/>
          <w:szCs w:val="22"/>
          <w:rtl/>
        </w:rPr>
      </w:pPr>
      <w:r>
        <w:rPr>
          <w:rFonts w:ascii="Arial" w:hAnsi="Arial" w:cs="Arial"/>
          <w:color w:val="242424"/>
          <w:sz w:val="22"/>
          <w:szCs w:val="22"/>
          <w:bdr w:val="none" w:sz="0" w:space="0" w:color="auto" w:frame="1"/>
          <w:rtl/>
        </w:rPr>
        <w:t>אישור והמשך למערכת</w:t>
      </w:r>
    </w:p>
    <w:p w:rsidR="00841D7A" w:rsidRDefault="00841D7A" w:rsidP="00841D7A">
      <w:pPr>
        <w:pStyle w:val="xmsonormal"/>
        <w:shd w:val="clear" w:color="auto" w:fill="FFFFFF"/>
        <w:bidi/>
        <w:spacing w:before="0" w:beforeAutospacing="0" w:after="0" w:afterAutospacing="0"/>
        <w:rPr>
          <w:rFonts w:ascii="Arial" w:hAnsi="Arial" w:cs="Arial"/>
          <w:color w:val="242424"/>
          <w:sz w:val="22"/>
          <w:szCs w:val="22"/>
          <w:rtl/>
        </w:rPr>
      </w:pPr>
      <w:r>
        <w:rPr>
          <w:rFonts w:ascii="Arial" w:hAnsi="Arial" w:cs="Arial"/>
          <w:color w:val="242424"/>
          <w:sz w:val="22"/>
          <w:szCs w:val="22"/>
          <w:bdr w:val="none" w:sz="0" w:space="0" w:color="auto" w:frame="1"/>
          <w:rtl/>
        </w:rPr>
        <w:t>תחתית הטופס</w:t>
      </w:r>
    </w:p>
    <w:p w:rsidR="00841D7A" w:rsidRDefault="00841D7A" w:rsidP="00841D7A">
      <w:pPr>
        <w:pStyle w:val="xmsonormal"/>
        <w:shd w:val="clear" w:color="auto" w:fill="FFFFFF"/>
        <w:bidi/>
        <w:spacing w:before="0" w:beforeAutospacing="0" w:after="0" w:afterAutospacing="0"/>
        <w:rPr>
          <w:rFonts w:ascii="Arial" w:hAnsi="Arial" w:cs="Arial"/>
          <w:color w:val="242424"/>
          <w:sz w:val="22"/>
          <w:szCs w:val="22"/>
          <w:rtl/>
        </w:rPr>
      </w:pPr>
      <w:r>
        <w:rPr>
          <w:rFonts w:ascii="Arial" w:hAnsi="Arial" w:cs="Arial"/>
          <w:color w:val="242424"/>
          <w:sz w:val="22"/>
          <w:szCs w:val="22"/>
          <w:bdr w:val="none" w:sz="0" w:space="0" w:color="auto" w:frame="1"/>
        </w:rPr>
        <w:t> </w:t>
      </w:r>
    </w:p>
    <w:p w:rsidR="00821761" w:rsidRDefault="00821761">
      <w:bookmarkStart w:id="0" w:name="_GoBack"/>
      <w:bookmarkEnd w:id="0"/>
    </w:p>
    <w:sectPr w:rsidR="0082176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D7A"/>
    <w:rsid w:val="00821761"/>
    <w:rsid w:val="00841D7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5A01AD-A7E6-42B5-9DD4-9FD14FB09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841D7A"/>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07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Oren Lasman</dc:creator>
  <cp:keywords/>
  <dc:description/>
  <cp:lastModifiedBy>Oren Lasman</cp:lastModifiedBy>
  <cp:revision>1</cp:revision>
  <dcterms:created xsi:type="dcterms:W3CDTF">2026-04-29T07:23:00Z</dcterms:created>
  <dcterms:modified xsi:type="dcterms:W3CDTF">2026-04-29T07:24:00Z</dcterms:modified>
</cp:coreProperties>
</file>