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120"/>
        <w:jc w:val="center"/>
      </w:pPr>
      <w:r>
        <w:rPr>
          <w:b/>
          <w:color w:val="0D9488"/>
          <w:sz w:val="60"/>
        </w:rPr>
        <w:t>Intelligence Engine</w:t>
      </w:r>
    </w:p>
    <w:p>
      <w:pPr>
        <w:spacing w:after="360"/>
        <w:jc w:val="center"/>
      </w:pPr>
      <w:r>
        <w:rPr>
          <w:b/>
          <w:color w:val="5B677D"/>
          <w:sz w:val="34"/>
        </w:rPr>
        <w:t>Role-by-Role Operations Guide</w:t>
      </w:r>
    </w:p>
    <w:p>
      <w:pPr>
        <w:jc w:val="center"/>
      </w:pPr>
      <w:r>
        <w:rPr>
          <w:color w:val="5B677D"/>
          <w:sz w:val="22"/>
        </w:rPr>
        <w:t>Six human seats, their activities, and the evidence that each one works.</w:t>
        <w:br/>
        <w:t>Every screenshot is from the live deployment; every diagram is rendered</w:t>
        <w:br/>
        <w:t>from the same source the repository publishes.</w:t>
      </w:r>
    </w:p>
    <w:p>
      <w:r>
        <w:br w:type="page"/>
      </w:r>
    </w:p>
    <w:p>
      <w:pPr>
        <w:pStyle w:val="Heading1"/>
      </w:pPr>
      <w:r>
        <w:rPr>
          <w:color w:val="0D9488"/>
        </w:rPr>
        <w:t>Orientation</w:t>
      </w:r>
    </w:p>
    <w:p>
      <w:r>
        <w:rPr>
          <w:b w:val="0"/>
          <w:i w:val="0"/>
        </w:rPr>
        <w:t>The Intelligence Engine is a pre-engagement intelligence substrate for management consultants. Synthetic workforce data flows through a governed medallion data plane; an episodic LLM pipeline turns it into client briefings; a hosted console puts a human checkpoint in front of anything that ships. It runs on a single AWS account, deployed entirely from CloudFormation templates in a public repository.</w:t>
      </w:r>
    </w:p>
    <w:p>
      <w:pPr>
        <w:jc w:val="center"/>
      </w:pPr>
      <w:r>
        <w:drawing>
          <wp:inline xmlns:a="http://schemas.openxmlformats.org/drawingml/2006/main" xmlns:pic="http://schemas.openxmlformats.org/drawingml/2006/picture">
            <wp:extent cx="5486400" cy="1350606"/>
            <wp:docPr id="1" name="Picture 1"/>
            <wp:cNvGraphicFramePr>
              <a:graphicFrameLocks noChangeAspect="1"/>
            </wp:cNvGraphicFramePr>
            <a:graphic>
              <a:graphicData uri="http://schemas.openxmlformats.org/drawingml/2006/picture">
                <pic:pic>
                  <pic:nvPicPr>
                    <pic:cNvPr id="0" name="01-the-whole-system-on-one-page.png"/>
                    <pic:cNvPicPr/>
                  </pic:nvPicPr>
                  <pic:blipFill>
                    <a:blip r:embed="rId9"/>
                    <a:stretch>
                      <a:fillRect/>
                    </a:stretch>
                  </pic:blipFill>
                  <pic:spPr>
                    <a:xfrm>
                      <a:off x="0" y="0"/>
                      <a:ext cx="5486400" cy="1350606"/>
                    </a:xfrm>
                    <a:prstGeom prst="rect"/>
                  </pic:spPr>
                </pic:pic>
              </a:graphicData>
            </a:graphic>
          </wp:inline>
        </w:drawing>
      </w:r>
    </w:p>
    <w:p>
      <w:pPr>
        <w:jc w:val="center"/>
      </w:pPr>
      <w:r>
        <w:rPr>
          <w:i/>
          <w:color w:val="5B677D"/>
          <w:sz w:val="17"/>
        </w:rPr>
        <w:t>Figure 1. The whole system: people, product, governed data plane, and the governance surfaces that watch all of it.</w:t>
      </w:r>
    </w:p>
    <w:p>
      <w:r>
        <w:rPr>
          <w:b w:val="0"/>
          <w:i w:val="0"/>
        </w:rPr>
        <w:t>Two properties are worth stating before anything else, because every chapter below depends on them.</w:t>
      </w:r>
    </w:p>
    <w:p>
      <w:pPr>
        <w:pStyle w:val="ListBullet"/>
      </w:pPr>
      <w:r>
        <w:t>Everything that exists is in a template. Fifteen stacks own every bucket, role, state machine and trail in the account; a drift detector (scripts/iac_coverage.py) fails if anything exists outside them.</w:t>
      </w:r>
    </w:p>
    <w:p>
      <w:pPr>
        <w:pStyle w:val="ListBullet"/>
      </w:pPr>
      <w:r>
        <w:t>Read and write are never the same grant. Each medallion tier has separate read and write policies held by different roles, so no identity can rewrite the tier it consumes.</w:t>
      </w:r>
    </w:p>
    <w:p>
      <w:pPr>
        <w:jc w:val="center"/>
      </w:pPr>
      <w:r>
        <w:drawing>
          <wp:inline xmlns:a="http://schemas.openxmlformats.org/drawingml/2006/main" xmlns:pic="http://schemas.openxmlformats.org/drawingml/2006/picture">
            <wp:extent cx="5852160" cy="3503945"/>
            <wp:docPr id="2" name="Picture 2"/>
            <wp:cNvGraphicFramePr>
              <a:graphicFrameLocks noChangeAspect="1"/>
            </wp:cNvGraphicFramePr>
            <a:graphic>
              <a:graphicData uri="http://schemas.openxmlformats.org/drawingml/2006/picture">
                <pic:pic>
                  <pic:nvPicPr>
                    <pic:cNvPr id="0" name="01-cloudformation-stacks.jpg"/>
                    <pic:cNvPicPr/>
                  </pic:nvPicPr>
                  <pic:blipFill>
                    <a:blip r:embed="rId10"/>
                    <a:stretch>
                      <a:fillRect/>
                    </a:stretch>
                  </pic:blipFill>
                  <pic:spPr>
                    <a:xfrm>
                      <a:off x="0" y="0"/>
                      <a:ext cx="5852160" cy="3503945"/>
                    </a:xfrm>
                    <a:prstGeom prst="rect"/>
                  </pic:spPr>
                </pic:pic>
              </a:graphicData>
            </a:graphic>
          </wp:inline>
        </w:drawing>
      </w:r>
    </w:p>
    <w:p>
      <w:pPr>
        <w:jc w:val="center"/>
      </w:pPr>
      <w:r>
        <w:rPr>
          <w:i/>
          <w:color w:val="5B677D"/>
          <w:sz w:val="17"/>
        </w:rPr>
        <w:t>Figure 2. The inventory of record: fifteen stacks, all complete. The two newest are the delegated human seats - steward and deployer.</w:t>
      </w:r>
    </w:p>
    <w:p>
      <w:pPr>
        <w:pStyle w:val="Heading2"/>
      </w:pPr>
      <w:r>
        <w:t>Who can block what</w:t>
      </w:r>
    </w:p>
    <w:p>
      <w:r>
        <w:rPr>
          <w:b w:val="0"/>
          <w:i w:val="0"/>
        </w:rPr>
        <w:t>The permission question (“who can do what”) has a twin that governance reviews usually miss: whose absence stops the system. The design answer is that almost nobody's should.</w:t>
      </w:r>
    </w:p>
    <w:p>
      <w:pPr>
        <w:jc w:val="center"/>
      </w:pPr>
      <w:r>
        <w:drawing>
          <wp:inline xmlns:a="http://schemas.openxmlformats.org/drawingml/2006/main" xmlns:pic="http://schemas.openxmlformats.org/drawingml/2006/picture">
            <wp:extent cx="5486400" cy="790769"/>
            <wp:docPr id="3" name="Picture 3"/>
            <wp:cNvGraphicFramePr>
              <a:graphicFrameLocks noChangeAspect="1"/>
            </wp:cNvGraphicFramePr>
            <a:graphic>
              <a:graphicData uri="http://schemas.openxmlformats.org/drawingml/2006/picture">
                <pic:pic>
                  <pic:nvPicPr>
                    <pic:cNvPr id="0" name="06-the-access-model-at-a-glance.png"/>
                    <pic:cNvPicPr/>
                  </pic:nvPicPr>
                  <pic:blipFill>
                    <a:blip r:embed="rId11"/>
                    <a:stretch>
                      <a:fillRect/>
                    </a:stretch>
                  </pic:blipFill>
                  <pic:spPr>
                    <a:xfrm>
                      <a:off x="0" y="0"/>
                      <a:ext cx="5486400" cy="790769"/>
                    </a:xfrm>
                    <a:prstGeom prst="rect"/>
                  </pic:spPr>
                </pic:pic>
              </a:graphicData>
            </a:graphic>
          </wp:inline>
        </w:drawing>
      </w:r>
    </w:p>
    <w:p>
      <w:pPr>
        <w:jc w:val="center"/>
      </w:pPr>
      <w:r>
        <w:rPr>
          <w:i/>
          <w:color w:val="5B677D"/>
          <w:sz w:val="17"/>
        </w:rPr>
        <w:t>Figure 3. Only the consultant is critical to a run - their own checkpoints. Only the FDE and platform engineer are critical to engineering. The steward governs without blocking; the admin is dormant.</w:t>
      </w:r>
    </w:p>
    <w:tbl>
      <w:tblPr>
        <w:tblStyle w:val="LightGrid-Accent1"/>
        <w:tblW w:type="auto" w:w="0"/>
        <w:tblLook w:firstColumn="1" w:firstRow="1" w:lastColumn="0" w:lastRow="0" w:noHBand="0" w:noVBand="1" w:val="04A0"/>
      </w:tblPr>
      <w:tblGrid>
        <w:gridCol w:w="2880"/>
        <w:gridCol w:w="2880"/>
        <w:gridCol w:w="2880"/>
      </w:tblGrid>
      <w:tr>
        <w:tc>
          <w:tcPr>
            <w:tcW w:type="dxa" w:w="2736"/>
          </w:tcPr>
          <w:p>
            <w:r/>
            <w:r>
              <w:rPr>
                <w:b/>
                <w:sz w:val="19"/>
              </w:rPr>
              <w:t>Seat</w:t>
            </w:r>
          </w:p>
        </w:tc>
        <w:tc>
          <w:tcPr>
            <w:tcW w:type="dxa" w:w="3744"/>
          </w:tcPr>
          <w:p>
            <w:r/>
            <w:r>
              <w:rPr>
                <w:b/>
                <w:sz w:val="19"/>
              </w:rPr>
              <w:t>Surface</w:t>
            </w:r>
          </w:p>
        </w:tc>
        <w:tc>
          <w:tcPr>
            <w:tcW w:type="dxa" w:w="2736"/>
          </w:tcPr>
          <w:p>
            <w:r/>
            <w:r>
              <w:rPr>
                <w:b/>
                <w:sz w:val="19"/>
              </w:rPr>
              <w:t>Critical to</w:t>
            </w:r>
          </w:p>
        </w:tc>
      </w:tr>
      <w:tr>
        <w:tc>
          <w:tcPr>
            <w:tcW w:type="dxa" w:w="2736"/>
          </w:tcPr>
          <w:p>
            <w:r/>
            <w:r>
              <w:rPr>
                <w:b w:val="0"/>
                <w:sz w:val="19"/>
              </w:rPr>
              <w:t>Consultant</w:t>
            </w:r>
          </w:p>
        </w:tc>
        <w:tc>
          <w:tcPr>
            <w:tcW w:type="dxa" w:w="3744"/>
          </w:tcPr>
          <w:p>
            <w:r/>
            <w:r>
              <w:rPr>
                <w:b w:val="0"/>
                <w:sz w:val="19"/>
              </w:rPr>
              <w:t>Hosted console (Cognito)</w:t>
            </w:r>
          </w:p>
        </w:tc>
        <w:tc>
          <w:tcPr>
            <w:tcW w:type="dxa" w:w="2736"/>
          </w:tcPr>
          <w:p>
            <w:r/>
            <w:r>
              <w:rPr>
                <w:b w:val="0"/>
                <w:sz w:val="19"/>
              </w:rPr>
              <w:t>Execution - own checkpoints</w:t>
            </w:r>
          </w:p>
        </w:tc>
      </w:tr>
      <w:tr>
        <w:tc>
          <w:tcPr>
            <w:tcW w:type="dxa" w:w="2736"/>
          </w:tcPr>
          <w:p>
            <w:r/>
            <w:r>
              <w:rPr>
                <w:b w:val="0"/>
                <w:sz w:val="19"/>
              </w:rPr>
              <w:t>Forward-deployed engineer</w:t>
            </w:r>
          </w:p>
        </w:tc>
        <w:tc>
          <w:tcPr>
            <w:tcW w:type="dxa" w:w="3744"/>
          </w:tcPr>
          <w:p>
            <w:r/>
            <w:r>
              <w:rPr>
                <w:b w:val="0"/>
                <w:sz w:val="19"/>
              </w:rPr>
              <w:t>Workbench terminal + Claude Code</w:t>
            </w:r>
          </w:p>
        </w:tc>
        <w:tc>
          <w:tcPr>
            <w:tcW w:type="dxa" w:w="2736"/>
          </w:tcPr>
          <w:p>
            <w:r/>
            <w:r>
              <w:rPr>
                <w:b w:val="0"/>
                <w:sz w:val="19"/>
              </w:rPr>
              <w:t>Engineering</w:t>
            </w:r>
          </w:p>
        </w:tc>
      </w:tr>
      <w:tr>
        <w:tc>
          <w:tcPr>
            <w:tcW w:type="dxa" w:w="2736"/>
          </w:tcPr>
          <w:p>
            <w:r/>
            <w:r>
              <w:rPr>
                <w:b w:val="0"/>
                <w:sz w:val="19"/>
              </w:rPr>
              <w:t>Platform engineer</w:t>
            </w:r>
          </w:p>
        </w:tc>
        <w:tc>
          <w:tcPr>
            <w:tcW w:type="dxa" w:w="3744"/>
          </w:tcPr>
          <w:p>
            <w:r/>
            <w:r>
              <w:rPr>
                <w:b w:val="0"/>
                <w:sz w:val="19"/>
              </w:rPr>
              <w:t>Deployer seat (CloudFormation only)</w:t>
            </w:r>
          </w:p>
        </w:tc>
        <w:tc>
          <w:tcPr>
            <w:tcW w:type="dxa" w:w="2736"/>
          </w:tcPr>
          <w:p>
            <w:r/>
            <w:r>
              <w:rPr>
                <w:b w:val="0"/>
                <w:sz w:val="19"/>
              </w:rPr>
              <w:t>Engineering</w:t>
            </w:r>
          </w:p>
        </w:tc>
      </w:tr>
      <w:tr>
        <w:tc>
          <w:tcPr>
            <w:tcW w:type="dxa" w:w="2736"/>
          </w:tcPr>
          <w:p>
            <w:r/>
            <w:r>
              <w:rPr>
                <w:b w:val="0"/>
                <w:sz w:val="19"/>
              </w:rPr>
              <w:t>Data steward</w:t>
            </w:r>
          </w:p>
        </w:tc>
        <w:tc>
          <w:tcPr>
            <w:tcW w:type="dxa" w:w="3744"/>
          </w:tcPr>
          <w:p>
            <w:r/>
            <w:r>
              <w:rPr>
                <w:b w:val="0"/>
                <w:sz w:val="19"/>
              </w:rPr>
              <w:t>Steward seat (admission + audit)</w:t>
            </w:r>
          </w:p>
        </w:tc>
        <w:tc>
          <w:tcPr>
            <w:tcW w:type="dxa" w:w="2736"/>
          </w:tcPr>
          <w:p>
            <w:r/>
            <w:r>
              <w:rPr>
                <w:b w:val="0"/>
                <w:sz w:val="19"/>
              </w:rPr>
              <w:t>Nothing at runtime</w:t>
            </w:r>
          </w:p>
        </w:tc>
      </w:tr>
      <w:tr>
        <w:tc>
          <w:tcPr>
            <w:tcW w:type="dxa" w:w="2736"/>
          </w:tcPr>
          <w:p>
            <w:r/>
            <w:r>
              <w:rPr>
                <w:b w:val="0"/>
                <w:sz w:val="19"/>
              </w:rPr>
              <w:t>Analyst</w:t>
            </w:r>
          </w:p>
        </w:tc>
        <w:tc>
          <w:tcPr>
            <w:tcW w:type="dxa" w:w="3744"/>
          </w:tcPr>
          <w:p>
            <w:r/>
            <w:r>
              <w:rPr>
                <w:b w:val="0"/>
                <w:sz w:val="19"/>
              </w:rPr>
              <w:t>Databricks, read-only</w:t>
            </w:r>
          </w:p>
        </w:tc>
        <w:tc>
          <w:tcPr>
            <w:tcW w:type="dxa" w:w="2736"/>
          </w:tcPr>
          <w:p>
            <w:r/>
            <w:r>
              <w:rPr>
                <w:b w:val="0"/>
                <w:sz w:val="19"/>
              </w:rPr>
              <w:t>Nothing</w:t>
            </w:r>
          </w:p>
        </w:tc>
      </w:tr>
      <w:tr>
        <w:tc>
          <w:tcPr>
            <w:tcW w:type="dxa" w:w="2736"/>
          </w:tcPr>
          <w:p>
            <w:r/>
            <w:r>
              <w:rPr>
                <w:b w:val="0"/>
                <w:sz w:val="19"/>
              </w:rPr>
              <w:t>Account admin</w:t>
            </w:r>
          </w:p>
        </w:tc>
        <w:tc>
          <w:tcPr>
            <w:tcW w:type="dxa" w:w="3744"/>
          </w:tcPr>
          <w:p>
            <w:r/>
            <w:r>
              <w:rPr>
                <w:b w:val="0"/>
                <w:sz w:val="19"/>
              </w:rPr>
              <w:t>SSO, dormant</w:t>
            </w:r>
          </w:p>
        </w:tc>
        <w:tc>
          <w:tcPr>
            <w:tcW w:type="dxa" w:w="2736"/>
          </w:tcPr>
          <w:p>
            <w:r/>
            <w:r>
              <w:rPr>
                <w:b w:val="0"/>
                <w:sz w:val="19"/>
              </w:rPr>
              <w:t>Nothing, by design</w:t>
            </w:r>
          </w:p>
        </w:tc>
      </w:tr>
    </w:tbl>
    <w:p/>
    <w:p>
      <w:r>
        <w:br w:type="page"/>
      </w:r>
    </w:p>
    <w:p>
      <w:pPr>
        <w:pStyle w:val="Heading1"/>
      </w:pPr>
      <w:r>
        <w:rPr>
          <w:color w:val="0D9488"/>
        </w:rPr>
        <w:t>1. Consultant / Engagement Lead</w:t>
      </w:r>
    </w:p>
    <w:p>
      <w:r>
        <w:rPr>
          <w:b/>
          <w:i w:val="0"/>
        </w:rPr>
        <w:t>Surface: the hosted console in a browser. No AWS account and no cloud permissions - a Cognito login created by the data steward. The consultant is the only human a running report ever waits for.</w:t>
      </w:r>
    </w:p>
    <w:p>
      <w:pPr>
        <w:pStyle w:val="Heading2"/>
      </w:pPr>
      <w:r>
        <w:t>Activity 1.1 - Run a report</w:t>
      </w:r>
    </w:p>
    <w:p>
      <w:pPr>
        <w:pStyle w:val="ListNumber"/>
      </w:pPr>
      <w:r>
        <w:t>Sign in at the console URL. There is no self-signup; ask a steward for a login.</w:t>
      </w:r>
    </w:p>
    <w:p>
      <w:pPr>
        <w:pStyle w:val="ListNumber"/>
      </w:pPr>
      <w:r>
        <w:t>Pick a client from the list, or type any company under Research Any Company.</w:t>
      </w:r>
    </w:p>
    <w:p>
      <w:pPr>
        <w:pStyle w:val="ListNumber"/>
      </w:pPr>
      <w:r>
        <w:t>Entity verification runs first - a nonsense company is rejected for a few hundred tokens instead of tens of thousands.</w:t>
      </w:r>
    </w:p>
    <w:p>
      <w:pPr>
        <w:pStyle w:val="ListNumber"/>
      </w:pPr>
      <w:r>
        <w:t>Watch progress live, or close the browser: run state is durable and consumes nothing while paused.</w:t>
      </w:r>
    </w:p>
    <w:p>
      <w:pPr>
        <w:jc w:val="center"/>
      </w:pPr>
      <w:r>
        <w:drawing>
          <wp:inline xmlns:a="http://schemas.openxmlformats.org/drawingml/2006/main" xmlns:pic="http://schemas.openxmlformats.org/drawingml/2006/picture">
            <wp:extent cx="5852160" cy="5431839"/>
            <wp:docPr id="4" name="Picture 4"/>
            <wp:cNvGraphicFramePr>
              <a:graphicFrameLocks noChangeAspect="1"/>
            </wp:cNvGraphicFramePr>
            <a:graphic>
              <a:graphicData uri="http://schemas.openxmlformats.org/drawingml/2006/picture">
                <pic:pic>
                  <pic:nvPicPr>
                    <pic:cNvPr id="0" name="15-consultant-console.jpg"/>
                    <pic:cNvPicPr/>
                  </pic:nvPicPr>
                  <pic:blipFill>
                    <a:blip r:embed="rId12"/>
                    <a:stretch>
                      <a:fillRect/>
                    </a:stretch>
                  </pic:blipFill>
                  <pic:spPr>
                    <a:xfrm>
                      <a:off x="0" y="0"/>
                      <a:ext cx="5852160" cy="5431839"/>
                    </a:xfrm>
                    <a:prstGeom prst="rect"/>
                  </pic:spPr>
                </pic:pic>
              </a:graphicData>
            </a:graphic>
          </wp:inline>
        </w:drawing>
      </w:r>
    </w:p>
    <w:p>
      <w:pPr>
        <w:jc w:val="center"/>
      </w:pPr>
      <w:r>
        <w:rPr>
          <w:i/>
          <w:color w:val="5B677D"/>
          <w:sz w:val="17"/>
        </w:rPr>
        <w:t>Figure 4. The consultant home: twenty synthetic clients with workforce data, plus free-form company research.</w:t>
      </w:r>
    </w:p>
    <w:p>
      <w:pPr>
        <w:pStyle w:val="Heading2"/>
      </w:pPr>
      <w:r>
        <w:t>Activity 1.2 - Decide at a checkpoint</w:t>
      </w:r>
    </w:p>
    <w:p>
      <w:pPr>
        <w:jc w:val="center"/>
      </w:pPr>
      <w:r>
        <w:drawing>
          <wp:inline xmlns:a="http://schemas.openxmlformats.org/drawingml/2006/main" xmlns:pic="http://schemas.openxmlformats.org/drawingml/2006/picture">
            <wp:extent cx="5486400" cy="2302329"/>
            <wp:docPr id="5" name="Picture 5"/>
            <wp:cNvGraphicFramePr>
              <a:graphicFrameLocks noChangeAspect="1"/>
            </wp:cNvGraphicFramePr>
            <a:graphic>
              <a:graphicData uri="http://schemas.openxmlformats.org/drawingml/2006/picture">
                <pic:pic>
                  <pic:nvPicPr>
                    <pic:cNvPr id="0" name="02-a-report-run-end-to-end.png"/>
                    <pic:cNvPicPr/>
                  </pic:nvPicPr>
                  <pic:blipFill>
                    <a:blip r:embed="rId13"/>
                    <a:stretch>
                      <a:fillRect/>
                    </a:stretch>
                  </pic:blipFill>
                  <pic:spPr>
                    <a:xfrm>
                      <a:off x="0" y="0"/>
                      <a:ext cx="5486400" cy="2302329"/>
                    </a:xfrm>
                    <a:prstGeom prst="rect"/>
                  </pic:spPr>
                </pic:pic>
              </a:graphicData>
            </a:graphic>
          </wp:inline>
        </w:drawing>
      </w:r>
    </w:p>
    <w:p>
      <w:pPr>
        <w:jc w:val="center"/>
      </w:pPr>
      <w:r>
        <w:rPr>
          <w:i/>
          <w:color w:val="5B677D"/>
          <w:sz w:val="17"/>
        </w:rPr>
        <w:t>Figure 5. A report run end to end. The two checkpoint pauses use waitForTaskToken, so a run waiting on a human costs nothing for hours or days.</w:t>
      </w:r>
    </w:p>
    <w:p>
      <w:pPr>
        <w:pStyle w:val="ListNumber"/>
      </w:pPr>
      <w:r>
        <w:t>At the midpoint checkpoint, read the draft and choose: approve, request a revision, or reject.</w:t>
      </w:r>
    </w:p>
    <w:p>
      <w:pPr>
        <w:pStyle w:val="ListNumber"/>
      </w:pPr>
      <w:r>
        <w:t>A revision takes your written feedback and injects it into the regeneration prompts - be concrete (“the attrition section contradicts the composition chart” beats “make it better”).</w:t>
      </w:r>
    </w:p>
    <w:p>
      <w:pPr>
        <w:pStyle w:val="ListNumber"/>
      </w:pPr>
      <w:r>
        <w:t>Revisions are bounded (default two per checkpoint), so a run cannot loop forever.</w:t>
      </w:r>
    </w:p>
    <w:p>
      <w:pPr>
        <w:pStyle w:val="ListNumber"/>
      </w:pPr>
      <w:r>
        <w:t>At the final checkpoint, approve to publish the artifacts.</w:t>
      </w:r>
    </w:p>
    <w:p>
      <w:pPr>
        <w:jc w:val="center"/>
      </w:pPr>
      <w:r>
        <w:drawing>
          <wp:inline xmlns:a="http://schemas.openxmlformats.org/drawingml/2006/main" xmlns:pic="http://schemas.openxmlformats.org/drawingml/2006/picture">
            <wp:extent cx="4206240" cy="2164657"/>
            <wp:docPr id="6" name="Picture 6"/>
            <wp:cNvGraphicFramePr>
              <a:graphicFrameLocks noChangeAspect="1"/>
            </wp:cNvGraphicFramePr>
            <a:graphic>
              <a:graphicData uri="http://schemas.openxmlformats.org/drawingml/2006/picture">
                <pic:pic>
                  <pic:nvPicPr>
                    <pic:cNvPr id="0" name="12-execution-graph.png"/>
                    <pic:cNvPicPr/>
                  </pic:nvPicPr>
                  <pic:blipFill>
                    <a:blip r:embed="rId14"/>
                    <a:stretch>
                      <a:fillRect/>
                    </a:stretch>
                  </pic:blipFill>
                  <pic:spPr>
                    <a:xfrm>
                      <a:off x="0" y="0"/>
                      <a:ext cx="4206240" cy="2164657"/>
                    </a:xfrm>
                    <a:prstGeom prst="rect"/>
                  </pic:spPr>
                </pic:pic>
              </a:graphicData>
            </a:graphic>
          </wp:inline>
        </w:drawing>
      </w:r>
    </w:p>
    <w:p>
      <w:pPr>
        <w:jc w:val="center"/>
      </w:pPr>
      <w:r>
        <w:rPr>
          <w:i/>
          <w:color w:val="5B677D"/>
          <w:sz w:val="17"/>
        </w:rPr>
        <w:t>Figure 6. A real execution: stages in green flowing into MidpointApproval and FinalApproval.</w:t>
      </w:r>
    </w:p>
    <w:p>
      <w:pPr>
        <w:pStyle w:val="Heading2"/>
      </w:pPr>
      <w:r>
        <w:t>What a consultant never has to worry about</w:t>
      </w:r>
    </w:p>
    <w:p>
      <w:pPr>
        <w:pStyle w:val="ListBullet"/>
      </w:pPr>
      <w:r>
        <w:t>Their login grants no cloud permissions; the app acts for them under its own scoped identity.</w:t>
      </w:r>
    </w:p>
    <w:p>
      <w:pPr>
        <w:pStyle w:val="ListBullet"/>
      </w:pPr>
      <w:r>
        <w:t>They cannot break the pipeline, the data tiers, or anyone else's run from the console.</w:t>
      </w:r>
    </w:p>
    <w:p>
      <w:pPr>
        <w:pStyle w:val="ListBullet"/>
      </w:pPr>
      <w:r>
        <w:t>Coarse-looking breakdowns are the privacy floor working - cells below five people are suppressed upstream.</w:t>
      </w:r>
    </w:p>
    <w:p>
      <w:r>
        <w:br w:type="page"/>
      </w:r>
    </w:p>
    <w:p>
      <w:pPr>
        <w:pStyle w:val="Heading1"/>
      </w:pPr>
      <w:r>
        <w:rPr>
          <w:color w:val="0D9488"/>
        </w:rPr>
        <w:t>2. Forward-Deployed Engineer (FDE)</w:t>
      </w:r>
    </w:p>
    <w:p>
      <w:r>
        <w:rPr>
          <w:b/>
          <w:i w:val="0"/>
        </w:rPr>
        <w:t>Surface: the workbench - an EC2 instance inside the account carrying Claude Code, git, the AWS and Databricks CLIs and Terraform. Reached over SSM only; no SSH key exists anywhere in the estate.</w:t>
      </w:r>
    </w:p>
    <w:p>
      <w:pPr>
        <w:pStyle w:val="Heading2"/>
      </w:pPr>
      <w:r>
        <w:t>Activity 2.1 - Reach the box</w:t>
      </w:r>
    </w:p>
    <w:p>
      <w:r>
        <w:rPr>
          <w:b w:val="0"/>
          <w:i w:val="0"/>
        </w:rPr>
        <w:t>Two identities are in play, and keeping them apart is the whole design. The FDE seat (intelligence-engine-dev-fde) is the human's right to reach the workbench and nothing else: find it, wake it, open a session, sleep it. Everything the engineer can actually do arrives from the instance role once they are at the prompt. Widening an FDE's power is therefore a reviewed template change, never a grant handed to a person.</w:t>
      </w:r>
    </w:p>
    <w:tbl>
      <w:tblPr>
        <w:tblStyle w:val="LightGrid-Accent1"/>
        <w:tblW w:type="auto" w:w="0"/>
        <w:tblLook w:firstColumn="1" w:firstRow="1" w:lastColumn="0" w:lastRow="0" w:noHBand="0" w:noVBand="1" w:val="04A0"/>
      </w:tblPr>
      <w:tblGrid>
        <w:gridCol w:w="2880"/>
        <w:gridCol w:w="2880"/>
        <w:gridCol w:w="2880"/>
      </w:tblGrid>
      <w:tr>
        <w:tc>
          <w:tcPr>
            <w:tcW w:type="dxa" w:w="2448"/>
          </w:tcPr>
          <w:p>
            <w:r/>
            <w:r>
              <w:rPr>
                <w:b/>
                <w:sz w:val="19"/>
              </w:rPr>
              <w:t>Path to the prompt</w:t>
            </w:r>
          </w:p>
        </w:tc>
        <w:tc>
          <w:tcPr>
            <w:tcW w:type="dxa" w:w="3744"/>
          </w:tcPr>
          <w:p>
            <w:r/>
            <w:r>
              <w:rPr>
                <w:b/>
                <w:sz w:val="19"/>
              </w:rPr>
              <w:t>What it needs</w:t>
            </w:r>
          </w:p>
        </w:tc>
        <w:tc>
          <w:tcPr>
            <w:tcW w:type="dxa" w:w="3024"/>
          </w:tcPr>
          <w:p>
            <w:r/>
            <w:r>
              <w:rPr>
                <w:b/>
                <w:sz w:val="19"/>
              </w:rPr>
              <w:t>When to use it</w:t>
            </w:r>
          </w:p>
        </w:tc>
      </w:tr>
      <w:tr>
        <w:tc>
          <w:tcPr>
            <w:tcW w:type="dxa" w:w="2448"/>
          </w:tcPr>
          <w:p>
            <w:r/>
            <w:r>
              <w:rPr>
                <w:b w:val="0"/>
                <w:sz w:val="19"/>
              </w:rPr>
              <w:t>Local terminal</w:t>
            </w:r>
          </w:p>
        </w:tc>
        <w:tc>
          <w:tcPr>
            <w:tcW w:type="dxa" w:w="3744"/>
          </w:tcPr>
          <w:p>
            <w:r/>
            <w:r>
              <w:rPr>
                <w:b w:val="0"/>
                <w:sz w:val="19"/>
              </w:rPr>
              <w:t>AWS CLI + Session Manager plugin (one-time install)</w:t>
            </w:r>
          </w:p>
        </w:tc>
        <w:tc>
          <w:tcPr>
            <w:tcW w:type="dxa" w:w="3024"/>
          </w:tcPr>
          <w:p>
            <w:r/>
            <w:r>
              <w:rPr>
                <w:b w:val="0"/>
                <w:sz w:val="19"/>
              </w:rPr>
              <w:t>Day to day - best ergonomics</w:t>
            </w:r>
          </w:p>
        </w:tc>
      </w:tr>
      <w:tr>
        <w:tc>
          <w:tcPr>
            <w:tcW w:type="dxa" w:w="2448"/>
          </w:tcPr>
          <w:p>
            <w:r/>
            <w:r>
              <w:rPr>
                <w:b w:val="0"/>
                <w:sz w:val="19"/>
              </w:rPr>
              <w:t>Console → Session Manager</w:t>
            </w:r>
          </w:p>
        </w:tc>
        <w:tc>
          <w:tcPr>
            <w:tcW w:type="dxa" w:w="3744"/>
          </w:tcPr>
          <w:p>
            <w:r/>
            <w:r>
              <w:rPr>
                <w:b w:val="0"/>
                <w:sz w:val="19"/>
              </w:rPr>
              <w:t>Console access + the FDE seat. No install</w:t>
            </w:r>
          </w:p>
        </w:tc>
        <w:tc>
          <w:tcPr>
            <w:tcW w:type="dxa" w:w="3024"/>
          </w:tcPr>
          <w:p>
            <w:r/>
            <w:r>
              <w:rPr>
                <w:b w:val="0"/>
                <w:sz w:val="19"/>
              </w:rPr>
              <w:t>A borrowed machine; no local setup</w:t>
            </w:r>
          </w:p>
        </w:tc>
      </w:tr>
      <w:tr>
        <w:tc>
          <w:tcPr>
            <w:tcW w:type="dxa" w:w="2448"/>
          </w:tcPr>
          <w:p>
            <w:r/>
            <w:r>
              <w:rPr>
                <w:b w:val="0"/>
                <w:sz w:val="19"/>
              </w:rPr>
              <w:t>CloudShell</w:t>
            </w:r>
          </w:p>
        </w:tc>
        <w:tc>
          <w:tcPr>
            <w:tcW w:type="dxa" w:w="3744"/>
          </w:tcPr>
          <w:p>
            <w:r/>
            <w:r>
              <w:rPr>
                <w:b w:val="0"/>
                <w:sz w:val="19"/>
              </w:rPr>
              <w:t>Also cloudshell:* - which the FDE seat does not grant</w:t>
            </w:r>
          </w:p>
        </w:tc>
        <w:tc>
          <w:tcPr>
            <w:tcW w:type="dxa" w:w="3024"/>
          </w:tcPr>
          <w:p>
            <w:r/>
            <w:r>
              <w:rPr>
                <w:b w:val="0"/>
                <w:sz w:val="19"/>
              </w:rPr>
              <w:t>Only if your permission set has it</w:t>
            </w:r>
          </w:p>
        </w:tc>
      </w:tr>
    </w:tbl>
    <w:p/>
    <w:p>
      <w:pPr>
        <w:ind w:left="360"/>
      </w:pPr>
      <w:r>
        <w:rPr>
          <w:rFonts w:ascii="Consolas" w:hAnsi="Consolas"/>
          <w:sz w:val="17"/>
        </w:rPr>
        <w:t>aws ec2 start-instances --instance-ids &lt;workbench-id&gt; --profile intelligence-fde</w:t>
        <w:br/>
        <w:t>aws ssm start-session   --target &lt;workbench-id&gt;       --profile intelligence-fde</w:t>
        <w:br/>
        <w:t>sudo su - ec2-user      # lands in ~/intelligence_architecture, venv active</w:t>
        <w:br/>
        <w:t>claude</w:t>
      </w:r>
    </w:p>
    <w:p>
      <w:r>
        <w:rPr>
          <w:b w:val="0"/>
          <w:i/>
        </w:rPr>
        <w:t>Claude Code on the workbench runs on Amazon Bedrock through the instance role - no API key, no personal login. Agent inference therefore stays inside the account boundary: same Bedrock account, same CloudTrail, same data path as the product's own model calls.</w:t>
      </w:r>
    </w:p>
    <w:p>
      <w:pPr>
        <w:pStyle w:val="Heading2"/>
      </w:pPr>
      <w:r>
        <w:t>Activity 2.2 - Extend the behavioural eval (a full loop)</w:t>
      </w:r>
    </w:p>
    <w:p>
      <w:r>
        <w:rPr>
          <w:b w:val="0"/>
          <w:i w:val="0"/>
        </w:rPr>
        <w:t>The golden replay tests code. It says nothing about whether a *model* still behaves. The seeded-defect eval closes that gap: planted defects, one per failure class the advisory reviewer exists to catch, scored as recall. Extending it is ordinary FDE work, and the loop below was executed on the live workbench.</w:t>
      </w:r>
    </w:p>
    <w:p>
      <w:pPr>
        <w:pStyle w:val="ListNumber"/>
      </w:pPr>
      <w:r>
        <w:t>Ask Claude Code for the change: add a fourth defect class - a year-over-year trend asserted from point-in-time counts.</w:t>
      </w:r>
    </w:p>
    <w:p>
      <w:pPr>
        <w:pStyle w:val="ListNumber"/>
      </w:pPr>
      <w:r>
        <w:t>Read the diff it produced, in the terminal, before running anything.</w:t>
      </w:r>
    </w:p>
    <w:p>
      <w:pPr>
        <w:pStyle w:val="ListNumber"/>
      </w:pPr>
      <w:r>
        <w:t>Run the eval against live Bedrock - four real model calls.</w:t>
      </w:r>
    </w:p>
    <w:p>
      <w:pPr>
        <w:pStyle w:val="ListNumber"/>
      </w:pPr>
      <w:r>
        <w:t>Read the recall line. That number is evidence about the model, not the code.</w:t>
      </w:r>
    </w:p>
    <w:p>
      <w:pPr>
        <w:pStyle w:val="ListNumber"/>
      </w:pPr>
      <w:r>
        <w:t>Keep or revert. Below the 2/3 floor is a regression even when every unit test passes.</w:t>
      </w:r>
    </w:p>
    <w:p>
      <w:pPr>
        <w:jc w:val="center"/>
      </w:pPr>
      <w:r>
        <w:drawing>
          <wp:inline xmlns:a="http://schemas.openxmlformats.org/drawingml/2006/main" xmlns:pic="http://schemas.openxmlformats.org/drawingml/2006/picture">
            <wp:extent cx="5852160" cy="3375013"/>
            <wp:docPr id="7" name="Picture 7"/>
            <wp:cNvGraphicFramePr>
              <a:graphicFrameLocks noChangeAspect="1"/>
            </wp:cNvGraphicFramePr>
            <a:graphic>
              <a:graphicData uri="http://schemas.openxmlformats.org/drawingml/2006/picture">
                <pic:pic>
                  <pic:nvPicPr>
                    <pic:cNvPr id="0" name="18-fde-diff-stale-case.jpg"/>
                    <pic:cNvPicPr/>
                  </pic:nvPicPr>
                  <pic:blipFill>
                    <a:blip r:embed="rId15"/>
                    <a:stretch>
                      <a:fillRect/>
                    </a:stretch>
                  </pic:blipFill>
                  <pic:spPr>
                    <a:xfrm>
                      <a:off x="0" y="0"/>
                      <a:ext cx="5852160" cy="3375013"/>
                    </a:xfrm>
                    <a:prstGeom prst="rect"/>
                  </pic:spPr>
                </pic:pic>
              </a:graphicData>
            </a:graphic>
          </wp:inline>
        </w:drawing>
      </w:r>
    </w:p>
    <w:p>
      <w:pPr>
        <w:jc w:val="center"/>
      </w:pPr>
      <w:r>
        <w:rPr>
          <w:i/>
          <w:color w:val="5B677D"/>
          <w:sz w:val="17"/>
        </w:rPr>
        <w:t>Figure 7. Step 2: the agent's diff. A new 'stale' case with counts, a summary asserting a trend, and the guard test updated from three cases to four.</w:t>
      </w:r>
    </w:p>
    <w:p>
      <w:pPr>
        <w:jc w:val="center"/>
      </w:pPr>
      <w:r>
        <w:drawing>
          <wp:inline xmlns:a="http://schemas.openxmlformats.org/drawingml/2006/main" xmlns:pic="http://schemas.openxmlformats.org/drawingml/2006/picture">
            <wp:extent cx="5852160" cy="3375013"/>
            <wp:docPr id="8" name="Picture 8"/>
            <wp:cNvGraphicFramePr>
              <a:graphicFrameLocks noChangeAspect="1"/>
            </wp:cNvGraphicFramePr>
            <a:graphic>
              <a:graphicData uri="http://schemas.openxmlformats.org/drawingml/2006/picture">
                <pic:pic>
                  <pic:nvPicPr>
                    <pic:cNvPr id="0" name="19-fde-eval-recall.jpg"/>
                    <pic:cNvPicPr/>
                  </pic:nvPicPr>
                  <pic:blipFill>
                    <a:blip r:embed="rId16"/>
                    <a:stretch>
                      <a:fillRect/>
                    </a:stretch>
                  </pic:blipFill>
                  <pic:spPr>
                    <a:xfrm>
                      <a:off x="0" y="0"/>
                      <a:ext cx="5852160" cy="3375013"/>
                    </a:xfrm>
                    <a:prstGeom prst="rect"/>
                  </pic:spPr>
                </pic:pic>
              </a:graphicData>
            </a:graphic>
          </wp:inline>
        </w:drawing>
      </w:r>
    </w:p>
    <w:p>
      <w:pPr>
        <w:jc w:val="center"/>
      </w:pPr>
      <w:r>
        <w:rPr>
          <w:i/>
          <w:color w:val="5B677D"/>
          <w:sz w:val="17"/>
        </w:rPr>
        <w:t>Figure 8. Steps 3-4: the eval against live Bedrock. 'reviewer recall 100% - caught [arithmetic, unsupported, contradiction, stale], missed []'. Note the caching warning above it - the wrapper reports honestly that the prefix is too short to cache.</w:t>
      </w:r>
    </w:p>
    <w:p>
      <w:pPr>
        <w:pStyle w:val="Heading2"/>
      </w:pPr>
      <w:r>
        <w:t>Activity 2.3 - Investigate model cost, and probe the boundary</w:t>
      </w:r>
    </w:p>
    <w:p>
      <w:r>
        <w:rPr>
          <w:b w:val="0"/>
          <w:i w:val="0"/>
        </w:rPr>
        <w:t>Two more activities from the same session, both in the familiar Claude Code interface. First a cost question raised by that caching warning; then a direct test of what this seat may and may not do.</w:t>
      </w:r>
    </w:p>
    <w:p>
      <w:pPr>
        <w:pStyle w:val="ListNumber"/>
      </w:pPr>
      <w:r>
        <w:t>Ask why the caching warning fired and whether caching is worth pursuing for this workload.</w:t>
      </w:r>
    </w:p>
    <w:p>
      <w:pPr>
        <w:pStyle w:val="ListNumber"/>
      </w:pPr>
      <w:r>
        <w:t>Ask the agent to probe its own boundary: list the derived tier, then try to update a CloudFormation stack.</w:t>
      </w:r>
    </w:p>
    <w:p>
      <w:pPr>
        <w:pStyle w:val="ListNumber"/>
      </w:pPr>
      <w:r>
        <w:t>Approve each shell command at the permission prompt - the agent cannot run commands unattended by default.</w:t>
      </w:r>
    </w:p>
    <w:p>
      <w:pPr>
        <w:pStyle w:val="ListNumber"/>
      </w:pPr>
      <w:r>
        <w:t>Watch it self-correct: the first attempts used a named profile that does not exist on the box, so it checked its caller identity and retried against the instance role.</w:t>
      </w:r>
    </w:p>
    <w:p>
      <w:pPr>
        <w:pStyle w:val="ListNumber"/>
      </w:pPr>
      <w:r>
        <w:t>Read the verdict table it produces.</w:t>
      </w:r>
    </w:p>
    <w:p>
      <w:pPr>
        <w:jc w:val="center"/>
      </w:pPr>
      <w:r>
        <w:drawing>
          <wp:inline xmlns:a="http://schemas.openxmlformats.org/drawingml/2006/main" xmlns:pic="http://schemas.openxmlformats.org/drawingml/2006/picture">
            <wp:extent cx="5852160" cy="3375013"/>
            <wp:docPr id="9" name="Picture 9"/>
            <wp:cNvGraphicFramePr>
              <a:graphicFrameLocks noChangeAspect="1"/>
            </wp:cNvGraphicFramePr>
            <a:graphic>
              <a:graphicData uri="http://schemas.openxmlformats.org/drawingml/2006/picture">
                <pic:pic>
                  <pic:nvPicPr>
                    <pic:cNvPr id="0" name="20-fde-claude-code-session.jpg"/>
                    <pic:cNvPicPr/>
                  </pic:nvPicPr>
                  <pic:blipFill>
                    <a:blip r:embed="rId17"/>
                    <a:stretch>
                      <a:fillRect/>
                    </a:stretch>
                  </pic:blipFill>
                  <pic:spPr>
                    <a:xfrm>
                      <a:off x="0" y="0"/>
                      <a:ext cx="5852160" cy="3375013"/>
                    </a:xfrm>
                    <a:prstGeom prst="rect"/>
                  </pic:spPr>
                </pic:pic>
              </a:graphicData>
            </a:graphic>
          </wp:inline>
        </w:drawing>
      </w:r>
    </w:p>
    <w:p>
      <w:pPr>
        <w:jc w:val="center"/>
      </w:pPr>
      <w:r>
        <w:rPr>
          <w:i/>
          <w:color w:val="5B677D"/>
          <w:sz w:val="17"/>
        </w:rPr>
        <w:t>Figure 9. The whole session. Top: why prompt caching does not apply below 4,096 tokens and when it would be worth it. Bottom: the boundary probe - reading derived/ succeeded, cloudformation:UpdateStack was denied - with the agent's own explanation of why that split is intentional.</w:t>
      </w:r>
    </w:p>
    <w:p>
      <w:r>
        <w:rPr>
          <w:b w:val="0"/>
          <w:i/>
        </w:rPr>
        <w:t>That denial is the access model asserting itself against the engineer's own agent. The workbench changes code; only the deployer seat changes infrastructure.</w:t>
      </w:r>
    </w:p>
    <w:p>
      <w:pPr>
        <w:pStyle w:val="Heading2"/>
      </w:pPr>
      <w:r>
        <w:t>Activity 2.4 - Ship a pipeline version</w:t>
      </w:r>
    </w:p>
    <w:p>
      <w:pPr>
        <w:jc w:val="center"/>
      </w:pPr>
      <w:r>
        <w:drawing>
          <wp:inline xmlns:a="http://schemas.openxmlformats.org/drawingml/2006/main" xmlns:pic="http://schemas.openxmlformats.org/drawingml/2006/picture">
            <wp:extent cx="5486400" cy="552839"/>
            <wp:docPr id="10" name="Picture 10"/>
            <wp:cNvGraphicFramePr>
              <a:graphicFrameLocks noChangeAspect="1"/>
            </wp:cNvGraphicFramePr>
            <a:graphic>
              <a:graphicData uri="http://schemas.openxmlformats.org/drawingml/2006/picture">
                <pic:pic>
                  <pic:nvPicPr>
                    <pic:cNvPr id="0" name="05-pipeline-release-candidate-blessed.png"/>
                    <pic:cNvPicPr/>
                  </pic:nvPicPr>
                  <pic:blipFill>
                    <a:blip r:embed="rId18"/>
                    <a:stretch>
                      <a:fillRect/>
                    </a:stretch>
                  </pic:blipFill>
                  <pic:spPr>
                    <a:xfrm>
                      <a:off x="0" y="0"/>
                      <a:ext cx="5486400" cy="552839"/>
                    </a:xfrm>
                    <a:prstGeom prst="rect"/>
                  </pic:spPr>
                </pic:pic>
              </a:graphicData>
            </a:graphic>
          </wp:inline>
        </w:drawing>
      </w:r>
    </w:p>
    <w:p>
      <w:pPr>
        <w:jc w:val="center"/>
      </w:pPr>
      <w:r>
        <w:rPr>
          <w:i/>
          <w:color w:val="5B677D"/>
          <w:sz w:val="17"/>
        </w:rPr>
        <w:t>Figure 10. Candidate to blessed. Every run pins an image digest, so which pipeline version produced a report is never ambiguous.</w:t>
      </w:r>
    </w:p>
    <w:p>
      <w:pPr>
        <w:ind w:left="360"/>
      </w:pPr>
      <w:r>
        <w:rPr>
          <w:rFonts w:ascii="Consolas" w:hAnsi="Consolas"/>
          <w:sz w:val="17"/>
        </w:rPr>
        <w:t>./infrastructure/remote_build.sh --stage-image        # builds in CodeBuild; prints digest</w:t>
        <w:br/>
        <w:t>python scripts/start_harness_run.py --client sterling-pharma \</w:t>
        <w:br/>
        <w:t xml:space="preserve">       --stage-image &lt;repo-uri&gt;@sha256:&lt;candidate&gt;    # blessed digest still serves everyone else</w:t>
      </w:r>
    </w:p>
    <w:p>
      <w:r>
        <w:rPr>
          <w:b w:val="0"/>
          <w:i w:val="0"/>
        </w:rPr>
        <w:t>When the candidate passes, the digest is handed to the deployer seat for promotion. Releasing is deliberately not an FDE action - the same separation as infrastructure, applied to the pipeline default.</w:t>
      </w:r>
    </w:p>
    <w:p>
      <w:pPr>
        <w:pStyle w:val="Heading2"/>
      </w:pPr>
      <w:r>
        <w:t>Activity 2.5 - Know where the work shows up</w:t>
      </w:r>
    </w:p>
    <w:p>
      <w:r>
        <w:rPr>
          <w:b w:val="0"/>
          <w:i w:val="0"/>
        </w:rPr>
        <w:t>The terminal is one surface, not the whole job.</w:t>
      </w:r>
    </w:p>
    <w:tbl>
      <w:tblPr>
        <w:tblStyle w:val="LightGrid-Accent1"/>
        <w:tblW w:type="auto" w:w="0"/>
        <w:tblLook w:firstColumn="1" w:firstRow="1" w:lastColumn="0" w:lastRow="0" w:noHBand="0" w:noVBand="1" w:val="04A0"/>
      </w:tblPr>
      <w:tblGrid>
        <w:gridCol w:w="4320"/>
        <w:gridCol w:w="4320"/>
      </w:tblGrid>
      <w:tr>
        <w:tc>
          <w:tcPr>
            <w:tcW w:type="dxa" w:w="3744"/>
          </w:tcPr>
          <w:p>
            <w:r/>
            <w:r>
              <w:rPr>
                <w:b/>
                <w:sz w:val="19"/>
              </w:rPr>
              <w:t>Question</w:t>
            </w:r>
          </w:p>
        </w:tc>
        <w:tc>
          <w:tcPr>
            <w:tcW w:type="dxa" w:w="5472"/>
          </w:tcPr>
          <w:p>
            <w:r/>
            <w:r>
              <w:rPr>
                <w:b/>
                <w:sz w:val="19"/>
              </w:rPr>
              <w:t>Surface that answers it</w:t>
            </w:r>
          </w:p>
        </w:tc>
      </w:tr>
      <w:tr>
        <w:tc>
          <w:tcPr>
            <w:tcW w:type="dxa" w:w="3744"/>
          </w:tcPr>
          <w:p>
            <w:r/>
            <w:r>
              <w:rPr>
                <w:b w:val="0"/>
                <w:sz w:val="19"/>
              </w:rPr>
              <w:t>What did I change?</w:t>
            </w:r>
          </w:p>
        </w:tc>
        <w:tc>
          <w:tcPr>
            <w:tcW w:type="dxa" w:w="5472"/>
          </w:tcPr>
          <w:p>
            <w:r/>
            <w:r>
              <w:rPr>
                <w:b w:val="0"/>
                <w:sz w:val="19"/>
              </w:rPr>
              <w:t>git branch and diff → the pull request</w:t>
            </w:r>
          </w:p>
        </w:tc>
      </w:tr>
      <w:tr>
        <w:tc>
          <w:tcPr>
            <w:tcW w:type="dxa" w:w="3744"/>
          </w:tcPr>
          <w:p>
            <w:r/>
            <w:r>
              <w:rPr>
                <w:b w:val="0"/>
                <w:sz w:val="19"/>
              </w:rPr>
              <w:t>Which pipeline version ran?</w:t>
            </w:r>
          </w:p>
        </w:tc>
        <w:tc>
          <w:tcPr>
            <w:tcW w:type="dxa" w:w="5472"/>
          </w:tcPr>
          <w:p>
            <w:r/>
            <w:r>
              <w:rPr>
                <w:b w:val="0"/>
                <w:sz w:val="19"/>
              </w:rPr>
              <w:t>Step Functions executions - each input pins an image digest</w:t>
            </w:r>
          </w:p>
        </w:tc>
      </w:tr>
      <w:tr>
        <w:tc>
          <w:tcPr>
            <w:tcW w:type="dxa" w:w="3744"/>
          </w:tcPr>
          <w:p>
            <w:r/>
            <w:r>
              <w:rPr>
                <w:b w:val="0"/>
                <w:sz w:val="19"/>
              </w:rPr>
              <w:t>What did a stage actually do?</w:t>
            </w:r>
          </w:p>
        </w:tc>
        <w:tc>
          <w:tcPr>
            <w:tcW w:type="dxa" w:w="5472"/>
          </w:tcPr>
          <w:p>
            <w:r/>
            <w:r>
              <w:rPr>
                <w:b w:val="0"/>
                <w:sz w:val="19"/>
              </w:rPr>
              <w:t>CodeBuild build history and its log stream</w:t>
            </w:r>
          </w:p>
        </w:tc>
      </w:tr>
      <w:tr>
        <w:tc>
          <w:tcPr>
            <w:tcW w:type="dxa" w:w="3744"/>
          </w:tcPr>
          <w:p>
            <w:r/>
            <w:r>
              <w:rPr>
                <w:b w:val="0"/>
                <w:sz w:val="19"/>
              </w:rPr>
              <w:t>What did the model see?</w:t>
            </w:r>
          </w:p>
        </w:tc>
        <w:tc>
          <w:tcPr>
            <w:tcW w:type="dxa" w:w="5472"/>
          </w:tcPr>
          <w:p>
            <w:r/>
            <w:r>
              <w:rPr>
                <w:b w:val="0"/>
                <w:sz w:val="19"/>
              </w:rPr>
              <w:t>/engineer run traces - the exact injected context</w:t>
            </w:r>
          </w:p>
        </w:tc>
      </w:tr>
      <w:tr>
        <w:tc>
          <w:tcPr>
            <w:tcW w:type="dxa" w:w="3744"/>
          </w:tcPr>
          <w:p>
            <w:r/>
            <w:r>
              <w:rPr>
                <w:b w:val="0"/>
                <w:sz w:val="19"/>
              </w:rPr>
              <w:t>What did it produce?</w:t>
            </w:r>
          </w:p>
        </w:tc>
        <w:tc>
          <w:tcPr>
            <w:tcW w:type="dxa" w:w="5472"/>
          </w:tcPr>
          <w:p>
            <w:r/>
            <w:r>
              <w:rPr>
                <w:b w:val="0"/>
                <w:sz w:val="19"/>
              </w:rPr>
              <w:t>analysis/&lt;client_id&gt;/ in the artifacts bucket</w:t>
            </w:r>
          </w:p>
        </w:tc>
      </w:tr>
      <w:tr>
        <w:tc>
          <w:tcPr>
            <w:tcW w:type="dxa" w:w="3744"/>
          </w:tcPr>
          <w:p>
            <w:r/>
            <w:r>
              <w:rPr>
                <w:b w:val="0"/>
                <w:sz w:val="19"/>
              </w:rPr>
              <w:t>What did it cost in tokens?</w:t>
            </w:r>
          </w:p>
        </w:tc>
        <w:tc>
          <w:tcPr>
            <w:tcW w:type="dxa" w:w="5472"/>
          </w:tcPr>
          <w:p>
            <w:r/>
            <w:r>
              <w:rPr>
                <w:b w:val="0"/>
                <w:sz w:val="19"/>
              </w:rPr>
              <w:t>CloudWatch Bedrock dashboard; summary() per run</w:t>
            </w:r>
          </w:p>
        </w:tc>
      </w:tr>
      <w:tr>
        <w:tc>
          <w:tcPr>
            <w:tcW w:type="dxa" w:w="3744"/>
          </w:tcPr>
          <w:p>
            <w:r/>
            <w:r>
              <w:rPr>
                <w:b w:val="0"/>
                <w:sz w:val="19"/>
              </w:rPr>
              <w:t>Is the estate still as described?</w:t>
            </w:r>
          </w:p>
        </w:tc>
        <w:tc>
          <w:tcPr>
            <w:tcW w:type="dxa" w:w="5472"/>
          </w:tcPr>
          <w:p>
            <w:r/>
            <w:r>
              <w:rPr>
                <w:b w:val="0"/>
                <w:sz w:val="19"/>
              </w:rPr>
              <w:t>python scripts/iac_coverage.py</w:t>
            </w:r>
          </w:p>
        </w:tc>
      </w:tr>
      <w:tr>
        <w:tc>
          <w:tcPr>
            <w:tcW w:type="dxa" w:w="3744"/>
          </w:tcPr>
          <w:p>
            <w:r/>
            <w:r>
              <w:rPr>
                <w:b w:val="0"/>
                <w:sz w:val="19"/>
              </w:rPr>
              <w:t>Who did what, account-wide?</w:t>
            </w:r>
          </w:p>
        </w:tc>
        <w:tc>
          <w:tcPr>
            <w:tcW w:type="dxa" w:w="5472"/>
          </w:tcPr>
          <w:p>
            <w:r/>
            <w:r>
              <w:rPr>
                <w:b w:val="0"/>
                <w:sz w:val="19"/>
              </w:rPr>
              <w:t>CloudTrail - including the agent's own calls</w:t>
            </w:r>
          </w:p>
        </w:tc>
      </w:tr>
    </w:tbl>
    <w:p/>
    <w:p>
      <w:pPr>
        <w:jc w:val="center"/>
      </w:pPr>
      <w:r>
        <w:drawing>
          <wp:inline xmlns:a="http://schemas.openxmlformats.org/drawingml/2006/main" xmlns:pic="http://schemas.openxmlformats.org/drawingml/2006/picture">
            <wp:extent cx="5852160" cy="4069912"/>
            <wp:docPr id="11" name="Picture 11"/>
            <wp:cNvGraphicFramePr>
              <a:graphicFrameLocks noChangeAspect="1"/>
            </wp:cNvGraphicFramePr>
            <a:graphic>
              <a:graphicData uri="http://schemas.openxmlformats.org/drawingml/2006/picture">
                <pic:pic>
                  <pic:nvPicPr>
                    <pic:cNvPr id="0" name="16-engineer-dashboard.jpg"/>
                    <pic:cNvPicPr/>
                  </pic:nvPicPr>
                  <pic:blipFill>
                    <a:blip r:embed="rId19"/>
                    <a:stretch>
                      <a:fillRect/>
                    </a:stretch>
                  </pic:blipFill>
                  <pic:spPr>
                    <a:xfrm>
                      <a:off x="0" y="0"/>
                      <a:ext cx="5852160" cy="4069912"/>
                    </a:xfrm>
                    <a:prstGeom prst="rect"/>
                  </pic:spPr>
                </pic:pic>
              </a:graphicData>
            </a:graphic>
          </wp:inline>
        </w:drawing>
      </w:r>
    </w:p>
    <w:p>
      <w:pPr>
        <w:jc w:val="center"/>
      </w:pPr>
      <w:r>
        <w:rPr>
          <w:i/>
          <w:color w:val="5B677D"/>
          <w:sz w:val="17"/>
        </w:rPr>
        <w:t>Figure 11. The engineer console: run states, checkpoints, datasets, infrastructure. An observation deck, not a cockpit.</w:t>
      </w:r>
    </w:p>
    <w:p>
      <w:pPr>
        <w:jc w:val="center"/>
      </w:pPr>
      <w:r>
        <w:drawing>
          <wp:inline xmlns:a="http://schemas.openxmlformats.org/drawingml/2006/main" xmlns:pic="http://schemas.openxmlformats.org/drawingml/2006/picture">
            <wp:extent cx="5852160" cy="4722204"/>
            <wp:docPr id="12" name="Picture 12"/>
            <wp:cNvGraphicFramePr>
              <a:graphicFrameLocks noChangeAspect="1"/>
            </wp:cNvGraphicFramePr>
            <a:graphic>
              <a:graphicData uri="http://schemas.openxmlformats.org/drawingml/2006/picture">
                <pic:pic>
                  <pic:nvPicPr>
                    <pic:cNvPr id="0" name="17-guardrails.jpg"/>
                    <pic:cNvPicPr/>
                  </pic:nvPicPr>
                  <pic:blipFill>
                    <a:blip r:embed="rId20"/>
                    <a:stretch>
                      <a:fillRect/>
                    </a:stretch>
                  </pic:blipFill>
                  <pic:spPr>
                    <a:xfrm>
                      <a:off x="0" y="0"/>
                      <a:ext cx="5852160" cy="4722204"/>
                    </a:xfrm>
                    <a:prstGeom prst="rect"/>
                  </pic:spPr>
                </pic:pic>
              </a:graphicData>
            </a:graphic>
          </wp:inline>
        </w:drawing>
      </w:r>
    </w:p>
    <w:p>
      <w:pPr>
        <w:jc w:val="center"/>
      </w:pPr>
      <w:r>
        <w:rPr>
          <w:i/>
          <w:color w:val="5B677D"/>
          <w:sz w:val="17"/>
        </w:rPr>
        <w:t>Figure 12. The guardrail surface - input validation, entity verification, output validation, cost ceilings, data-access isolation. Read-only when deployed: enforcement changes ride through git.</w:t>
      </w:r>
    </w:p>
    <w:p>
      <w:r>
        <w:br w:type="page"/>
      </w:r>
    </w:p>
    <w:p>
      <w:pPr>
        <w:pStyle w:val="Heading1"/>
      </w:pPr>
      <w:r>
        <w:rPr>
          <w:color w:val="0D9488"/>
        </w:rPr>
        <w:t>3. Platform Engineer</w:t>
      </w:r>
    </w:p>
    <w:p>
      <w:r>
        <w:rPr>
          <w:b/>
          <w:i w:val="0"/>
        </w:rPr>
        <w:t>Surface: the deployer seat. Operates CloudFormation on project stacks through cfn-exec - an execution role whose trust policy admits only the CloudFormation service, never a human - and mutates nothing directly.</w:t>
      </w:r>
    </w:p>
    <w:p>
      <w:pPr>
        <w:jc w:val="center"/>
      </w:pPr>
      <w:r>
        <w:drawing>
          <wp:inline xmlns:a="http://schemas.openxmlformats.org/drawingml/2006/main" xmlns:pic="http://schemas.openxmlformats.org/drawingml/2006/picture">
            <wp:extent cx="5486400" cy="713792"/>
            <wp:docPr id="13" name="Picture 13"/>
            <wp:cNvGraphicFramePr>
              <a:graphicFrameLocks noChangeAspect="1"/>
            </wp:cNvGraphicFramePr>
            <a:graphic>
              <a:graphicData uri="http://schemas.openxmlformats.org/drawingml/2006/picture">
                <pic:pic>
                  <pic:nvPicPr>
                    <pic:cNvPr id="0" name="04-the-deploy-channel.png"/>
                    <pic:cNvPicPr/>
                  </pic:nvPicPr>
                  <pic:blipFill>
                    <a:blip r:embed="rId21"/>
                    <a:stretch>
                      <a:fillRect/>
                    </a:stretch>
                  </pic:blipFill>
                  <pic:spPr>
                    <a:xfrm>
                      <a:off x="0" y="0"/>
                      <a:ext cx="5486400" cy="713792"/>
                    </a:xfrm>
                    <a:prstGeom prst="rect"/>
                  </pic:spPr>
                </pic:pic>
              </a:graphicData>
            </a:graphic>
          </wp:inline>
        </w:drawing>
      </w:r>
    </w:p>
    <w:p>
      <w:pPr>
        <w:jc w:val="center"/>
      </w:pPr>
      <w:r>
        <w:rPr>
          <w:i/>
          <w:color w:val="5B677D"/>
          <w:sz w:val="17"/>
        </w:rPr>
        <w:t>Figure 13. The deploy channel. Boundaries change through exactly one path: a reviewed template, applied as a logged stack operation.</w:t>
      </w:r>
    </w:p>
    <w:p>
      <w:pPr>
        <w:pStyle w:val="Heading2"/>
      </w:pPr>
      <w:r>
        <w:t>Activity 3.1 - Routine deploy</w:t>
      </w:r>
    </w:p>
    <w:p>
      <w:pPr>
        <w:ind w:left="360"/>
      </w:pPr>
      <w:r>
        <w:rPr>
          <w:rFonts w:ascii="Consolas" w:hAnsi="Consolas"/>
          <w:sz w:val="17"/>
        </w:rPr>
        <w:t>./infrastructure/deploy.sh --profile intelligence-deployer \</w:t>
        <w:br/>
        <w:t xml:space="preserve">  --cfn-role arn:aws:iam::&lt;account&gt;:role/intelligence-engine-dev-cfn-exec</w:t>
      </w:r>
    </w:p>
    <w:p>
      <w:r>
        <w:rPr>
          <w:b w:val="0"/>
          <w:i w:val="0"/>
        </w:rPr>
        <w:t>Quirks worth knowing before they surprise you: the app stack deploys twice (it must learn its own URL before Cognito can trust it); the steward stack takes the resulting user-pool id; unspecified parameters reuse their previous values on update.</w:t>
      </w:r>
    </w:p>
    <w:p>
      <w:pPr>
        <w:pStyle w:val="Heading2"/>
      </w:pPr>
      <w:r>
        <w:t>Activity 3.2 - Verify, every time</w:t>
      </w:r>
    </w:p>
    <w:p>
      <w:pPr>
        <w:ind w:left="360"/>
      </w:pPr>
      <w:r>
        <w:rPr>
          <w:rFonts w:ascii="Consolas" w:hAnsi="Consolas"/>
          <w:sz w:val="17"/>
        </w:rPr>
        <w:t>python scripts/qa_sweep.py     --profile intelligence-deployer</w:t>
        <w:br/>
        <w:t>python scripts/iac_coverage.py --profile intelligence-deployer</w:t>
      </w:r>
    </w:p>
    <w:p>
      <w:r>
        <w:rPr>
          <w:b w:val="0"/>
          <w:i w:val="0"/>
        </w:rPr>
        <w:t>Both are read-only and exit non-zero on failure, so either can gate a pipeline. An unmanaged resource is an incident, not housekeeping: adopt it into a template or remove it, and find out which seat created it.</w:t>
      </w:r>
    </w:p>
    <w:p>
      <w:pPr>
        <w:pStyle w:val="Heading2"/>
      </w:pPr>
      <w:r>
        <w:t>Activity 3.3 - Promote or roll back a pipeline version</w:t>
      </w:r>
    </w:p>
    <w:p>
      <w:pPr>
        <w:ind w:left="360"/>
      </w:pPr>
      <w:r>
        <w:rPr>
          <w:rFonts w:ascii="Consolas" w:hAnsi="Consolas"/>
          <w:sz w:val="17"/>
        </w:rPr>
        <w:t>python scripts/promote_stage_image.py --profile intelligence-deployer --digest sha256:...</w:t>
      </w:r>
    </w:p>
    <w:p>
      <w:r>
        <w:rPr>
          <w:b w:val="0"/>
          <w:i w:val="0"/>
        </w:rPr>
        <w:t>The script refuses a digest that is not in ECR, records the blessed image in SSM, and prints the previous digest - rollback is running it again with that value. Promotion affects the next run, never a run already in flight.</w:t>
      </w:r>
    </w:p>
    <w:p>
      <w:pPr>
        <w:pStyle w:val="Heading2"/>
      </w:pPr>
      <w:r>
        <w:t>Activity 3.4 - Roll back infrastructure</w:t>
      </w:r>
    </w:p>
    <w:p>
      <w:pPr>
        <w:ind w:left="360"/>
      </w:pPr>
      <w:r>
        <w:rPr>
          <w:rFonts w:ascii="Consolas" w:hAnsi="Consolas"/>
          <w:sz w:val="17"/>
        </w:rPr>
        <w:t>git checkout &lt;last-good-commit&gt; -- infrastructure/cloudformation/&lt;name&gt;.yaml</w:t>
        <w:br/>
        <w:t>aws cloudformation deploy ...    # the template is the truth you want back</w:t>
      </w:r>
    </w:p>
    <w:p>
      <w:r>
        <w:rPr>
          <w:b w:val="0"/>
          <w:i w:val="0"/>
        </w:rPr>
        <w:t>A stack stuck in ROLLBACK_COMPLETE after a failed create must be deleted and recreated - CloudFormation will not update it.</w:t>
      </w:r>
    </w:p>
    <w:p>
      <w:r>
        <w:br w:type="page"/>
      </w:r>
    </w:p>
    <w:p>
      <w:pPr>
        <w:pStyle w:val="Heading1"/>
      </w:pPr>
      <w:r>
        <w:rPr>
          <w:color w:val="0D9488"/>
        </w:rPr>
        <w:t>4. Data Steward</w:t>
      </w:r>
    </w:p>
    <w:p>
      <w:r>
        <w:rPr>
          <w:b/>
          <w:i w:val="0"/>
        </w:rPr>
        <w:t>Surface: the steward seat. Exactly three capabilities - admit data, admit people, read the audit surface - and no ability to deploy, write a governed tier, invoke a model, or reach the vault.</w:t>
      </w:r>
    </w:p>
    <w:p>
      <w:pPr>
        <w:jc w:val="center"/>
      </w:pPr>
      <w:r>
        <w:drawing>
          <wp:inline xmlns:a="http://schemas.openxmlformats.org/drawingml/2006/main" xmlns:pic="http://schemas.openxmlformats.org/drawingml/2006/picture">
            <wp:extent cx="5486400" cy="1588537"/>
            <wp:docPr id="14" name="Picture 14"/>
            <wp:cNvGraphicFramePr>
              <a:graphicFrameLocks noChangeAspect="1"/>
            </wp:cNvGraphicFramePr>
            <a:graphic>
              <a:graphicData uri="http://schemas.openxmlformats.org/drawingml/2006/picture">
                <pic:pic>
                  <pic:nvPicPr>
                    <pic:cNvPr id="0" name="03-data-admission-through-the-medallion-tiers.png"/>
                    <pic:cNvPicPr/>
                  </pic:nvPicPr>
                  <pic:blipFill>
                    <a:blip r:embed="rId22"/>
                    <a:stretch>
                      <a:fillRect/>
                    </a:stretch>
                  </pic:blipFill>
                  <pic:spPr>
                    <a:xfrm>
                      <a:off x="0" y="0"/>
                      <a:ext cx="5486400" cy="1588537"/>
                    </a:xfrm>
                    <a:prstGeom prst="rect"/>
                  </pic:spPr>
                </pic:pic>
              </a:graphicData>
            </a:graphic>
          </wp:inline>
        </w:drawing>
      </w:r>
    </w:p>
    <w:p>
      <w:pPr>
        <w:jc w:val="center"/>
      </w:pPr>
      <w:r>
        <w:rPr>
          <w:i/>
          <w:color w:val="5B677D"/>
          <w:sz w:val="17"/>
        </w:rPr>
        <w:t>Figure 14. Admission through the medallion tiers. The steward decides what enters; the gates in code enforce the rules on every write thereafter.</w:t>
      </w:r>
    </w:p>
    <w:p>
      <w:pPr>
        <w:pStyle w:val="Heading2"/>
      </w:pPr>
      <w:r>
        <w:t>Activity 4.1 - Admit a source</w:t>
      </w:r>
    </w:p>
    <w:p>
      <w:pPr>
        <w:ind w:left="360"/>
      </w:pPr>
      <w:r>
        <w:rPr>
          <w:rFonts w:ascii="Consolas" w:hAnsi="Consolas"/>
          <w:sz w:val="17"/>
        </w:rPr>
        <w:t>aws s3 cp ./drop.jsonl s3://&lt;landing-bucket&gt;/landing/&lt;client&gt;/&lt;source&gt;/&lt;date&gt;/ \</w:t>
        <w:br/>
        <w:t xml:space="preserve">  --profile intelligence-steward</w:t>
      </w:r>
    </w:p>
    <w:p>
      <w:r>
        <w:rPr>
          <w:b w:val="0"/>
          <w:i w:val="0"/>
        </w:rPr>
        <w:t>The steward seat is the only identity that can write landing/, so every object there is something a steward deliberately placed. Licensing, privacy basis and inferred-attribute sensitivity are decisions taken before this command, not after.</w:t>
      </w:r>
    </w:p>
    <w:p>
      <w:pPr>
        <w:jc w:val="center"/>
      </w:pPr>
      <w:r>
        <w:drawing>
          <wp:inline xmlns:a="http://schemas.openxmlformats.org/drawingml/2006/main" xmlns:pic="http://schemas.openxmlformats.org/drawingml/2006/picture">
            <wp:extent cx="5852160" cy="3375013"/>
            <wp:docPr id="15" name="Picture 15"/>
            <wp:cNvGraphicFramePr>
              <a:graphicFrameLocks noChangeAspect="1"/>
            </wp:cNvGraphicFramePr>
            <a:graphic>
              <a:graphicData uri="http://schemas.openxmlformats.org/drawingml/2006/picture">
                <pic:pic>
                  <pic:nvPicPr>
                    <pic:cNvPr id="0" name="02-lakehouse-tiers.jpg"/>
                    <pic:cNvPicPr/>
                  </pic:nvPicPr>
                  <pic:blipFill>
                    <a:blip r:embed="rId23"/>
                    <a:stretch>
                      <a:fillRect/>
                    </a:stretch>
                  </pic:blipFill>
                  <pic:spPr>
                    <a:xfrm>
                      <a:off x="0" y="0"/>
                      <a:ext cx="5852160" cy="3375013"/>
                    </a:xfrm>
                    <a:prstGeom prst="rect"/>
                  </pic:spPr>
                </pic:pic>
              </a:graphicData>
            </a:graphic>
          </wp:inline>
        </w:drawing>
      </w:r>
    </w:p>
    <w:p>
      <w:pPr>
        <w:jc w:val="center"/>
      </w:pPr>
      <w:r>
        <w:rPr>
          <w:i/>
          <w:color w:val="5B677D"/>
          <w:sz w:val="17"/>
        </w:rPr>
        <w:t>Figure 15. The governed data plane: medallion tiers as prefixes - foundational (pseudonymous), derived (aggregates, small cells suppressed), contextualized (vectors and graph), stewardship (append-only log).</w:t>
      </w:r>
    </w:p>
    <w:p>
      <w:pPr>
        <w:pStyle w:val="Heading2"/>
      </w:pPr>
      <w:r>
        <w:t>Activity 4.2 - Admit and remove people</w:t>
      </w:r>
    </w:p>
    <w:p>
      <w:pPr>
        <w:ind w:left="360"/>
      </w:pPr>
      <w:r>
        <w:rPr>
          <w:rFonts w:ascii="Consolas" w:hAnsi="Consolas"/>
          <w:sz w:val="17"/>
        </w:rPr>
        <w:t>aws cognito-idp admin-create-user       --profile intelligence-steward ...</w:t>
        <w:br/>
        <w:t>aws cognito-idp admin-set-user-password --profile intelligence-steward ... --permanent</w:t>
        <w:br/>
        <w:t>aws cognito-idp admin-disable-user      --profile intelligence-steward ...</w:t>
      </w:r>
    </w:p>
    <w:p>
      <w:r>
        <w:rPr>
          <w:b w:val="0"/>
          <w:i w:val="0"/>
        </w:rPr>
        <w:t>Set a permanent password rather than relying on the temporary-password flow: no email delivery is configured, so an invited user would otherwise be stranded.</w:t>
      </w:r>
    </w:p>
    <w:p>
      <w:pPr>
        <w:pStyle w:val="Heading2"/>
      </w:pPr>
      <w:r>
        <w:t>Activity 4.3 - Read the audit surface</w:t>
      </w:r>
    </w:p>
    <w:p>
      <w:pPr>
        <w:jc w:val="center"/>
      </w:pPr>
      <w:r>
        <w:drawing>
          <wp:inline xmlns:a="http://schemas.openxmlformats.org/drawingml/2006/main" xmlns:pic="http://schemas.openxmlformats.org/drawingml/2006/picture">
            <wp:extent cx="5486400" cy="1644520"/>
            <wp:docPr id="16" name="Picture 16"/>
            <wp:cNvGraphicFramePr>
              <a:graphicFrameLocks noChangeAspect="1"/>
            </wp:cNvGraphicFramePr>
            <a:graphic>
              <a:graphicData uri="http://schemas.openxmlformats.org/drawingml/2006/picture">
                <pic:pic>
                  <pic:nvPicPr>
                    <pic:cNvPr id="0" name="07-the-audit-surface.png"/>
                    <pic:cNvPicPr/>
                  </pic:nvPicPr>
                  <pic:blipFill>
                    <a:blip r:embed="rId24"/>
                    <a:stretch>
                      <a:fillRect/>
                    </a:stretch>
                  </pic:blipFill>
                  <pic:spPr>
                    <a:xfrm>
                      <a:off x="0" y="0"/>
                      <a:ext cx="5486400" cy="1644520"/>
                    </a:xfrm>
                    <a:prstGeom prst="rect"/>
                  </pic:spPr>
                </pic:pic>
              </a:graphicData>
            </a:graphic>
          </wp:inline>
        </w:drawing>
      </w:r>
    </w:p>
    <w:p>
      <w:pPr>
        <w:jc w:val="center"/>
      </w:pPr>
      <w:r>
        <w:rPr>
          <w:i/>
          <w:color w:val="5B677D"/>
          <w:sz w:val="17"/>
        </w:rPr>
        <w:t>Figure 16. Append-only by construction: the identities that write the log cannot read it, and the identity that reads it can write nothing but the drop zone.</w:t>
      </w:r>
    </w:p>
    <w:p>
      <w:pPr>
        <w:jc w:val="center"/>
      </w:pPr>
      <w:r>
        <w:drawing>
          <wp:inline xmlns:a="http://schemas.openxmlformats.org/drawingml/2006/main" xmlns:pic="http://schemas.openxmlformats.org/drawingml/2006/picture">
            <wp:extent cx="5852160" cy="3375013"/>
            <wp:docPr id="17" name="Picture 17"/>
            <wp:cNvGraphicFramePr>
              <a:graphicFrameLocks noChangeAspect="1"/>
            </wp:cNvGraphicFramePr>
            <a:graphic>
              <a:graphicData uri="http://schemas.openxmlformats.org/drawingml/2006/picture">
                <pic:pic>
                  <pic:nvPicPr>
                    <pic:cNvPr id="0" name="05-stewardship-gate-events.jpg"/>
                    <pic:cNvPicPr/>
                  </pic:nvPicPr>
                  <pic:blipFill>
                    <a:blip r:embed="rId25"/>
                    <a:stretch>
                      <a:fillRect/>
                    </a:stretch>
                  </pic:blipFill>
                  <pic:spPr>
                    <a:xfrm>
                      <a:off x="0" y="0"/>
                      <a:ext cx="5852160" cy="3375013"/>
                    </a:xfrm>
                    <a:prstGeom prst="rect"/>
                  </pic:spPr>
                </pic:pic>
              </a:graphicData>
            </a:graphic>
          </wp:inline>
        </w:drawing>
      </w:r>
    </w:p>
    <w:p>
      <w:pPr>
        <w:jc w:val="center"/>
      </w:pPr>
      <w:r>
        <w:rPr>
          <w:i/>
          <w:color w:val="5B677D"/>
          <w:sz w:val="17"/>
        </w:rPr>
        <w:t>Figure 17. The stewardship log in S3. gate-events/ records every gate evaluation as JSONL - which gate, which caller, BLOCK / WARN / NOTE, and what triggered it.</w:t>
      </w:r>
    </w:p>
    <w:p>
      <w:pPr>
        <w:jc w:val="center"/>
      </w:pPr>
      <w:r>
        <w:drawing>
          <wp:inline xmlns:a="http://schemas.openxmlformats.org/drawingml/2006/main" xmlns:pic="http://schemas.openxmlformats.org/drawingml/2006/picture">
            <wp:extent cx="5852160" cy="3439664"/>
            <wp:docPr id="18" name="Picture 18"/>
            <wp:cNvGraphicFramePr>
              <a:graphicFrameLocks noChangeAspect="1"/>
            </wp:cNvGraphicFramePr>
            <a:graphic>
              <a:graphicData uri="http://schemas.openxmlformats.org/drawingml/2006/picture">
                <pic:pic>
                  <pic:nvPicPr>
                    <pic:cNvPr id="0" name="13-cloudtrail-trail.jpg"/>
                    <pic:cNvPicPr/>
                  </pic:nvPicPr>
                  <pic:blipFill>
                    <a:blip r:embed="rId26"/>
                    <a:stretch>
                      <a:fillRect/>
                    </a:stretch>
                  </pic:blipFill>
                  <pic:spPr>
                    <a:xfrm>
                      <a:off x="0" y="0"/>
                      <a:ext cx="5852160" cy="3439664"/>
                    </a:xfrm>
                    <a:prstGeom prst="rect"/>
                  </pic:spPr>
                </pic:pic>
              </a:graphicData>
            </a:graphic>
          </wp:inline>
        </w:drawing>
      </w:r>
    </w:p>
    <w:p>
      <w:pPr>
        <w:jc w:val="center"/>
      </w:pPr>
      <w:r>
        <w:rPr>
          <w:i/>
          <w:color w:val="5B677D"/>
          <w:sz w:val="17"/>
        </w:rPr>
        <w:t>Figure 18. CloudTrail: multi-region, log-file validation enabled, and object-level data events on the governed prefixes - every individual read of governed data, not just management calls.</w:t>
      </w:r>
    </w:p>
    <w:p>
      <w:pPr>
        <w:pStyle w:val="Heading2"/>
      </w:pPr>
      <w:r>
        <w:t>Activity 4.4 - Review a lineage claim</w:t>
      </w:r>
    </w:p>
    <w:p>
      <w:pPr>
        <w:jc w:val="center"/>
      </w:pPr>
      <w:r>
        <w:drawing>
          <wp:inline xmlns:a="http://schemas.openxmlformats.org/drawingml/2006/main" xmlns:pic="http://schemas.openxmlformats.org/drawingml/2006/picture">
            <wp:extent cx="5852160" cy="3372227"/>
            <wp:docPr id="19" name="Picture 19"/>
            <wp:cNvGraphicFramePr>
              <a:graphicFrameLocks noChangeAspect="1"/>
            </wp:cNvGraphicFramePr>
            <a:graphic>
              <a:graphicData uri="http://schemas.openxmlformats.org/drawingml/2006/picture">
                <pic:pic>
                  <pic:nvPicPr>
                    <pic:cNvPr id="0" name="07-glue-lineage-properties.jpg"/>
                    <pic:cNvPicPr/>
                  </pic:nvPicPr>
                  <pic:blipFill>
                    <a:blip r:embed="rId27"/>
                    <a:stretch>
                      <a:fillRect/>
                    </a:stretch>
                  </pic:blipFill>
                  <pic:spPr>
                    <a:xfrm>
                      <a:off x="0" y="0"/>
                      <a:ext cx="5852160" cy="3372227"/>
                    </a:xfrm>
                    <a:prstGeom prst="rect"/>
                  </pic:spPr>
                </pic:pic>
              </a:graphicData>
            </a:graphic>
          </wp:inline>
        </w:drawing>
      </w:r>
    </w:p>
    <w:p>
      <w:pPr>
        <w:jc w:val="center"/>
      </w:pPr>
      <w:r>
        <w:rPr>
          <w:i/>
          <w:color w:val="5B677D"/>
          <w:sz w:val="17"/>
        </w:rPr>
        <w:t>Figure 19. Governance as table metadata: ie.owner names the accountable human, lineage records 500 rows in and 37 aggregate cells out, and contains_personal_data=false sits beside derived_from_personal_data=true - the honest pair.</w:t>
      </w:r>
    </w:p>
    <w:p>
      <w:r>
        <w:br w:type="page"/>
      </w:r>
    </w:p>
    <w:p>
      <w:pPr>
        <w:pStyle w:val="Heading1"/>
      </w:pPr>
      <w:r>
        <w:rPr>
          <w:color w:val="0D9488"/>
        </w:rPr>
        <w:t>5. Data Scientist / Analyst</w:t>
      </w:r>
    </w:p>
    <w:p>
      <w:r>
        <w:rPr>
          <w:b/>
          <w:i w:val="0"/>
        </w:rPr>
        <w:t>Surface: Databricks, reading the lakehouse in place through Unity Catalog. Zero-copy, read-only, and no AWS credentials in the analyst's hands.</w:t>
      </w:r>
    </w:p>
    <w:p>
      <w:pPr>
        <w:jc w:val="center"/>
      </w:pPr>
      <w:r>
        <w:drawing>
          <wp:inline xmlns:a="http://schemas.openxmlformats.org/drawingml/2006/main" xmlns:pic="http://schemas.openxmlformats.org/drawingml/2006/picture">
            <wp:extent cx="5486400" cy="1196651"/>
            <wp:docPr id="20" name="Picture 20"/>
            <wp:cNvGraphicFramePr>
              <a:graphicFrameLocks noChangeAspect="1"/>
            </wp:cNvGraphicFramePr>
            <a:graphic>
              <a:graphicData uri="http://schemas.openxmlformats.org/drawingml/2006/picture">
                <pic:pic>
                  <pic:nvPicPr>
                    <pic:cNvPr id="0" name="08-the-analyst-s-zero-copy-path.png"/>
                    <pic:cNvPicPr/>
                  </pic:nvPicPr>
                  <pic:blipFill>
                    <a:blip r:embed="rId28"/>
                    <a:stretch>
                      <a:fillRect/>
                    </a:stretch>
                  </pic:blipFill>
                  <pic:spPr>
                    <a:xfrm>
                      <a:off x="0" y="0"/>
                      <a:ext cx="5486400" cy="1196651"/>
                    </a:xfrm>
                    <a:prstGeom prst="rect"/>
                  </pic:spPr>
                </pic:pic>
              </a:graphicData>
            </a:graphic>
          </wp:inline>
        </w:drawing>
      </w:r>
    </w:p>
    <w:p>
      <w:pPr>
        <w:jc w:val="center"/>
      </w:pPr>
      <w:r>
        <w:rPr>
          <w:i/>
          <w:color w:val="5B677D"/>
          <w:sz w:val="17"/>
        </w:rPr>
        <w:t>Figure 20. The zero-copy path. No write path exists from the notebook back to the governed tiers.</w:t>
      </w:r>
    </w:p>
    <w:p>
      <w:pPr>
        <w:pStyle w:val="ListBullet"/>
      </w:pPr>
      <w:r>
        <w:t>derived/ is the everyday surface for BI - a normal external table with suppression already applied.</w:t>
      </w:r>
    </w:p>
    <w:p>
      <w:pPr>
        <w:pStyle w:val="ListBullet"/>
      </w:pPr>
      <w:r>
        <w:t>foundational/ supports record-grain modelling, and carries record-grain obligations: pseudonymous is not anonymous.</w:t>
      </w:r>
    </w:p>
    <w:p>
      <w:pPr>
        <w:pStyle w:val="ListBullet"/>
      </w:pPr>
      <w:r>
        <w:t>contextualized/ ships embeddings beside their metadata columns for retrieval prototyping.</w:t>
      </w:r>
    </w:p>
    <w:p>
      <w:pPr>
        <w:pStyle w:val="ListBullet"/>
      </w:pPr>
      <w:r>
        <w:t>Reconstructing suppressed cells by joining or differencing derived outputs defeats the control the tier exists to provide.</w:t>
      </w:r>
    </w:p>
    <w:p>
      <w:r>
        <w:rPr>
          <w:b w:val="0"/>
          <w:i w:val="0"/>
        </w:rPr>
        <w:t>New or changed product tables are requested, not built here: they are a reviewed change to the build stages, run under the product-builder identity with lineage metadata updated. That is what keeps the catalog's ownership claims true.</w:t>
      </w:r>
    </w:p>
    <w:p>
      <w:pPr>
        <w:pStyle w:val="Heading2"/>
      </w:pPr>
      <w:r>
        <w:t>Activity 5.1 - How the connection is wired, and what it proves</w:t>
      </w:r>
    </w:p>
    <w:p>
      <w:r>
        <w:rPr>
          <w:b w:val="0"/>
          <w:i w:val="0"/>
        </w:rPr>
        <w:t>Zero-copy is a claim worth testing rather than repeating. Unity Catalog reaches the lakehouse through a storage credential backed by an IAM role defined in this repository, and an external location scoped to a single governed prefix. Creating that location runs a live permission check against AWS, and the result is the governance model stated in someone else's words:</w:t>
      </w:r>
    </w:p>
    <w:p>
      <w:pPr>
        <w:jc w:val="center"/>
      </w:pPr>
      <w:r>
        <w:drawing>
          <wp:inline xmlns:a="http://schemas.openxmlformats.org/drawingml/2006/main" xmlns:pic="http://schemas.openxmlformats.org/drawingml/2006/picture">
            <wp:extent cx="5852160" cy="3375013"/>
            <wp:docPr id="21" name="Picture 21"/>
            <wp:cNvGraphicFramePr>
              <a:graphicFrameLocks noChangeAspect="1"/>
            </wp:cNvGraphicFramePr>
            <a:graphic>
              <a:graphicData uri="http://schemas.openxmlformats.org/drawingml/2006/picture">
                <pic:pic>
                  <pic:nvPicPr>
                    <pic:cNvPr id="0" name="21-databricks-external-location-validation.jpg"/>
                    <pic:cNvPicPr/>
                  </pic:nvPicPr>
                  <pic:blipFill>
                    <a:blip r:embed="rId29"/>
                    <a:stretch>
                      <a:fillRect/>
                    </a:stretch>
                  </pic:blipFill>
                  <pic:spPr>
                    <a:xfrm>
                      <a:off x="0" y="0"/>
                      <a:ext cx="5852160" cy="3375013"/>
                    </a:xfrm>
                    <a:prstGeom prst="rect"/>
                  </pic:spPr>
                </pic:pic>
              </a:graphicData>
            </a:graphic>
          </wp:inline>
        </w:drawing>
      </w:r>
    </w:p>
    <w:p>
      <w:pPr>
        <w:jc w:val="center"/>
      </w:pPr>
      <w:r>
        <w:rPr>
          <w:i/>
          <w:color w:val="5B677D"/>
          <w:sz w:val="17"/>
        </w:rPr>
        <w:t>Figure 21. Validating the external location over derived/. Read, List, Path Exists, Assume Role and External ID Condition all pass; the only failures are the write-dependent file-event resources, because the credential is read-only by construction.</w:t>
      </w:r>
    </w:p>
    <w:p>
      <w:r>
        <w:rPr>
          <w:b w:val="0"/>
          <w:i w:val="0"/>
        </w:rPr>
        <w:t>With that in place, an analyst queries the governed aggregates directly - no copy, no export, no AWS credentials in their hands:</w:t>
      </w:r>
    </w:p>
    <w:p>
      <w:pPr>
        <w:jc w:val="center"/>
      </w:pPr>
      <w:r>
        <w:drawing>
          <wp:inline xmlns:a="http://schemas.openxmlformats.org/drawingml/2006/main" xmlns:pic="http://schemas.openxmlformats.org/drawingml/2006/picture">
            <wp:extent cx="5852160" cy="3375013"/>
            <wp:docPr id="22" name="Picture 22"/>
            <wp:cNvGraphicFramePr>
              <a:graphicFrameLocks noChangeAspect="1"/>
            </wp:cNvGraphicFramePr>
            <a:graphic>
              <a:graphicData uri="http://schemas.openxmlformats.org/drawingml/2006/picture">
                <pic:pic>
                  <pic:nvPicPr>
                    <pic:cNvPr id="0" name="22-databricks-governed-query.jpg"/>
                    <pic:cNvPicPr/>
                  </pic:nvPicPr>
                  <pic:blipFill>
                    <a:blip r:embed="rId30"/>
                    <a:stretch>
                      <a:fillRect/>
                    </a:stretch>
                  </pic:blipFill>
                  <pic:spPr>
                    <a:xfrm>
                      <a:off x="0" y="0"/>
                      <a:ext cx="5852160" cy="3375013"/>
                    </a:xfrm>
                    <a:prstGeom prst="rect"/>
                  </pic:spPr>
                </pic:pic>
              </a:graphicData>
            </a:graphic>
          </wp:inline>
        </w:drawing>
      </w:r>
    </w:p>
    <w:p>
      <w:pPr>
        <w:jc w:val="center"/>
      </w:pPr>
      <w:r>
        <w:rPr>
          <w:i/>
          <w:color w:val="5B677D"/>
          <w:sz w:val="17"/>
        </w:rPr>
        <w:t>Figure 22. SQL over the L3 tier from Databricks serverless. Every row is an aggregate whose small cells were suppressed upstream by the pipeline, not by the query.</w:t>
      </w:r>
    </w:p>
    <w:p>
      <w:r>
        <w:rPr>
          <w:b w:val="0"/>
          <w:i/>
        </w:rPr>
        <w:t>Two boundaries are visible in that exchange. The credential is read-only, so no notebook can write into a governed tier. And the catalog schema is owned by the infrastructure service principal, so publishing a permanent view for analysts is a reviewed change by the team that owns the pipeline - not something a curious analyst can do at a SQL prompt.</w:t>
      </w:r>
    </w:p>
    <w:p>
      <w:r>
        <w:br w:type="page"/>
      </w:r>
    </w:p>
    <w:p>
      <w:pPr>
        <w:pStyle w:val="Heading1"/>
      </w:pPr>
      <w:r>
        <w:rPr>
          <w:color w:val="0D9488"/>
        </w:rPr>
        <w:t>6. Account Admin</w:t>
      </w:r>
    </w:p>
    <w:p>
      <w:r>
        <w:rPr>
          <w:b/>
          <w:i w:val="0"/>
        </w:rPr>
        <w:t>Dormant by design. Two jobs only: seating people, and recovery if the deploy channel itself breaks. Used on a normal day means something is misdesigned.</w:t>
      </w:r>
    </w:p>
    <w:p>
      <w:pPr>
        <w:pStyle w:val="Heading2"/>
      </w:pPr>
      <w:r>
        <w:t>Activity 6.1 - Seat a person</w:t>
      </w:r>
    </w:p>
    <w:p>
      <w:r>
        <w:rPr>
          <w:b w:val="0"/>
          <w:i w:val="0"/>
        </w:rPr>
        <w:t>Each seat is a role trusting the account; seating is one statement granting a principal permission to assume it. Unseating is removing that statement.</w:t>
      </w:r>
    </w:p>
    <w:p>
      <w:pPr>
        <w:ind w:left="360"/>
      </w:pPr>
      <w:r>
        <w:rPr>
          <w:rFonts w:ascii="Consolas" w:hAnsi="Consolas"/>
          <w:sz w:val="17"/>
        </w:rPr>
        <w:t>{"Effect": "Allow", "Action": "sts:AssumeRole",</w:t>
        <w:br/>
        <w:t xml:space="preserve"> "Resource": "arn:aws:iam::&lt;account&gt;:role/intelligence-engine-dev-steward"}</w:t>
      </w:r>
    </w:p>
    <w:p>
      <w:r>
        <w:rPr>
          <w:b w:val="0"/>
          <w:i w:val="0"/>
        </w:rPr>
        <w:t>The FDE is seated slightly differently - through the fde role, which itself carries the SSM and EC2 permissions needed to reach the workbench. Consultants are not seated by the admin at all; they are Cognito users the steward manages.</w:t>
      </w:r>
    </w:p>
    <w:p>
      <w:pPr>
        <w:pStyle w:val="Heading2"/>
      </w:pPr>
      <w:r>
        <w:t>Activity 6.2 - Break glass, then reconcile</w:t>
      </w:r>
    </w:p>
    <w:p>
      <w:r>
        <w:rPr>
          <w:b w:val="0"/>
          <w:i w:val="0"/>
        </w:rPr>
        <w:t>Fix the minimum, through a template wherever possible, then prove the estate still matches the repository. Break-glass that leaves untracked state behind is not recovery, it is new damage.</w:t>
      </w:r>
    </w:p>
    <w:p>
      <w:pPr>
        <w:ind w:left="360"/>
      </w:pPr>
      <w:r>
        <w:rPr>
          <w:rFonts w:ascii="Consolas" w:hAnsi="Consolas"/>
          <w:sz w:val="17"/>
        </w:rPr>
        <w:t>python scripts/iac_coverage.py   # must report NO DRIFT afterwards</w:t>
      </w:r>
    </w:p>
    <w:p>
      <w:r>
        <w:br w:type="page"/>
      </w:r>
    </w:p>
    <w:p>
      <w:pPr>
        <w:pStyle w:val="Heading1"/>
      </w:pPr>
      <w:r>
        <w:rPr>
          <w:color w:val="0D9488"/>
        </w:rPr>
        <w:t>Appendix A - The harness in detail</w:t>
      </w:r>
    </w:p>
    <w:p>
      <w:pPr>
        <w:jc w:val="center"/>
      </w:pPr>
      <w:r>
        <w:drawing>
          <wp:inline xmlns:a="http://schemas.openxmlformats.org/drawingml/2006/main" xmlns:pic="http://schemas.openxmlformats.org/drawingml/2006/picture">
            <wp:extent cx="5852160" cy="3372227"/>
            <wp:docPr id="23" name="Picture 23"/>
            <wp:cNvGraphicFramePr>
              <a:graphicFrameLocks noChangeAspect="1"/>
            </wp:cNvGraphicFramePr>
            <a:graphic>
              <a:graphicData uri="http://schemas.openxmlformats.org/drawingml/2006/picture">
                <pic:pic>
                  <pic:nvPicPr>
                    <pic:cNvPr id="0" name="09-stepfunctions-machine.jpg"/>
                    <pic:cNvPicPr/>
                  </pic:nvPicPr>
                  <pic:blipFill>
                    <a:blip r:embed="rId31"/>
                    <a:stretch>
                      <a:fillRect/>
                    </a:stretch>
                  </pic:blipFill>
                  <pic:spPr>
                    <a:xfrm>
                      <a:off x="0" y="0"/>
                      <a:ext cx="5852160" cy="3372227"/>
                    </a:xfrm>
                    <a:prstGeom prst="rect"/>
                  </pic:spPr>
                </pic:pic>
              </a:graphicData>
            </a:graphic>
          </wp:inline>
        </w:drawing>
      </w:r>
    </w:p>
    <w:p>
      <w:pPr>
        <w:jc w:val="center"/>
      </w:pPr>
      <w:r>
        <w:rPr>
          <w:i/>
          <w:color w:val="5B677D"/>
          <w:sz w:val="17"/>
        </w:rPr>
        <w:t>Figure 23. The report-build state machine and its execution history.</w:t>
      </w:r>
    </w:p>
    <w:p>
      <w:pPr>
        <w:jc w:val="center"/>
      </w:pPr>
      <w:r>
        <w:drawing>
          <wp:inline xmlns:a="http://schemas.openxmlformats.org/drawingml/2006/main" xmlns:pic="http://schemas.openxmlformats.org/drawingml/2006/picture">
            <wp:extent cx="5852160" cy="3372227"/>
            <wp:docPr id="24" name="Picture 24"/>
            <wp:cNvGraphicFramePr>
              <a:graphicFrameLocks noChangeAspect="1"/>
            </wp:cNvGraphicFramePr>
            <a:graphic>
              <a:graphicData uri="http://schemas.openxmlformats.org/drawingml/2006/picture">
                <pic:pic>
                  <pic:nvPicPr>
                    <pic:cNvPr id="0" name="10-stepfunctions-definition.jpg"/>
                    <pic:cNvPicPr/>
                  </pic:nvPicPr>
                  <pic:blipFill>
                    <a:blip r:embed="rId32"/>
                    <a:stretch>
                      <a:fillRect/>
                    </a:stretch>
                  </pic:blipFill>
                  <pic:spPr>
                    <a:xfrm>
                      <a:off x="0" y="0"/>
                      <a:ext cx="5852160" cy="3372227"/>
                    </a:xfrm>
                    <a:prstGeom prst="rect"/>
                  </pic:spPr>
                </pic:pic>
              </a:graphicData>
            </a:graphic>
          </wp:inline>
        </w:drawing>
      </w:r>
    </w:p>
    <w:p>
      <w:pPr>
        <w:jc w:val="center"/>
      </w:pPr>
      <w:r>
        <w:rPr>
          <w:i/>
          <w:color w:val="5B677D"/>
          <w:sz w:val="17"/>
        </w:rPr>
        <w:t>Figure 24. Definition beside graph. Execution input pins stage_image by digest; approvals carry {decision, feedback}; revision loops are bounded by max_revisions.</w:t>
      </w:r>
    </w:p>
    <w:p>
      <w:pPr>
        <w:pStyle w:val="Heading1"/>
      </w:pPr>
      <w:r>
        <w:rPr>
          <w:color w:val="0D9488"/>
        </w:rPr>
        <w:t>Appendix B - The seats, as IAM sees them</w:t>
      </w:r>
    </w:p>
    <w:tbl>
      <w:tblPr>
        <w:tblStyle w:val="LightGrid-Accent1"/>
        <w:tblW w:type="auto" w:w="0"/>
        <w:tblLook w:firstColumn="1" w:firstRow="1" w:lastColumn="0" w:lastRow="0" w:noHBand="0" w:noVBand="1" w:val="04A0"/>
      </w:tblPr>
      <w:tblGrid>
        <w:gridCol w:w="2160"/>
        <w:gridCol w:w="2160"/>
        <w:gridCol w:w="2160"/>
        <w:gridCol w:w="2160"/>
      </w:tblGrid>
      <w:tr>
        <w:tc>
          <w:tcPr>
            <w:tcW w:type="dxa" w:w="1872"/>
          </w:tcPr>
          <w:p>
            <w:r/>
            <w:r>
              <w:rPr>
                <w:b/>
                <w:sz w:val="19"/>
              </w:rPr>
              <w:t>Role</w:t>
            </w:r>
          </w:p>
        </w:tc>
        <w:tc>
          <w:tcPr>
            <w:tcW w:type="dxa" w:w="2160"/>
          </w:tcPr>
          <w:p>
            <w:r/>
            <w:r>
              <w:rPr>
                <w:b/>
                <w:sz w:val="19"/>
              </w:rPr>
              <w:t>Held by</w:t>
            </w:r>
          </w:p>
        </w:tc>
        <w:tc>
          <w:tcPr>
            <w:tcW w:type="dxa" w:w="3024"/>
          </w:tcPr>
          <w:p>
            <w:r/>
            <w:r>
              <w:rPr>
                <w:b/>
                <w:sz w:val="19"/>
              </w:rPr>
              <w:t>Can</w:t>
            </w:r>
          </w:p>
        </w:tc>
        <w:tc>
          <w:tcPr>
            <w:tcW w:type="dxa" w:w="2448"/>
          </w:tcPr>
          <w:p>
            <w:r/>
            <w:r>
              <w:rPr>
                <w:b/>
                <w:sz w:val="19"/>
              </w:rPr>
              <w:t>Cannot</w:t>
            </w:r>
          </w:p>
        </w:tc>
      </w:tr>
      <w:tr>
        <w:tc>
          <w:tcPr>
            <w:tcW w:type="dxa" w:w="1872"/>
          </w:tcPr>
          <w:p>
            <w:r/>
            <w:r>
              <w:rPr>
                <w:b w:val="0"/>
                <w:sz w:val="19"/>
              </w:rPr>
              <w:t>fde</w:t>
            </w:r>
          </w:p>
        </w:tc>
        <w:tc>
          <w:tcPr>
            <w:tcW w:type="dxa" w:w="2160"/>
          </w:tcPr>
          <w:p>
            <w:r/>
            <w:r>
              <w:rPr>
                <w:b w:val="0"/>
                <w:sz w:val="19"/>
              </w:rPr>
              <w:t>A human, via AssumeRole</w:t>
            </w:r>
          </w:p>
        </w:tc>
        <w:tc>
          <w:tcPr>
            <w:tcW w:type="dxa" w:w="3024"/>
          </w:tcPr>
          <w:p>
            <w:r/>
            <w:r>
              <w:rPr>
                <w:b w:val="0"/>
                <w:sz w:val="19"/>
              </w:rPr>
              <w:t>Find, wake, reach, sleep the workbench</w:t>
            </w:r>
          </w:p>
        </w:tc>
        <w:tc>
          <w:tcPr>
            <w:tcW w:type="dxa" w:w="2448"/>
          </w:tcPr>
          <w:p>
            <w:r/>
            <w:r>
              <w:rPr>
                <w:b w:val="0"/>
                <w:sz w:val="19"/>
              </w:rPr>
              <w:t>Read tiers, invoke models, deploy</w:t>
            </w:r>
          </w:p>
        </w:tc>
      </w:tr>
      <w:tr>
        <w:tc>
          <w:tcPr>
            <w:tcW w:type="dxa" w:w="1872"/>
          </w:tcPr>
          <w:p>
            <w:r/>
            <w:r>
              <w:rPr>
                <w:b w:val="0"/>
                <w:sz w:val="19"/>
              </w:rPr>
              <w:t>workbench</w:t>
            </w:r>
          </w:p>
        </w:tc>
        <w:tc>
          <w:tcPr>
            <w:tcW w:type="dxa" w:w="2160"/>
          </w:tcPr>
          <w:p>
            <w:r/>
            <w:r>
              <w:rPr>
                <w:b w:val="0"/>
                <w:sz w:val="19"/>
              </w:rPr>
              <w:t>The EC2 instance</w:t>
            </w:r>
          </w:p>
        </w:tc>
        <w:tc>
          <w:tcPr>
            <w:tcW w:type="dxa" w:w="3024"/>
          </w:tcPr>
          <w:p>
            <w:r/>
            <w:r>
              <w:rPr>
                <w:b w:val="0"/>
                <w:sz w:val="19"/>
              </w:rPr>
              <w:t>Bedrock, tier reads, artifacts, builds, harness runs</w:t>
            </w:r>
          </w:p>
        </w:tc>
        <w:tc>
          <w:tcPr>
            <w:tcW w:type="dxa" w:w="2448"/>
          </w:tcPr>
          <w:p>
            <w:r/>
            <w:r>
              <w:rPr>
                <w:b w:val="0"/>
                <w:sz w:val="19"/>
              </w:rPr>
              <w:t>Deploy, touch IAM or billing</w:t>
            </w:r>
          </w:p>
        </w:tc>
      </w:tr>
      <w:tr>
        <w:tc>
          <w:tcPr>
            <w:tcW w:type="dxa" w:w="1872"/>
          </w:tcPr>
          <w:p>
            <w:r/>
            <w:r>
              <w:rPr>
                <w:b w:val="0"/>
                <w:sz w:val="19"/>
              </w:rPr>
              <w:t>steward</w:t>
            </w:r>
          </w:p>
        </w:tc>
        <w:tc>
          <w:tcPr>
            <w:tcW w:type="dxa" w:w="2160"/>
          </w:tcPr>
          <w:p>
            <w:r/>
            <w:r>
              <w:rPr>
                <w:b w:val="0"/>
                <w:sz w:val="19"/>
              </w:rPr>
              <w:t>A human, via AssumeRole</w:t>
            </w:r>
          </w:p>
        </w:tc>
        <w:tc>
          <w:tcPr>
            <w:tcW w:type="dxa" w:w="3024"/>
          </w:tcPr>
          <w:p>
            <w:r/>
            <w:r>
              <w:rPr>
                <w:b w:val="0"/>
                <w:sz w:val="19"/>
              </w:rPr>
              <w:t>landing-write, Cognito users, read the audit log</w:t>
            </w:r>
          </w:p>
        </w:tc>
        <w:tc>
          <w:tcPr>
            <w:tcW w:type="dxa" w:w="2448"/>
          </w:tcPr>
          <w:p>
            <w:r/>
            <w:r>
              <w:rPr>
                <w:b w:val="0"/>
                <w:sz w:val="19"/>
              </w:rPr>
              <w:t>Write governed tiers, deploy, vault</w:t>
            </w:r>
          </w:p>
        </w:tc>
      </w:tr>
      <w:tr>
        <w:tc>
          <w:tcPr>
            <w:tcW w:type="dxa" w:w="1872"/>
          </w:tcPr>
          <w:p>
            <w:r/>
            <w:r>
              <w:rPr>
                <w:b w:val="0"/>
                <w:sz w:val="19"/>
              </w:rPr>
              <w:t>deployer</w:t>
            </w:r>
          </w:p>
        </w:tc>
        <w:tc>
          <w:tcPr>
            <w:tcW w:type="dxa" w:w="2160"/>
          </w:tcPr>
          <w:p>
            <w:r/>
            <w:r>
              <w:rPr>
                <w:b w:val="0"/>
                <w:sz w:val="19"/>
              </w:rPr>
              <w:t>A human, via AssumeRole</w:t>
            </w:r>
          </w:p>
        </w:tc>
        <w:tc>
          <w:tcPr>
            <w:tcW w:type="dxa" w:w="3024"/>
          </w:tcPr>
          <w:p>
            <w:r/>
            <w:r>
              <w:rPr>
                <w:b w:val="0"/>
                <w:sz w:val="19"/>
              </w:rPr>
              <w:t>CloudFormation on project stacks via cfn-exec</w:t>
            </w:r>
          </w:p>
        </w:tc>
        <w:tc>
          <w:tcPr>
            <w:tcW w:type="dxa" w:w="2448"/>
          </w:tcPr>
          <w:p>
            <w:r/>
            <w:r>
              <w:rPr>
                <w:b w:val="0"/>
                <w:sz w:val="19"/>
              </w:rPr>
              <w:t>Mutate any resource directly</w:t>
            </w:r>
          </w:p>
        </w:tc>
      </w:tr>
      <w:tr>
        <w:tc>
          <w:tcPr>
            <w:tcW w:type="dxa" w:w="1872"/>
          </w:tcPr>
          <w:p>
            <w:r/>
            <w:r>
              <w:rPr>
                <w:b w:val="0"/>
                <w:sz w:val="19"/>
              </w:rPr>
              <w:t>cfn-exec</w:t>
            </w:r>
          </w:p>
        </w:tc>
        <w:tc>
          <w:tcPr>
            <w:tcW w:type="dxa" w:w="2160"/>
          </w:tcPr>
          <w:p>
            <w:r/>
            <w:r>
              <w:rPr>
                <w:b w:val="0"/>
                <w:sz w:val="19"/>
              </w:rPr>
              <w:t>CloudFormation only</w:t>
            </w:r>
          </w:p>
        </w:tc>
        <w:tc>
          <w:tcPr>
            <w:tcW w:type="dxa" w:w="3024"/>
          </w:tcPr>
          <w:p>
            <w:r/>
            <w:r>
              <w:rPr>
                <w:b w:val="0"/>
                <w:sz w:val="19"/>
              </w:rPr>
              <w:t>Create and update stack resources</w:t>
            </w:r>
          </w:p>
        </w:tc>
        <w:tc>
          <w:tcPr>
            <w:tcW w:type="dxa" w:w="2448"/>
          </w:tcPr>
          <w:p>
            <w:r/>
            <w:r>
              <w:rPr>
                <w:b w:val="0"/>
                <w:sz w:val="19"/>
              </w:rPr>
              <w:t>Be assumed by any human</w:t>
            </w:r>
          </w:p>
        </w:tc>
      </w:tr>
      <w:tr>
        <w:tc>
          <w:tcPr>
            <w:tcW w:type="dxa" w:w="1872"/>
          </w:tcPr>
          <w:p>
            <w:r/>
            <w:r>
              <w:rPr>
                <w:b w:val="0"/>
                <w:sz w:val="19"/>
              </w:rPr>
              <w:t>conformance</w:t>
            </w:r>
          </w:p>
        </w:tc>
        <w:tc>
          <w:tcPr>
            <w:tcW w:type="dxa" w:w="2160"/>
          </w:tcPr>
          <w:p>
            <w:r/>
            <w:r>
              <w:rPr>
                <w:b w:val="0"/>
                <w:sz w:val="19"/>
              </w:rPr>
              <w:t>CodeBuild</w:t>
            </w:r>
          </w:p>
        </w:tc>
        <w:tc>
          <w:tcPr>
            <w:tcW w:type="dxa" w:w="3024"/>
          </w:tcPr>
          <w:p>
            <w:r/>
            <w:r>
              <w:rPr>
                <w:b w:val="0"/>
                <w:sz w:val="19"/>
              </w:rPr>
              <w:t>landing-read → foundational-write</w:t>
            </w:r>
          </w:p>
        </w:tc>
        <w:tc>
          <w:tcPr>
            <w:tcW w:type="dxa" w:w="2448"/>
          </w:tcPr>
          <w:p>
            <w:r/>
            <w:r>
              <w:rPr>
                <w:b w:val="0"/>
                <w:sz w:val="19"/>
              </w:rPr>
              <w:t>Read derived or contextualized</w:t>
            </w:r>
          </w:p>
        </w:tc>
      </w:tr>
      <w:tr>
        <w:tc>
          <w:tcPr>
            <w:tcW w:type="dxa" w:w="1872"/>
          </w:tcPr>
          <w:p>
            <w:r/>
            <w:r>
              <w:rPr>
                <w:b w:val="0"/>
                <w:sz w:val="19"/>
              </w:rPr>
              <w:t>product-builder</w:t>
            </w:r>
          </w:p>
        </w:tc>
        <w:tc>
          <w:tcPr>
            <w:tcW w:type="dxa" w:w="2160"/>
          </w:tcPr>
          <w:p>
            <w:r/>
            <w:r>
              <w:rPr>
                <w:b w:val="0"/>
                <w:sz w:val="19"/>
              </w:rPr>
              <w:t>CodeBuild</w:t>
            </w:r>
          </w:p>
        </w:tc>
        <w:tc>
          <w:tcPr>
            <w:tcW w:type="dxa" w:w="3024"/>
          </w:tcPr>
          <w:p>
            <w:r/>
            <w:r>
              <w:rPr>
                <w:b w:val="0"/>
                <w:sz w:val="19"/>
              </w:rPr>
              <w:t>foundational-read → derived + contextualized write</w:t>
            </w:r>
          </w:p>
        </w:tc>
        <w:tc>
          <w:tcPr>
            <w:tcW w:type="dxa" w:w="2448"/>
          </w:tcPr>
          <w:p>
            <w:r/>
            <w:r>
              <w:rPr>
                <w:b w:val="0"/>
                <w:sz w:val="19"/>
              </w:rPr>
              <w:t>Write foundational</w:t>
            </w:r>
          </w:p>
        </w:tc>
      </w:tr>
      <w:tr>
        <w:tc>
          <w:tcPr>
            <w:tcW w:type="dxa" w:w="1872"/>
          </w:tcPr>
          <w:p>
            <w:r/>
            <w:r>
              <w:rPr>
                <w:b w:val="0"/>
                <w:sz w:val="19"/>
              </w:rPr>
              <w:t>stage-runner</w:t>
            </w:r>
          </w:p>
        </w:tc>
        <w:tc>
          <w:tcPr>
            <w:tcW w:type="dxa" w:w="2160"/>
          </w:tcPr>
          <w:p>
            <w:r/>
            <w:r>
              <w:rPr>
                <w:b w:val="0"/>
                <w:sz w:val="19"/>
              </w:rPr>
              <w:t>CodeBuild</w:t>
            </w:r>
          </w:p>
        </w:tc>
        <w:tc>
          <w:tcPr>
            <w:tcW w:type="dxa" w:w="3024"/>
          </w:tcPr>
          <w:p>
            <w:r/>
            <w:r>
              <w:rPr>
                <w:b w:val="0"/>
                <w:sz w:val="19"/>
              </w:rPr>
              <w:t>Tier reads, artifact write, Bedrock</w:t>
            </w:r>
          </w:p>
        </w:tc>
        <w:tc>
          <w:tcPr>
            <w:tcW w:type="dxa" w:w="2448"/>
          </w:tcPr>
          <w:p>
            <w:r/>
            <w:r>
              <w:rPr>
                <w:b w:val="0"/>
                <w:sz w:val="19"/>
              </w:rPr>
              <w:t>Write any governed tier</w:t>
            </w:r>
          </w:p>
        </w:tc>
      </w:tr>
      <w:tr>
        <w:tc>
          <w:tcPr>
            <w:tcW w:type="dxa" w:w="1872"/>
          </w:tcPr>
          <w:p>
            <w:r/>
            <w:r>
              <w:rPr>
                <w:b w:val="0"/>
                <w:sz w:val="19"/>
              </w:rPr>
              <w:t>databricks-uc</w:t>
            </w:r>
          </w:p>
        </w:tc>
        <w:tc>
          <w:tcPr>
            <w:tcW w:type="dxa" w:w="2160"/>
          </w:tcPr>
          <w:p>
            <w:r/>
            <w:r>
              <w:rPr>
                <w:b w:val="0"/>
                <w:sz w:val="19"/>
              </w:rPr>
              <w:t>Databricks</w:t>
            </w:r>
          </w:p>
        </w:tc>
        <w:tc>
          <w:tcPr>
            <w:tcW w:type="dxa" w:w="3024"/>
          </w:tcPr>
          <w:p>
            <w:r/>
            <w:r>
              <w:rPr>
                <w:b w:val="0"/>
                <w:sz w:val="19"/>
              </w:rPr>
              <w:t>Read the lakehouse in place</w:t>
            </w:r>
          </w:p>
        </w:tc>
        <w:tc>
          <w:tcPr>
            <w:tcW w:type="dxa" w:w="2448"/>
          </w:tcPr>
          <w:p>
            <w:r/>
            <w:r>
              <w:rPr>
                <w:b w:val="0"/>
                <w:sz w:val="19"/>
              </w:rPr>
              <w:t>Write anything</w:t>
            </w:r>
          </w:p>
        </w:tc>
      </w:tr>
    </w:tbl>
    <w:p/>
    <w:p>
      <w:pPr>
        <w:pStyle w:val="Heading1"/>
      </w:pPr>
      <w:r>
        <w:rPr>
          <w:color w:val="0D9488"/>
        </w:rPr>
        <w:t>Appendix C - Verifying any claim in this document</w:t>
      </w:r>
    </w:p>
    <w:p>
      <w:r>
        <w:rPr>
          <w:b w:val="0"/>
          <w:i w:val="0"/>
        </w:rPr>
        <w:t>Nothing here needs to be taken on trust; each claim has a command.</w:t>
      </w:r>
    </w:p>
    <w:p>
      <w:pPr>
        <w:ind w:left="360"/>
      </w:pPr>
      <w:r>
        <w:rPr>
          <w:rFonts w:ascii="Consolas" w:hAnsi="Consolas"/>
          <w:sz w:val="17"/>
        </w:rPr>
        <w:t>python scripts/qa_sweep.py       # stacks, auth, tiers, harness, idle billing</w:t>
        <w:br/>
        <w:t>python scripts/iac_coverage.py   # nothing live outside the templates</w:t>
        <w:br/>
        <w:t>python -m pytest                 # the code suite</w:t>
        <w:br/>
        <w:t>python -m pytest tests/test_seeded_defects.py -s   # model behaviour, live Bedrock</w:t>
        <w:br/>
        <w:t>aws iam list-attached-role-policies --role-name intelligence-engine-dev-stage-runner</w:t>
      </w:r>
    </w:p>
    <w:p>
      <w:pPr>
        <w:pStyle w:val="Heading1"/>
      </w:pPr>
      <w:r>
        <w:rPr>
          <w:color w:val="0D9488"/>
        </w:rPr>
        <w:t>Appendix D - Where everything lives</w:t>
      </w:r>
    </w:p>
    <w:tbl>
      <w:tblPr>
        <w:tblStyle w:val="LightGrid-Accent1"/>
        <w:tblW w:type="auto" w:w="0"/>
        <w:tblLook w:firstColumn="1" w:firstRow="1" w:lastColumn="0" w:lastRow="0" w:noHBand="0" w:noVBand="1" w:val="04A0"/>
      </w:tblPr>
      <w:tblGrid>
        <w:gridCol w:w="4320"/>
        <w:gridCol w:w="4320"/>
      </w:tblGrid>
      <w:tr>
        <w:tc>
          <w:tcPr>
            <w:tcW w:type="dxa" w:w="4896"/>
          </w:tcPr>
          <w:p>
            <w:r/>
            <w:r>
              <w:rPr>
                <w:b/>
                <w:sz w:val="19"/>
              </w:rPr>
              <w:t>Artefact</w:t>
            </w:r>
          </w:p>
        </w:tc>
        <w:tc>
          <w:tcPr>
            <w:tcW w:type="dxa" w:w="4320"/>
          </w:tcPr>
          <w:p>
            <w:r/>
            <w:r>
              <w:rPr>
                <w:b/>
                <w:sz w:val="19"/>
              </w:rPr>
              <w:t>Location</w:t>
            </w:r>
          </w:p>
        </w:tc>
      </w:tr>
      <w:tr>
        <w:tc>
          <w:tcPr>
            <w:tcW w:type="dxa" w:w="4896"/>
          </w:tcPr>
          <w:p>
            <w:r/>
            <w:r>
              <w:rPr>
                <w:b w:val="0"/>
                <w:sz w:val="19"/>
              </w:rPr>
              <w:t>Repository</w:t>
            </w:r>
          </w:p>
        </w:tc>
        <w:tc>
          <w:tcPr>
            <w:tcW w:type="dxa" w:w="4320"/>
          </w:tcPr>
          <w:p>
            <w:r/>
            <w:r>
              <w:rPr>
                <w:b w:val="0"/>
                <w:sz w:val="19"/>
              </w:rPr>
              <w:t>github.com/dorchester/intelligence_architecture</w:t>
            </w:r>
          </w:p>
        </w:tc>
      </w:tr>
      <w:tr>
        <w:tc>
          <w:tcPr>
            <w:tcW w:type="dxa" w:w="4896"/>
          </w:tcPr>
          <w:p>
            <w:r/>
            <w:r>
              <w:rPr>
                <w:b w:val="0"/>
                <w:sz w:val="19"/>
              </w:rPr>
              <w:t>Role guides (full command detail)</w:t>
            </w:r>
          </w:p>
        </w:tc>
        <w:tc>
          <w:tcPr>
            <w:tcW w:type="dxa" w:w="4320"/>
          </w:tcPr>
          <w:p>
            <w:r/>
            <w:r>
              <w:rPr>
                <w:b w:val="0"/>
                <w:sz w:val="19"/>
              </w:rPr>
              <w:t>docs/guides/</w:t>
            </w:r>
          </w:p>
        </w:tc>
      </w:tr>
      <w:tr>
        <w:tc>
          <w:tcPr>
            <w:tcW w:type="dxa" w:w="4896"/>
          </w:tcPr>
          <w:p>
            <w:r/>
            <w:r>
              <w:rPr>
                <w:b w:val="0"/>
                <w:sz w:val="19"/>
              </w:rPr>
              <w:t>Access model, every identity and grant</w:t>
            </w:r>
          </w:p>
        </w:tc>
        <w:tc>
          <w:tcPr>
            <w:tcW w:type="dxa" w:w="4320"/>
          </w:tcPr>
          <w:p>
            <w:r/>
            <w:r>
              <w:rPr>
                <w:b w:val="0"/>
                <w:sz w:val="19"/>
              </w:rPr>
              <w:t>docs/access-model.md</w:t>
            </w:r>
          </w:p>
        </w:tc>
      </w:tr>
      <w:tr>
        <w:tc>
          <w:tcPr>
            <w:tcW w:type="dxa" w:w="4896"/>
          </w:tcPr>
          <w:p>
            <w:r/>
            <w:r>
              <w:rPr>
                <w:b w:val="0"/>
                <w:sz w:val="19"/>
              </w:rPr>
              <w:t>Architecture diagrams (source of Figures 1, 3, 5, 10, 13, 14, 16, 20)</w:t>
            </w:r>
          </w:p>
        </w:tc>
        <w:tc>
          <w:tcPr>
            <w:tcW w:type="dxa" w:w="4320"/>
          </w:tcPr>
          <w:p>
            <w:r/>
            <w:r>
              <w:rPr>
                <w:b w:val="0"/>
                <w:sz w:val="19"/>
              </w:rPr>
              <w:t>docs/diagrams.md</w:t>
            </w:r>
          </w:p>
        </w:tc>
      </w:tr>
      <w:tr>
        <w:tc>
          <w:tcPr>
            <w:tcW w:type="dxa" w:w="4896"/>
          </w:tcPr>
          <w:p>
            <w:r/>
            <w:r>
              <w:rPr>
                <w:b w:val="0"/>
                <w:sz w:val="19"/>
              </w:rPr>
              <w:t>Deploy-from-nothing walkthrough</w:t>
            </w:r>
          </w:p>
        </w:tc>
        <w:tc>
          <w:tcPr>
            <w:tcW w:type="dxa" w:w="4320"/>
          </w:tcPr>
          <w:p>
            <w:r/>
            <w:r>
              <w:rPr>
                <w:b w:val="0"/>
                <w:sz w:val="19"/>
              </w:rPr>
              <w:t>docs/aws-walkthrough.md</w:t>
            </w:r>
          </w:p>
        </w:tc>
      </w:tr>
      <w:tr>
        <w:tc>
          <w:tcPr>
            <w:tcW w:type="dxa" w:w="4896"/>
          </w:tcPr>
          <w:p>
            <w:r/>
            <w:r>
              <w:rPr>
                <w:b w:val="0"/>
                <w:sz w:val="19"/>
              </w:rPr>
              <w:t>Substrate / workload boundary contract</w:t>
            </w:r>
          </w:p>
        </w:tc>
        <w:tc>
          <w:tcPr>
            <w:tcW w:type="dxa" w:w="4320"/>
          </w:tcPr>
          <w:p>
            <w:r/>
            <w:r>
              <w:rPr>
                <w:b w:val="0"/>
                <w:sz w:val="19"/>
              </w:rPr>
              <w:t>docs/integration-contract.md</w:t>
            </w:r>
          </w:p>
        </w:tc>
      </w:tr>
      <w:tr>
        <w:tc>
          <w:tcPr>
            <w:tcW w:type="dxa" w:w="4896"/>
          </w:tcPr>
          <w:p>
            <w:r/>
            <w:r>
              <w:rPr>
                <w:b w:val="0"/>
                <w:sz w:val="19"/>
              </w:rPr>
              <w:t>This document's generator</w:t>
            </w:r>
          </w:p>
        </w:tc>
        <w:tc>
          <w:tcPr>
            <w:tcW w:type="dxa" w:w="4320"/>
          </w:tcPr>
          <w:p>
            <w:r/>
            <w:r>
              <w:rPr>
                <w:b w:val="0"/>
                <w:sz w:val="19"/>
              </w:rPr>
              <w:t>scripts/build_role_guide_docx.py</w:t>
            </w:r>
          </w:p>
        </w:tc>
      </w:tr>
      <w:tr>
        <w:tc>
          <w:tcPr>
            <w:tcW w:type="dxa" w:w="4896"/>
          </w:tcPr>
          <w:p>
            <w:r/>
            <w:r>
              <w:rPr>
                <w:b w:val="0"/>
                <w:sz w:val="19"/>
              </w:rPr>
              <w:t>Diagram renderer</w:t>
            </w:r>
          </w:p>
        </w:tc>
        <w:tc>
          <w:tcPr>
            <w:tcW w:type="dxa" w:w="4320"/>
          </w:tcPr>
          <w:p>
            <w:r/>
            <w:r>
              <w:rPr>
                <w:b w:val="0"/>
                <w:sz w:val="19"/>
              </w:rPr>
              <w:t>scripts/render_diagrams.py</w:t>
            </w:r>
          </w:p>
        </w:tc>
      </w:tr>
      <w:tr>
        <w:tc>
          <w:tcPr>
            <w:tcW w:type="dxa" w:w="4896"/>
          </w:tcPr>
          <w:p>
            <w:r/>
            <w:r>
              <w:rPr>
                <w:b w:val="0"/>
                <w:sz w:val="19"/>
              </w:rPr>
              <w:t>Screenshot trim / redact utility</w:t>
            </w:r>
          </w:p>
        </w:tc>
        <w:tc>
          <w:tcPr>
            <w:tcW w:type="dxa" w:w="4320"/>
          </w:tcPr>
          <w:p>
            <w:r/>
            <w:r>
              <w:rPr>
                <w:b w:val="0"/>
                <w:sz w:val="19"/>
              </w:rPr>
              <w:t>scripts/prepare_screenshots.py</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jp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pn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jpg"/><Relationship Id="rId24" Type="http://schemas.openxmlformats.org/officeDocument/2006/relationships/image" Target="media/image16.pn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pn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