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C15" w:rsidRDefault="00B40B3D" w:rsidP="00EC78D0">
      <w:pPr>
        <w:spacing w:line="360" w:lineRule="auto"/>
        <w:ind w:firstLine="0"/>
      </w:pPr>
      <w:r>
        <w:rPr>
          <w:rFonts w:ascii="Segoe UI" w:hAnsi="Segoe UI"/>
          <w:b/>
          <w:sz w:val="24"/>
        </w:rPr>
        <w:t>AO JUÍZO DA 18ª VARA DO SISTEMA DOS JUIZADOS ESPECIAIS</w:t>
      </w:r>
      <w:r w:rsidR="00EC78D0">
        <w:t xml:space="preserve"> </w:t>
      </w:r>
      <w:r>
        <w:rPr>
          <w:rFonts w:ascii="Segoe UI" w:hAnsi="Segoe UI"/>
          <w:b/>
          <w:sz w:val="24"/>
        </w:rPr>
        <w:t>DO CONSUMIDOR DA COMARCA DE SALVADOR – BAHIA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</w:pPr>
      <w:r>
        <w:rPr>
          <w:rFonts w:ascii="Segoe UI" w:hAnsi="Segoe UI"/>
          <w:b/>
          <w:sz w:val="24"/>
        </w:rPr>
        <w:t xml:space="preserve">Processo n.º </w:t>
      </w:r>
      <w:r>
        <w:rPr>
          <w:rFonts w:ascii="Segoe UI" w:hAnsi="Segoe UI"/>
          <w:sz w:val="24"/>
        </w:rPr>
        <w:t>0229941-22.2025.8.05.0001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t>VITOR GABRIEL GUERREIRO PACHECO</w:t>
      </w:r>
      <w:r>
        <w:rPr>
          <w:rFonts w:ascii="Segoe UI" w:hAnsi="Segoe UI"/>
          <w:sz w:val="24"/>
        </w:rPr>
        <w:t>, brasileiro, solteiro, portador do CPF n.º 066.841.025-66, residente e domiciliado na Rua Marquês de Maricá, n.º 27, Pau Miúdo, Salvador/BA, CEP 40.310-000, por intermédio de seus advogados que subscrevem, constituídos nos termos do instrumento de mandato</w:t>
      </w:r>
      <w:r>
        <w:rPr>
          <w:rFonts w:ascii="Segoe UI" w:hAnsi="Segoe UI"/>
          <w:sz w:val="24"/>
        </w:rPr>
        <w:t xml:space="preserve"> já juntado aos autos, vem, respeitosamente, à presença de Vossa Excelência, com fundamento nos arts. 513 e seguintes do Código de Processo Civil, promover o presente</w:t>
      </w:r>
    </w:p>
    <w:p w:rsidR="00600C15" w:rsidRDefault="00600C15">
      <w:pPr>
        <w:spacing w:line="360" w:lineRule="auto"/>
      </w:pPr>
    </w:p>
    <w:p w:rsidR="00600C15" w:rsidRDefault="00B40B3D" w:rsidP="00EC78D0">
      <w:pPr>
        <w:spacing w:line="360" w:lineRule="auto"/>
      </w:pPr>
      <w:r>
        <w:rPr>
          <w:rFonts w:ascii="Segoe UI" w:hAnsi="Segoe UI"/>
          <w:b/>
          <w:sz w:val="24"/>
        </w:rPr>
        <w:t>CUMPRIMENTO DE SENTENÇA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 xml:space="preserve">em face de </w:t>
      </w:r>
      <w:r>
        <w:rPr>
          <w:rFonts w:ascii="Segoe UI" w:hAnsi="Segoe UI"/>
          <w:b/>
          <w:sz w:val="24"/>
        </w:rPr>
        <w:t>BANCO PAN S.A.</w:t>
      </w:r>
      <w:r>
        <w:rPr>
          <w:rFonts w:ascii="Segoe UI" w:hAnsi="Segoe UI"/>
          <w:sz w:val="24"/>
        </w:rPr>
        <w:t xml:space="preserve">, pessoa jurídica de direito privado, </w:t>
      </w:r>
      <w:r>
        <w:rPr>
          <w:rFonts w:ascii="Segoe UI" w:hAnsi="Segoe UI"/>
          <w:sz w:val="24"/>
        </w:rPr>
        <w:t>inscrita no CNPJ n.º 59.285.411/0053-44, com sede na Avenida Paulista, n.º 1.374, 16.º andar, Bela Vista, São Paulo/SP, CEP 01.310-916, pelas razões de fato e de direito a seguir expostas.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jc w:val="both"/>
      </w:pPr>
      <w:r>
        <w:rPr>
          <w:rFonts w:ascii="Segoe UI" w:hAnsi="Segoe UI"/>
          <w:b/>
          <w:sz w:val="24"/>
        </w:rPr>
        <w:t>I – DOS FATOS PROCESSUAIS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O presente feito originou-se de ação de</w:t>
      </w:r>
      <w:r>
        <w:rPr>
          <w:rFonts w:ascii="Segoe UI" w:hAnsi="Segoe UI"/>
          <w:sz w:val="24"/>
        </w:rPr>
        <w:t xml:space="preserve"> obrigação de fazer c/c indenização por danos morais ajuizada pelo ora Exequente em face do Banco Executado, em razão do bloqueio unilateral e injustificado da conta bancária do Autor, sem prévia comunicação adequada.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A sentença de primeiro grau julgou imp</w:t>
      </w:r>
      <w:r>
        <w:rPr>
          <w:rFonts w:ascii="Segoe UI" w:hAnsi="Segoe UI"/>
          <w:sz w:val="24"/>
        </w:rPr>
        <w:t>rocedentes os pedidos. Irresignado, o ora Exequente interpôs Recurso Inominado, que foi provido por decisão monocrática proferida pelo Juiz Relator Benício Mascarenhas Neto, da Terceira Turma Recursal do TJBA, a qual reformou integralmente a sentença de or</w:t>
      </w:r>
      <w:r>
        <w:rPr>
          <w:rFonts w:ascii="Segoe UI" w:hAnsi="Segoe UI"/>
          <w:sz w:val="24"/>
        </w:rPr>
        <w:t>igem e determinou:</w:t>
      </w:r>
    </w:p>
    <w:p w:rsidR="00600C15" w:rsidRDefault="00B40B3D">
      <w:pPr>
        <w:spacing w:line="360" w:lineRule="auto"/>
        <w:ind w:left="1418" w:right="709"/>
        <w:jc w:val="both"/>
      </w:pPr>
      <w:r>
        <w:rPr>
          <w:rFonts w:ascii="Segoe UI" w:hAnsi="Segoe UI"/>
        </w:rPr>
        <w:t xml:space="preserve">"a) </w:t>
      </w:r>
      <w:r>
        <w:rPr>
          <w:rFonts w:ascii="Segoe UI" w:hAnsi="Segoe UI"/>
          <w:b/>
        </w:rPr>
        <w:t>DETERMINAR que a acionada efetue o desbloqueio/reativação da conta de titularidade da parte autora</w:t>
      </w:r>
      <w:r>
        <w:rPr>
          <w:rFonts w:ascii="Segoe UI" w:hAnsi="Segoe UI"/>
        </w:rPr>
        <w:t xml:space="preserve">, bem assim promova o desbloqueio de todas as operações bancárias pertinentes, bem como viabilize a utilização de eventual saldo, outrora existente, </w:t>
      </w:r>
      <w:r>
        <w:rPr>
          <w:rFonts w:ascii="Segoe UI" w:hAnsi="Segoe UI"/>
          <w:b/>
        </w:rPr>
        <w:t>no prazo de 48 horas, sob pena de multa diária de R$100,00 (cem reais), limitada a R$10.000,00</w:t>
      </w:r>
      <w:r>
        <w:rPr>
          <w:rFonts w:ascii="Segoe UI" w:hAnsi="Segoe UI"/>
        </w:rPr>
        <w:t xml:space="preserve">, em caso de </w:t>
      </w:r>
      <w:r>
        <w:rPr>
          <w:rFonts w:ascii="Segoe UI" w:hAnsi="Segoe UI"/>
        </w:rPr>
        <w:t xml:space="preserve">descumprimento; b) </w:t>
      </w:r>
      <w:r>
        <w:rPr>
          <w:rFonts w:ascii="Segoe UI" w:hAnsi="Segoe UI"/>
          <w:b/>
        </w:rPr>
        <w:t>CONDENAR a parte ré/recorrida ao pagamento do valor de R$ 3.000,00 (três mil reais)</w:t>
      </w:r>
      <w:r>
        <w:rPr>
          <w:rFonts w:ascii="Segoe UI" w:hAnsi="Segoe UI"/>
        </w:rPr>
        <w:t>, a título de indenização pelos danos morais causados à parte recorrente, acrescida de correção monetária (IPCA), desde a data do arbitramento (Súmula 362</w:t>
      </w:r>
      <w:r>
        <w:rPr>
          <w:rFonts w:ascii="Segoe UI" w:hAnsi="Segoe UI"/>
        </w:rPr>
        <w:t xml:space="preserve"> STJ) e de juros moratórios calculados conforme a taxa Selic, deduzido o IPCA a partir da citação (art. 405 do CC/2002, c/c art. 240 do CPC)."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 xml:space="preserve">A Certidão de Trânsito em Julgado foi exarada pela Secretaria das Turmas Recursais em 29 de maio de 2026, data a </w:t>
      </w:r>
      <w:r>
        <w:rPr>
          <w:rFonts w:ascii="Segoe UI" w:hAnsi="Segoe UI"/>
          <w:sz w:val="24"/>
        </w:rPr>
        <w:t xml:space="preserve">partir da qual o prazo de 48 horas para </w:t>
      </w:r>
      <w:r>
        <w:rPr>
          <w:rFonts w:ascii="Segoe UI" w:hAnsi="Segoe UI"/>
          <w:sz w:val="24"/>
        </w:rPr>
        <w:lastRenderedPageBreak/>
        <w:t>cumprimento da obrigação de fazer passou a fluir, vencendo-se em 31 de maio de 2026.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jc w:val="both"/>
      </w:pPr>
      <w:r>
        <w:rPr>
          <w:rFonts w:ascii="Segoe UI" w:hAnsi="Segoe UI"/>
          <w:b/>
          <w:sz w:val="24"/>
        </w:rPr>
        <w:t>II – DO DESCUMPRIMENTO DA OBRIGAÇÃO DE FAZER E DA MULTA DIÁRIA JÁ VENCIDA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A obrigação de fazer – consistente no desbloqueio/reati</w:t>
      </w:r>
      <w:r>
        <w:rPr>
          <w:rFonts w:ascii="Segoe UI" w:hAnsi="Segoe UI"/>
          <w:sz w:val="24"/>
        </w:rPr>
        <w:t>vação da conta bancária de titularidade do Exequente – permanece integralmente descumprida até a presente data.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Em 29 de maio de 2026, o próprio Executado protocolou nos autos petição intitulada "Impossibilidade de Cumprimento", na qual declarou ser tecnic</w:t>
      </w:r>
      <w:r>
        <w:rPr>
          <w:rFonts w:ascii="Segoe UI" w:hAnsi="Segoe UI"/>
          <w:sz w:val="24"/>
        </w:rPr>
        <w:t>amente impossível reativar a conta já encerrada, limitando-se a informar que o saldo era zerado e a requerer, subsidiariamente, a conversão da obrigação em perdas e danos. Tal manifestação, longe de configurar cumprimento, constitui confissão expressa do i</w:t>
      </w:r>
      <w:r>
        <w:rPr>
          <w:rFonts w:ascii="Segoe UI" w:hAnsi="Segoe UI"/>
          <w:sz w:val="24"/>
        </w:rPr>
        <w:t>nadimplemento da obrigação de fazer imposta pelo acórdão.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 xml:space="preserve">O acórdão fixou multa diária de R$ 100,00 (cem reais) para o caso de descumprimento, com limite de R$ 10.000,00 (dez mil reais). Transitado em julgado em 29/05/2026 e vencido o prazo de 48 horas em </w:t>
      </w:r>
      <w:r>
        <w:rPr>
          <w:rFonts w:ascii="Segoe UI" w:hAnsi="Segoe UI"/>
          <w:sz w:val="24"/>
        </w:rPr>
        <w:t>31/05/2026, a multa passou a incidir a partir de 01/06/2026, devendo ser apurada até a data do efetivo cumprimento ou até o atingimento do teto de R$ 10.000,00.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Diante da declaração do próprio Executado de que a reativação da conta é tecnicamente inviável,</w:t>
      </w:r>
      <w:r>
        <w:rPr>
          <w:rFonts w:ascii="Segoe UI" w:hAnsi="Segoe UI"/>
          <w:sz w:val="24"/>
        </w:rPr>
        <w:t xml:space="preserve"> e tendo em vista que a multa diária tende ao atingimento do limite máximo sem que a obrigação seja cumprida, requer o Exequente a </w:t>
      </w:r>
      <w:r>
        <w:rPr>
          <w:rFonts w:ascii="Segoe UI" w:hAnsi="Segoe UI"/>
          <w:sz w:val="24"/>
        </w:rPr>
        <w:lastRenderedPageBreak/>
        <w:t>conversão da obrigação de fazer em perdas e danos, nos termos do art. 499 do CPC, incorporando-se ao débito exequendo o valor</w:t>
      </w:r>
      <w:r>
        <w:rPr>
          <w:rFonts w:ascii="Segoe UI" w:hAnsi="Segoe UI"/>
          <w:sz w:val="24"/>
        </w:rPr>
        <w:t xml:space="preserve"> integral da multa diária já vencida e a vencer até o limite fixado no acórdão (R$ 10.000,00), sem prejuízo da condenação em danos morais.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jc w:val="both"/>
      </w:pPr>
      <w:r>
        <w:rPr>
          <w:rFonts w:ascii="Segoe UI" w:hAnsi="Segoe UI"/>
          <w:b/>
          <w:sz w:val="24"/>
        </w:rPr>
        <w:t>III – DO VALOR TOTAL EXEQUENDO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O débito exequendo é composto por duas verbas distintas, ambas decorrentes do acórdã</w:t>
      </w:r>
      <w:r>
        <w:rPr>
          <w:rFonts w:ascii="Segoe UI" w:hAnsi="Segoe UI"/>
          <w:sz w:val="24"/>
        </w:rPr>
        <w:t>o: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t>1. Multa diária pelo descumprimento da obrigação de fazer (astreinte)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Valor diário fixado no acórdão: R$ 100,00/dia. Limite máximo: R$ 10.000,00 (100 dias). Início da incidência: 01/06/2026. Apuração: até a data do efetivo cumprimento ou atingimento do</w:t>
      </w:r>
      <w:r>
        <w:rPr>
          <w:rFonts w:ascii="Segoe UI" w:hAnsi="Segoe UI"/>
          <w:sz w:val="24"/>
        </w:rPr>
        <w:t xml:space="preserve"> teto. O valor desta verba, a ser calculado na data do protocolo, deve ser incorporado ao débito na forma do art. 499 do CPC.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t>2. Indenização por danos morais (principal atualizado)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Conforme planilha de cálculo elaborada pelo sistema JusCalc (base: 29/04/2</w:t>
      </w:r>
      <w:r>
        <w:rPr>
          <w:rFonts w:ascii="Segoe UI" w:hAnsi="Segoe UI"/>
          <w:sz w:val="24"/>
        </w:rPr>
        <w:t>026): valor nominal R$ 3.000,00 + correção monetária (IPCA) desde o arbitramento + juros moratórios (Selic deduzido IPCA) desde a citação =</w:t>
      </w:r>
      <w:r>
        <w:rPr>
          <w:rFonts w:ascii="Segoe UI" w:hAnsi="Segoe UI"/>
          <w:b/>
          <w:sz w:val="24"/>
        </w:rPr>
        <w:t>R$ 3.177,13</w:t>
      </w:r>
      <w:r>
        <w:rPr>
          <w:rFonts w:ascii="Segoe UI" w:hAnsi="Segoe UI"/>
          <w:sz w:val="24"/>
        </w:rPr>
        <w:t>, a ser atualizado até a data do efetivo pagamento.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Quanto à multa e honorários previstos no art. 523, §1</w:t>
      </w:r>
      <w:r>
        <w:rPr>
          <w:rFonts w:ascii="Segoe UI" w:hAnsi="Segoe UI"/>
          <w:sz w:val="24"/>
        </w:rPr>
        <w:t>.º, do CPC, incidem sobre o valor total após o decurso do prazo de 15 (quinze) dias úteis a contar da intimação do Executado para pagamento voluntário, não sendo exigíveis neste momento.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jc w:val="both"/>
      </w:pPr>
      <w:r>
        <w:rPr>
          <w:rFonts w:ascii="Segoe UI" w:hAnsi="Segoe UI"/>
          <w:b/>
          <w:sz w:val="24"/>
        </w:rPr>
        <w:t>IV – DOS PEDIDOS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sz w:val="24"/>
        </w:rPr>
        <w:t>Diante do exposto, requer o Exequente:</w:t>
      </w:r>
    </w:p>
    <w:p w:rsidR="00600C15" w:rsidRDefault="00600C15">
      <w:pPr>
        <w:spacing w:line="360" w:lineRule="auto"/>
      </w:pP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t xml:space="preserve">a) </w:t>
      </w:r>
      <w:r>
        <w:rPr>
          <w:rFonts w:ascii="Segoe UI" w:hAnsi="Segoe UI"/>
          <w:sz w:val="24"/>
        </w:rPr>
        <w:t xml:space="preserve">Seja </w:t>
      </w:r>
      <w:r>
        <w:rPr>
          <w:rFonts w:ascii="Segoe UI" w:hAnsi="Segoe UI"/>
          <w:sz w:val="24"/>
        </w:rPr>
        <w:t>recebido o presente Cumprimento de Sentença e instaurada a fase executiva para satisfação dos créditos ora exequendos;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t xml:space="preserve">b) </w:t>
      </w:r>
      <w:r>
        <w:rPr>
          <w:rFonts w:ascii="Segoe UI" w:hAnsi="Segoe UI"/>
          <w:sz w:val="24"/>
        </w:rPr>
        <w:t>Seja reconhecida a conversão da obrigação de fazer em perdas e danos (art. 499 do CPC), incorporando-se ao débito exequendo o valor in</w:t>
      </w:r>
      <w:r>
        <w:rPr>
          <w:rFonts w:ascii="Segoe UI" w:hAnsi="Segoe UI"/>
          <w:sz w:val="24"/>
        </w:rPr>
        <w:t>tegral da multa diária vencida desde 01/06/2026, apurada até a data do efetivo pagamento, respeitado o teto de R$ 10.000,00 (dez mil reais) fixado no acórdão;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t xml:space="preserve">c) </w:t>
      </w:r>
      <w:r>
        <w:rPr>
          <w:rFonts w:ascii="Segoe UI" w:hAnsi="Segoe UI"/>
          <w:sz w:val="24"/>
        </w:rPr>
        <w:t xml:space="preserve">Seja o Executado intimado, na pessoa de seu patrono Feliciano Lyra Moura (OAB/PE n.º 21.714 / </w:t>
      </w:r>
      <w:r>
        <w:rPr>
          <w:rFonts w:ascii="Segoe UI" w:hAnsi="Segoe UI"/>
          <w:sz w:val="24"/>
        </w:rPr>
        <w:t>OAB/BA n.º 41.774), para, no prazo de 15 (quinze) dias, proceder ao pagamento integral do débito — composto pela multa diária incorporada e pela indenização por danos morais devidamente atualizada —, sob pena de incidência automática da multa de 10% e hono</w:t>
      </w:r>
      <w:r>
        <w:rPr>
          <w:rFonts w:ascii="Segoe UI" w:hAnsi="Segoe UI"/>
          <w:sz w:val="24"/>
        </w:rPr>
        <w:t>rários advocatícios de 10% sobre o total, na forma do art. 523, §1.º, do CPC;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lastRenderedPageBreak/>
        <w:t xml:space="preserve">d) </w:t>
      </w:r>
      <w:r>
        <w:rPr>
          <w:rFonts w:ascii="Segoe UI" w:hAnsi="Segoe UI"/>
          <w:sz w:val="24"/>
        </w:rPr>
        <w:t xml:space="preserve">Não havendo pagamento voluntário no prazo legal, seja expedida ordem de bloqueio e penhora eletrônica de ativos financeiros de titularidade do Executado via Sistema SISBAJUD, </w:t>
      </w:r>
      <w:r>
        <w:rPr>
          <w:rFonts w:ascii="Segoe UI" w:hAnsi="Segoe UI"/>
          <w:sz w:val="24"/>
        </w:rPr>
        <w:t>no valor suficiente à satisfação integral do débito, incluída a multa do art. 523, §1.º, nos termos dos arts. 853 e 854 do CPC;</w:t>
      </w:r>
    </w:p>
    <w:p w:rsidR="00600C15" w:rsidRDefault="00B40B3D">
      <w:pPr>
        <w:spacing w:line="360" w:lineRule="auto"/>
        <w:ind w:firstLine="709"/>
        <w:jc w:val="both"/>
      </w:pPr>
      <w:r>
        <w:rPr>
          <w:rFonts w:ascii="Segoe UI" w:hAnsi="Segoe UI"/>
          <w:b/>
          <w:sz w:val="24"/>
        </w:rPr>
        <w:t xml:space="preserve">e) </w:t>
      </w:r>
      <w:r>
        <w:rPr>
          <w:rFonts w:ascii="Segoe UI" w:hAnsi="Segoe UI"/>
          <w:sz w:val="24"/>
        </w:rPr>
        <w:t>Sejam juntadas e homologadas as planilhas de cálculo elaboradas pelo sistema JusCalc, facultando-se ao Executado o prazo lega</w:t>
      </w:r>
      <w:r>
        <w:rPr>
          <w:rFonts w:ascii="Segoe UI" w:hAnsi="Segoe UI"/>
          <w:sz w:val="24"/>
        </w:rPr>
        <w:t>l para impugnação.</w:t>
      </w:r>
    </w:p>
    <w:p w:rsidR="00600C15" w:rsidRDefault="00600C15">
      <w:pPr>
        <w:spacing w:line="360" w:lineRule="auto"/>
      </w:pPr>
    </w:p>
    <w:p w:rsidR="00600C15" w:rsidRDefault="00600C15" w:rsidP="00EC78D0">
      <w:pPr>
        <w:spacing w:line="360" w:lineRule="auto"/>
        <w:jc w:val="center"/>
      </w:pPr>
      <w:bookmarkStart w:id="0" w:name="_GoBack"/>
      <w:bookmarkEnd w:id="0"/>
    </w:p>
    <w:p w:rsidR="00600C15" w:rsidRDefault="00B40B3D" w:rsidP="00EC78D0">
      <w:pPr>
        <w:spacing w:line="360" w:lineRule="auto"/>
        <w:ind w:firstLine="709"/>
        <w:jc w:val="center"/>
      </w:pPr>
      <w:r>
        <w:rPr>
          <w:rFonts w:ascii="Segoe UI" w:hAnsi="Segoe UI"/>
          <w:sz w:val="24"/>
        </w:rPr>
        <w:t>Nestes termos, pede e espera deferimento.</w:t>
      </w:r>
    </w:p>
    <w:p w:rsidR="00600C15" w:rsidRDefault="00600C15" w:rsidP="00EC78D0">
      <w:pPr>
        <w:spacing w:line="360" w:lineRule="auto"/>
        <w:jc w:val="center"/>
      </w:pPr>
    </w:p>
    <w:p w:rsidR="00600C15" w:rsidRDefault="00B40B3D" w:rsidP="00EC78D0">
      <w:pPr>
        <w:spacing w:line="360" w:lineRule="auto"/>
        <w:jc w:val="center"/>
      </w:pPr>
      <w:r>
        <w:rPr>
          <w:rFonts w:ascii="Segoe UI" w:hAnsi="Segoe UI"/>
          <w:sz w:val="24"/>
        </w:rPr>
        <w:t xml:space="preserve">Salvador, </w:t>
      </w:r>
      <w:r w:rsidR="00EC78D0">
        <w:rPr>
          <w:rFonts w:ascii="Segoe UI" w:hAnsi="Segoe UI"/>
          <w:sz w:val="24"/>
        </w:rPr>
        <w:t>10 de junho</w:t>
      </w:r>
      <w:r>
        <w:rPr>
          <w:rFonts w:ascii="Segoe UI" w:hAnsi="Segoe UI"/>
          <w:sz w:val="24"/>
        </w:rPr>
        <w:t xml:space="preserve"> de 2026.</w:t>
      </w:r>
    </w:p>
    <w:p w:rsidR="00600C15" w:rsidRDefault="00600C15" w:rsidP="00EC78D0">
      <w:pPr>
        <w:spacing w:line="360" w:lineRule="auto"/>
        <w:jc w:val="center"/>
      </w:pPr>
    </w:p>
    <w:p w:rsidR="00600C15" w:rsidRDefault="00600C15" w:rsidP="00EC78D0">
      <w:pPr>
        <w:spacing w:line="360" w:lineRule="auto"/>
        <w:jc w:val="center"/>
      </w:pPr>
    </w:p>
    <w:p w:rsidR="00600C15" w:rsidRDefault="00600C15" w:rsidP="00EC78D0">
      <w:pPr>
        <w:spacing w:line="360" w:lineRule="auto"/>
        <w:jc w:val="center"/>
      </w:pPr>
    </w:p>
    <w:p w:rsidR="00600C15" w:rsidRDefault="00B40B3D" w:rsidP="00EC78D0">
      <w:pPr>
        <w:spacing w:line="360" w:lineRule="auto"/>
        <w:jc w:val="center"/>
      </w:pPr>
      <w:r>
        <w:rPr>
          <w:rFonts w:ascii="Segoe UI" w:hAnsi="Segoe UI"/>
          <w:b/>
          <w:sz w:val="24"/>
        </w:rPr>
        <w:t>HENRIQUE LEONEL DE SOUSA AZEREDO</w:t>
      </w:r>
    </w:p>
    <w:p w:rsidR="00600C15" w:rsidRDefault="00B40B3D" w:rsidP="00EC78D0">
      <w:pPr>
        <w:spacing w:line="360" w:lineRule="auto"/>
        <w:jc w:val="center"/>
      </w:pPr>
      <w:r>
        <w:rPr>
          <w:rFonts w:ascii="Segoe UI" w:hAnsi="Segoe UI"/>
          <w:sz w:val="24"/>
        </w:rPr>
        <w:t>OAB/BA n.º 60.205</w:t>
      </w:r>
    </w:p>
    <w:p w:rsidR="00600C15" w:rsidRDefault="00600C15" w:rsidP="00EC78D0">
      <w:pPr>
        <w:spacing w:line="360" w:lineRule="auto"/>
        <w:jc w:val="center"/>
      </w:pPr>
    </w:p>
    <w:p w:rsidR="00600C15" w:rsidRDefault="00B40B3D" w:rsidP="00EC78D0">
      <w:pPr>
        <w:spacing w:line="360" w:lineRule="auto"/>
        <w:jc w:val="center"/>
      </w:pPr>
      <w:r>
        <w:rPr>
          <w:rFonts w:ascii="Segoe UI" w:hAnsi="Segoe UI"/>
          <w:b/>
          <w:sz w:val="24"/>
        </w:rPr>
        <w:t>RODRIGO DÓREA SILVA</w:t>
      </w:r>
    </w:p>
    <w:p w:rsidR="00600C15" w:rsidRDefault="00B40B3D" w:rsidP="00EC78D0">
      <w:pPr>
        <w:spacing w:line="360" w:lineRule="auto"/>
        <w:jc w:val="center"/>
      </w:pPr>
      <w:r>
        <w:rPr>
          <w:rFonts w:ascii="Segoe UI" w:hAnsi="Segoe UI"/>
          <w:sz w:val="24"/>
        </w:rPr>
        <w:t>OAB/BA n.º 88.688</w:t>
      </w:r>
    </w:p>
    <w:sectPr w:rsidR="00600C15" w:rsidSect="00E473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283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B3D" w:rsidRDefault="00B40B3D" w:rsidP="00EF57C5">
      <w:pPr>
        <w:spacing w:after="0" w:line="240" w:lineRule="auto"/>
      </w:pPr>
      <w:r>
        <w:separator/>
      </w:r>
    </w:p>
  </w:endnote>
  <w:endnote w:type="continuationSeparator" w:id="0">
    <w:p w:rsidR="00B40B3D" w:rsidRDefault="00B40B3D" w:rsidP="00EF5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Rodap"/>
    </w:pPr>
    <w:r w:rsidRPr="0083568A"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764AE388" wp14:editId="3207D11E">
          <wp:simplePos x="0" y="0"/>
          <wp:positionH relativeFrom="column">
            <wp:posOffset>-1082040</wp:posOffset>
          </wp:positionH>
          <wp:positionV relativeFrom="paragraph">
            <wp:posOffset>-161925</wp:posOffset>
          </wp:positionV>
          <wp:extent cx="7532763" cy="936000"/>
          <wp:effectExtent l="0" t="0" r="0" b="0"/>
          <wp:wrapNone/>
          <wp:docPr id="30" name="Imagem 4" descr="C:\Users\Netools\Desktop\Netools\2020\Henrique Leonel\Papelaria\rodap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etools\Desktop\Netools\2020\Henrique Leonel\Papelaria\rodap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2763" cy="9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B3D" w:rsidRDefault="00B40B3D" w:rsidP="00EF57C5">
      <w:pPr>
        <w:spacing w:after="0" w:line="240" w:lineRule="auto"/>
      </w:pPr>
      <w:r>
        <w:separator/>
      </w:r>
    </w:p>
  </w:footnote>
  <w:footnote w:type="continuationSeparator" w:id="0">
    <w:p w:rsidR="00B40B3D" w:rsidRDefault="00B40B3D" w:rsidP="00EF5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Cabealho"/>
    </w:pPr>
    <w:r>
      <w:rPr>
        <w:noProof/>
        <w:color w:val="404040"/>
        <w:lang w:eastAsia="pt-BR"/>
      </w:rPr>
      <w:drawing>
        <wp:anchor distT="0" distB="0" distL="114300" distR="114300" simplePos="0" relativeHeight="251659264" behindDoc="0" locked="0" layoutInCell="1" allowOverlap="1" wp14:anchorId="14773FF1" wp14:editId="3DDCC436">
          <wp:simplePos x="0" y="0"/>
          <wp:positionH relativeFrom="column">
            <wp:posOffset>-1080135</wp:posOffset>
          </wp:positionH>
          <wp:positionV relativeFrom="paragraph">
            <wp:posOffset>-126365</wp:posOffset>
          </wp:positionV>
          <wp:extent cx="7524750" cy="1152525"/>
          <wp:effectExtent l="0" t="0" r="0" b="9525"/>
          <wp:wrapSquare wrapText="bothSides"/>
          <wp:docPr id="29" name="Imagem 29" descr="C:\Users\Netools\Desktop\Netools\2020\Henrique Leonel\Papelaria\cabecalh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C:\Users\Netools\Desktop\Netools\2020\Henrique Leonel\Papelaria\cabecalh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0" cy="1152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7AA" w:rsidRDefault="00DE17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45AA"/>
    <w:multiLevelType w:val="hybridMultilevel"/>
    <w:tmpl w:val="86502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303A"/>
    <w:multiLevelType w:val="multilevel"/>
    <w:tmpl w:val="CBFE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708B"/>
    <w:multiLevelType w:val="hybridMultilevel"/>
    <w:tmpl w:val="B3705EF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0C6A67EF"/>
    <w:multiLevelType w:val="multilevel"/>
    <w:tmpl w:val="26DE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67ED2"/>
    <w:multiLevelType w:val="hybridMultilevel"/>
    <w:tmpl w:val="0776A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35351"/>
    <w:multiLevelType w:val="hybridMultilevel"/>
    <w:tmpl w:val="3D822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C6543"/>
    <w:multiLevelType w:val="hybridMultilevel"/>
    <w:tmpl w:val="26AAD48A"/>
    <w:lvl w:ilvl="0" w:tplc="921835C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E381D"/>
    <w:multiLevelType w:val="hybridMultilevel"/>
    <w:tmpl w:val="81F65304"/>
    <w:lvl w:ilvl="0" w:tplc="4CBC48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949D5"/>
    <w:multiLevelType w:val="multilevel"/>
    <w:tmpl w:val="552C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B7604"/>
    <w:multiLevelType w:val="hybridMultilevel"/>
    <w:tmpl w:val="1EA88D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1655B"/>
    <w:multiLevelType w:val="hybridMultilevel"/>
    <w:tmpl w:val="52340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55D19"/>
    <w:multiLevelType w:val="multilevel"/>
    <w:tmpl w:val="B374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14D07"/>
    <w:multiLevelType w:val="hybridMultilevel"/>
    <w:tmpl w:val="F474CC4C"/>
    <w:lvl w:ilvl="0" w:tplc="CE84126E">
      <w:start w:val="1"/>
      <w:numFmt w:val="decimalZero"/>
      <w:lvlText w:val="%1."/>
      <w:lvlJc w:val="left"/>
      <w:pPr>
        <w:ind w:left="1584" w:hanging="45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42A4F28"/>
    <w:multiLevelType w:val="hybridMultilevel"/>
    <w:tmpl w:val="34224BC2"/>
    <w:lvl w:ilvl="0" w:tplc="E7EA8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45CEB"/>
    <w:multiLevelType w:val="multilevel"/>
    <w:tmpl w:val="E45E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21AC2"/>
    <w:multiLevelType w:val="hybridMultilevel"/>
    <w:tmpl w:val="C35660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2F40"/>
    <w:multiLevelType w:val="multilevel"/>
    <w:tmpl w:val="D462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C45544"/>
    <w:multiLevelType w:val="multilevel"/>
    <w:tmpl w:val="AFFA8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C2D45"/>
    <w:multiLevelType w:val="multilevel"/>
    <w:tmpl w:val="DDF2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C0E9B"/>
    <w:multiLevelType w:val="hybridMultilevel"/>
    <w:tmpl w:val="6D26E86A"/>
    <w:lvl w:ilvl="0" w:tplc="FF980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E75041"/>
    <w:multiLevelType w:val="multilevel"/>
    <w:tmpl w:val="2C7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62408"/>
    <w:multiLevelType w:val="multilevel"/>
    <w:tmpl w:val="F508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70F63"/>
    <w:multiLevelType w:val="hybridMultilevel"/>
    <w:tmpl w:val="003EB66E"/>
    <w:lvl w:ilvl="0" w:tplc="DE982AD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6F6EEF"/>
    <w:multiLevelType w:val="hybridMultilevel"/>
    <w:tmpl w:val="42F65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DA7BD6"/>
    <w:multiLevelType w:val="hybridMultilevel"/>
    <w:tmpl w:val="4AE0D6EE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7CFE643E"/>
    <w:multiLevelType w:val="hybridMultilevel"/>
    <w:tmpl w:val="F8CE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34A1A"/>
    <w:multiLevelType w:val="hybridMultilevel"/>
    <w:tmpl w:val="F930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2"/>
  </w:num>
  <w:num w:numId="3">
    <w:abstractNumId w:val="19"/>
  </w:num>
  <w:num w:numId="4">
    <w:abstractNumId w:val="9"/>
  </w:num>
  <w:num w:numId="5">
    <w:abstractNumId w:val="4"/>
  </w:num>
  <w:num w:numId="6">
    <w:abstractNumId w:val="7"/>
  </w:num>
  <w:num w:numId="7">
    <w:abstractNumId w:val="24"/>
  </w:num>
  <w:num w:numId="8">
    <w:abstractNumId w:val="2"/>
  </w:num>
  <w:num w:numId="9">
    <w:abstractNumId w:val="12"/>
  </w:num>
  <w:num w:numId="10">
    <w:abstractNumId w:val="15"/>
  </w:num>
  <w:num w:numId="11">
    <w:abstractNumId w:val="3"/>
  </w:num>
  <w:num w:numId="12">
    <w:abstractNumId w:val="1"/>
  </w:num>
  <w:num w:numId="13">
    <w:abstractNumId w:val="11"/>
  </w:num>
  <w:num w:numId="14">
    <w:abstractNumId w:val="14"/>
  </w:num>
  <w:num w:numId="15">
    <w:abstractNumId w:val="20"/>
  </w:num>
  <w:num w:numId="16">
    <w:abstractNumId w:val="16"/>
  </w:num>
  <w:num w:numId="17">
    <w:abstractNumId w:val="8"/>
  </w:num>
  <w:num w:numId="18">
    <w:abstractNumId w:val="13"/>
  </w:num>
  <w:num w:numId="19">
    <w:abstractNumId w:val="26"/>
  </w:num>
  <w:num w:numId="20">
    <w:abstractNumId w:val="6"/>
  </w:num>
  <w:num w:numId="21">
    <w:abstractNumId w:val="17"/>
  </w:num>
  <w:num w:numId="22">
    <w:abstractNumId w:val="25"/>
  </w:num>
  <w:num w:numId="23">
    <w:abstractNumId w:val="0"/>
  </w:num>
  <w:num w:numId="24">
    <w:abstractNumId w:val="23"/>
  </w:num>
  <w:num w:numId="25">
    <w:abstractNumId w:val="21"/>
  </w:num>
  <w:num w:numId="26">
    <w:abstractNumId w:val="18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C5"/>
    <w:rsid w:val="00002F08"/>
    <w:rsid w:val="000055EE"/>
    <w:rsid w:val="000961EF"/>
    <w:rsid w:val="000A6FA8"/>
    <w:rsid w:val="000C3978"/>
    <w:rsid w:val="00107058"/>
    <w:rsid w:val="00176AFB"/>
    <w:rsid w:val="001C594F"/>
    <w:rsid w:val="00216FB8"/>
    <w:rsid w:val="00244920"/>
    <w:rsid w:val="00273B28"/>
    <w:rsid w:val="003A1081"/>
    <w:rsid w:val="003B7D77"/>
    <w:rsid w:val="003F4F66"/>
    <w:rsid w:val="003F756B"/>
    <w:rsid w:val="00404A69"/>
    <w:rsid w:val="00471DA7"/>
    <w:rsid w:val="00492A9C"/>
    <w:rsid w:val="004B4825"/>
    <w:rsid w:val="004D4F43"/>
    <w:rsid w:val="004F2E8E"/>
    <w:rsid w:val="005164F9"/>
    <w:rsid w:val="005179FA"/>
    <w:rsid w:val="00552409"/>
    <w:rsid w:val="00575C03"/>
    <w:rsid w:val="005846DF"/>
    <w:rsid w:val="005C2E62"/>
    <w:rsid w:val="005F6F61"/>
    <w:rsid w:val="00600C15"/>
    <w:rsid w:val="006039DA"/>
    <w:rsid w:val="00615D6E"/>
    <w:rsid w:val="0064436E"/>
    <w:rsid w:val="006515D4"/>
    <w:rsid w:val="00656506"/>
    <w:rsid w:val="006C102F"/>
    <w:rsid w:val="006D3D10"/>
    <w:rsid w:val="0070666B"/>
    <w:rsid w:val="00743C52"/>
    <w:rsid w:val="00757B2E"/>
    <w:rsid w:val="007751C5"/>
    <w:rsid w:val="007A6A11"/>
    <w:rsid w:val="008621AF"/>
    <w:rsid w:val="00867411"/>
    <w:rsid w:val="00872DDE"/>
    <w:rsid w:val="00887BCE"/>
    <w:rsid w:val="00892F28"/>
    <w:rsid w:val="009409D9"/>
    <w:rsid w:val="009524DB"/>
    <w:rsid w:val="009601EA"/>
    <w:rsid w:val="009D42F7"/>
    <w:rsid w:val="009D6258"/>
    <w:rsid w:val="009F2FA5"/>
    <w:rsid w:val="009F5B9F"/>
    <w:rsid w:val="009F735F"/>
    <w:rsid w:val="00A05A16"/>
    <w:rsid w:val="00A20ECE"/>
    <w:rsid w:val="00A3647A"/>
    <w:rsid w:val="00A869A2"/>
    <w:rsid w:val="00AB649A"/>
    <w:rsid w:val="00AC09C1"/>
    <w:rsid w:val="00AE39E8"/>
    <w:rsid w:val="00AF6B8D"/>
    <w:rsid w:val="00B22929"/>
    <w:rsid w:val="00B40B3D"/>
    <w:rsid w:val="00B962D3"/>
    <w:rsid w:val="00B971B9"/>
    <w:rsid w:val="00BA0D3C"/>
    <w:rsid w:val="00C558B0"/>
    <w:rsid w:val="00C86720"/>
    <w:rsid w:val="00CD705E"/>
    <w:rsid w:val="00D3626F"/>
    <w:rsid w:val="00D407A0"/>
    <w:rsid w:val="00D82ECE"/>
    <w:rsid w:val="00DA0773"/>
    <w:rsid w:val="00DD04D1"/>
    <w:rsid w:val="00DD36D5"/>
    <w:rsid w:val="00DE17AA"/>
    <w:rsid w:val="00E05F61"/>
    <w:rsid w:val="00E40BFD"/>
    <w:rsid w:val="00E473D3"/>
    <w:rsid w:val="00E75B8A"/>
    <w:rsid w:val="00E966A0"/>
    <w:rsid w:val="00E9740F"/>
    <w:rsid w:val="00EA0D0B"/>
    <w:rsid w:val="00EC78D0"/>
    <w:rsid w:val="00ED2081"/>
    <w:rsid w:val="00ED7DCD"/>
    <w:rsid w:val="00EF57C5"/>
    <w:rsid w:val="00F0016B"/>
    <w:rsid w:val="00F7068B"/>
    <w:rsid w:val="00F77DD5"/>
    <w:rsid w:val="00FC7697"/>
    <w:rsid w:val="00FF5067"/>
    <w:rsid w:val="00FF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DA23B"/>
  <w15:chartTrackingRefBased/>
  <w15:docId w15:val="{2E372910-D7FC-49A9-A4D4-7DD7D54A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240" w:after="100" w:afterAutospacing="1"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0" w:after="200" w:line="276" w:lineRule="auto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743C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F77DD5"/>
    <w:pPr>
      <w:spacing w:before="100" w:beforeAutospacing="1" w:after="100" w:line="240" w:lineRule="auto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2DD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5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57C5"/>
  </w:style>
  <w:style w:type="paragraph" w:styleId="Rodap">
    <w:name w:val="footer"/>
    <w:basedOn w:val="Normal"/>
    <w:link w:val="RodapChar"/>
    <w:uiPriority w:val="99"/>
    <w:unhideWhenUsed/>
    <w:rsid w:val="00EF5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57C5"/>
  </w:style>
  <w:style w:type="paragraph" w:styleId="PargrafodaLista">
    <w:name w:val="List Paragraph"/>
    <w:basedOn w:val="Normal"/>
    <w:uiPriority w:val="34"/>
    <w:qFormat/>
    <w:rsid w:val="000055E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F5067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F5067"/>
    <w:rPr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515D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15D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515D4"/>
    <w:rPr>
      <w:vertAlign w:val="superscript"/>
    </w:rPr>
  </w:style>
  <w:style w:type="character" w:customStyle="1" w:styleId="Ttulo3Char">
    <w:name w:val="Título 3 Char"/>
    <w:basedOn w:val="Fontepargpadro"/>
    <w:link w:val="Ttulo3"/>
    <w:uiPriority w:val="9"/>
    <w:rsid w:val="00F77DD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F77DD5"/>
    <w:pPr>
      <w:spacing w:before="100" w:beforeAutospacing="1" w:after="100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5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5B8A"/>
    <w:rPr>
      <w:rFonts w:ascii="Segoe UI" w:hAnsi="Segoe UI" w:cs="Segoe UI"/>
      <w:sz w:val="18"/>
      <w:szCs w:val="1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2D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1Char">
    <w:name w:val="Título 1 Char"/>
    <w:basedOn w:val="Fontepargpadro"/>
    <w:link w:val="Ttulo1"/>
    <w:uiPriority w:val="9"/>
    <w:rsid w:val="00743C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C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743C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1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E24F8-19F9-4B8C-ABC7-3AFA52EFB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</TotalTime>
  <Pages>6</Pages>
  <Words>1034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Dórea</dc:creator>
  <cp:keywords/>
  <dc:description/>
  <cp:lastModifiedBy>Dórea</cp:lastModifiedBy>
  <cp:revision>21</cp:revision>
  <cp:lastPrinted>2025-11-21T15:40:00Z</cp:lastPrinted>
  <dcterms:created xsi:type="dcterms:W3CDTF">2023-10-26T19:16:00Z</dcterms:created>
  <dcterms:modified xsi:type="dcterms:W3CDTF">2026-06-10T23:24:00Z</dcterms:modified>
</cp:coreProperties>
</file>