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7AA" w:rsidRDefault="00DE17AA" w:rsidP="00DE17AA">
      <w:pPr>
        <w:spacing w:line="360" w:lineRule="auto"/>
        <w:ind w:firstLine="0"/>
        <w:jc w:val="both"/>
        <w:rPr>
          <w:rStyle w:val="Forte"/>
          <w:rFonts w:ascii="Segoe UI" w:hAnsi="Segoe UI" w:cs="Segoe UI"/>
          <w:sz w:val="24"/>
          <w:szCs w:val="24"/>
        </w:rPr>
      </w:pPr>
      <w:proofErr w:type="gramStart"/>
      <w:r w:rsidRPr="00DE17AA">
        <w:rPr>
          <w:rStyle w:val="Forte"/>
          <w:rFonts w:ascii="Segoe UI" w:hAnsi="Segoe UI" w:cs="Segoe UI"/>
          <w:sz w:val="24"/>
          <w:szCs w:val="24"/>
        </w:rPr>
        <w:t>EXCELENTÍSSIMO(</w:t>
      </w:r>
      <w:proofErr w:type="gramEnd"/>
      <w:r w:rsidRPr="00DE17AA">
        <w:rPr>
          <w:rStyle w:val="Forte"/>
          <w:rFonts w:ascii="Segoe UI" w:hAnsi="Segoe UI" w:cs="Segoe UI"/>
          <w:sz w:val="24"/>
          <w:szCs w:val="24"/>
        </w:rPr>
        <w:t>A) SENHOR(A) DOUTOR(A) JUIZ(A) DE DIREITO DA 2ª VARA DO SISTEMA DOS JUIZADOS ESPECIAIS CÍVEIS DE SALVADOR/BA</w:t>
      </w:r>
    </w:p>
    <w:p w:rsidR="00DE17AA" w:rsidRDefault="00DE17AA" w:rsidP="00DE17AA">
      <w:pPr>
        <w:spacing w:line="360" w:lineRule="auto"/>
        <w:ind w:firstLine="0"/>
        <w:jc w:val="both"/>
        <w:rPr>
          <w:rStyle w:val="Forte"/>
          <w:rFonts w:ascii="Segoe UI" w:hAnsi="Segoe UI" w:cs="Segoe UI"/>
          <w:b w:val="0"/>
          <w:bCs w:val="0"/>
          <w:sz w:val="24"/>
          <w:szCs w:val="24"/>
        </w:rPr>
      </w:pPr>
    </w:p>
    <w:p w:rsidR="00DE17AA" w:rsidRPr="00DE17AA" w:rsidRDefault="00DE17AA" w:rsidP="00DE17AA">
      <w:pPr>
        <w:pStyle w:val="Ttulo1"/>
        <w:spacing w:line="360" w:lineRule="auto"/>
        <w:ind w:firstLine="0"/>
        <w:jc w:val="both"/>
        <w:rPr>
          <w:rFonts w:ascii="Segoe UI" w:hAnsi="Segoe UI" w:cs="Segoe UI"/>
          <w:color w:val="auto"/>
          <w:sz w:val="24"/>
          <w:szCs w:val="24"/>
        </w:rPr>
      </w:pPr>
      <w:r w:rsidRPr="00DE17AA">
        <w:rPr>
          <w:rStyle w:val="Forte"/>
          <w:rFonts w:ascii="Segoe UI" w:hAnsi="Segoe UI" w:cs="Segoe UI"/>
          <w:bCs w:val="0"/>
          <w:color w:val="auto"/>
          <w:sz w:val="24"/>
          <w:szCs w:val="24"/>
          <w:highlight w:val="yellow"/>
        </w:rPr>
        <w:t>PETIÇÃO – EXPEDIÇÃO DE ALVARÁ E LIBERAÇÃO DO SALDO REMANESCENTE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br/>
      </w:r>
      <w:r w:rsidRPr="00DE17AA">
        <w:rPr>
          <w:rStyle w:val="Forte"/>
          <w:rFonts w:ascii="Segoe UI" w:hAnsi="Segoe UI" w:cs="Segoe UI"/>
        </w:rPr>
        <w:t>Processo nº 0140029-39.2010.8.05.0001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Style w:val="Forte"/>
          <w:rFonts w:ascii="Segoe UI" w:hAnsi="Segoe UI" w:cs="Segoe UI"/>
        </w:rPr>
        <w:t>EDUARDO CURY DE ASSIS</w:t>
      </w:r>
      <w:r w:rsidRPr="00DE17AA">
        <w:rPr>
          <w:rFonts w:ascii="Segoe UI" w:hAnsi="Segoe UI" w:cs="Segoe UI"/>
        </w:rPr>
        <w:t>, já qualificado, por seus advogados, vem, com o devido respeito, expor e requerer o que segue.</w:t>
      </w:r>
    </w:p>
    <w:p w:rsidR="00DE17AA" w:rsidRPr="00DE17AA" w:rsidRDefault="00DE17AA" w:rsidP="00DE17AA">
      <w:pPr>
        <w:spacing w:line="360" w:lineRule="auto"/>
        <w:ind w:firstLine="0"/>
        <w:jc w:val="both"/>
        <w:rPr>
          <w:rFonts w:ascii="Segoe UI" w:hAnsi="Segoe UI" w:cs="Segoe UI"/>
          <w:sz w:val="24"/>
          <w:szCs w:val="24"/>
        </w:rPr>
      </w:pPr>
      <w:r w:rsidRPr="00DE17AA">
        <w:rPr>
          <w:rFonts w:ascii="Segoe UI" w:hAnsi="Segoe UI" w:cs="Segoe U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17AA" w:rsidRPr="00DE17AA" w:rsidRDefault="00DE17AA" w:rsidP="00DE17AA">
      <w:pPr>
        <w:pStyle w:val="Ttulo2"/>
        <w:spacing w:line="360" w:lineRule="auto"/>
        <w:ind w:firstLine="0"/>
        <w:jc w:val="both"/>
        <w:rPr>
          <w:rFonts w:ascii="Segoe UI" w:hAnsi="Segoe UI" w:cs="Segoe UI"/>
          <w:color w:val="auto"/>
          <w:sz w:val="24"/>
          <w:szCs w:val="24"/>
        </w:rPr>
      </w:pPr>
      <w:r w:rsidRPr="00DE17AA">
        <w:rPr>
          <w:rStyle w:val="Forte"/>
          <w:rFonts w:ascii="Segoe UI" w:hAnsi="Segoe UI" w:cs="Segoe UI"/>
          <w:bCs w:val="0"/>
          <w:color w:val="auto"/>
          <w:sz w:val="24"/>
          <w:szCs w:val="24"/>
        </w:rPr>
        <w:t>I – DO QUADRO PROCESSUAL RELEVANTE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A execução em curso decorre de sentença restrita a determinado período de inadimplência, cujo cumprimento levou ao leilão do imóvel e ao depósito judicial de </w:t>
      </w:r>
      <w:r w:rsidRPr="00DE17AA">
        <w:rPr>
          <w:rStyle w:val="Forte"/>
          <w:rFonts w:ascii="Segoe UI" w:hAnsi="Segoe UI" w:cs="Segoe UI"/>
        </w:rPr>
        <w:t>R$ 125.000,00</w:t>
      </w:r>
      <w:r w:rsidRPr="00DE17AA">
        <w:rPr>
          <w:rFonts w:ascii="Segoe UI" w:hAnsi="Segoe UI" w:cs="Segoe UI"/>
        </w:rPr>
        <w:t>, valor já integralmente aportado pelo arrematante.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Findas as etapas necessárias à consolidação da arrematação, este Juízo proferiu, em </w:t>
      </w:r>
      <w:r w:rsidRPr="00DE17AA">
        <w:rPr>
          <w:rStyle w:val="Forte"/>
          <w:rFonts w:ascii="Segoe UI" w:hAnsi="Segoe UI" w:cs="Segoe UI"/>
        </w:rPr>
        <w:t>12/03/2020</w:t>
      </w:r>
      <w:r w:rsidRPr="00DE17AA">
        <w:rPr>
          <w:rFonts w:ascii="Segoe UI" w:hAnsi="Segoe UI" w:cs="Segoe UI"/>
        </w:rPr>
        <w:t>, decisão expressa determinando: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  <w:b/>
        </w:rPr>
      </w:pPr>
      <w:r w:rsidRPr="00DE17AA">
        <w:rPr>
          <w:rStyle w:val="Forte"/>
          <w:rFonts w:ascii="Segoe UI" w:hAnsi="Segoe UI" w:cs="Segoe UI"/>
          <w:b w:val="0"/>
        </w:rPr>
        <w:t>“</w:t>
      </w:r>
      <w:proofErr w:type="spellStart"/>
      <w:proofErr w:type="gramStart"/>
      <w:r w:rsidRPr="00DE17AA">
        <w:rPr>
          <w:rStyle w:val="Forte"/>
          <w:rFonts w:ascii="Segoe UI" w:hAnsi="Segoe UI" w:cs="Segoe UI"/>
          <w:b w:val="0"/>
        </w:rPr>
        <w:t>a</w:t>
      </w:r>
      <w:proofErr w:type="spellEnd"/>
      <w:proofErr w:type="gramEnd"/>
      <w:r w:rsidRPr="00DE17AA">
        <w:rPr>
          <w:rStyle w:val="Forte"/>
          <w:rFonts w:ascii="Segoe UI" w:hAnsi="Segoe UI" w:cs="Segoe UI"/>
          <w:b w:val="0"/>
        </w:rPr>
        <w:t xml:space="preserve"> liberação ao exequente do valor exequendo e a liberação do saldo remanescente ao executado.”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>Trata-se de decisão clara, específica e que permanece hígida, não sendo objeto de suspensão, modificação ou substituição.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lastRenderedPageBreak/>
        <w:t xml:space="preserve">Desde então, o processo não sofreu qualquer decisão que altere a destinação da verba. O saldo remanescente permanece depositado em juízo, embora já exista </w:t>
      </w:r>
      <w:r w:rsidRPr="00DE17AA">
        <w:rPr>
          <w:rStyle w:val="Forte"/>
          <w:rFonts w:ascii="Segoe UI" w:hAnsi="Segoe UI" w:cs="Segoe UI"/>
        </w:rPr>
        <w:t>comando judicial definitivo</w:t>
      </w:r>
      <w:r w:rsidRPr="00DE17AA">
        <w:rPr>
          <w:rFonts w:ascii="Segoe UI" w:hAnsi="Segoe UI" w:cs="Segoe UI"/>
        </w:rPr>
        <w:t xml:space="preserve"> determinando sua liberação ao executado.</w:t>
      </w:r>
    </w:p>
    <w:p w:rsidR="00DE17AA" w:rsidRPr="00DE17AA" w:rsidRDefault="00DE17AA" w:rsidP="00DE17AA">
      <w:pPr>
        <w:spacing w:line="360" w:lineRule="auto"/>
        <w:ind w:firstLine="0"/>
        <w:jc w:val="both"/>
        <w:rPr>
          <w:rFonts w:ascii="Segoe UI" w:hAnsi="Segoe UI" w:cs="Segoe UI"/>
          <w:sz w:val="24"/>
          <w:szCs w:val="24"/>
        </w:rPr>
      </w:pPr>
      <w:r w:rsidRPr="00DE17AA">
        <w:rPr>
          <w:rFonts w:ascii="Segoe UI" w:hAnsi="Segoe UI" w:cs="Segoe U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E17AA" w:rsidRPr="00DE17AA" w:rsidRDefault="00DE17AA" w:rsidP="00DE17AA">
      <w:pPr>
        <w:pStyle w:val="Ttulo2"/>
        <w:spacing w:line="360" w:lineRule="auto"/>
        <w:ind w:firstLine="0"/>
        <w:jc w:val="both"/>
        <w:rPr>
          <w:rFonts w:ascii="Segoe UI" w:hAnsi="Segoe UI" w:cs="Segoe UI"/>
          <w:color w:val="auto"/>
          <w:sz w:val="24"/>
          <w:szCs w:val="24"/>
        </w:rPr>
      </w:pPr>
      <w:r w:rsidRPr="00DE17AA">
        <w:rPr>
          <w:rStyle w:val="Forte"/>
          <w:rFonts w:ascii="Segoe UI" w:hAnsi="Segoe UI" w:cs="Segoe UI"/>
          <w:bCs w:val="0"/>
          <w:color w:val="auto"/>
          <w:sz w:val="24"/>
          <w:szCs w:val="24"/>
        </w:rPr>
        <w:t>II – DA IMPOSSIBILIDADE DE MANUTENÇÃO DO BLOQUEIO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A execução deve ater-se aos </w:t>
      </w:r>
      <w:r w:rsidRPr="00DE17AA">
        <w:rPr>
          <w:rStyle w:val="Forte"/>
          <w:rFonts w:ascii="Segoe UI" w:hAnsi="Segoe UI" w:cs="Segoe UI"/>
        </w:rPr>
        <w:t>limites objetivos do título</w:t>
      </w:r>
      <w:r w:rsidRPr="00DE17AA">
        <w:rPr>
          <w:rFonts w:ascii="Segoe UI" w:hAnsi="Segoe UI" w:cs="Segoe UI"/>
        </w:rPr>
        <w:t xml:space="preserve"> e ao comando que o Juízo já estabeleceu. O saldo depositado em juízo, oriundo do preço da arrematação, não pode ser convertido em garantia para </w:t>
      </w:r>
      <w:r w:rsidRPr="00DE17AA">
        <w:rPr>
          <w:rStyle w:val="Forte"/>
          <w:rFonts w:ascii="Segoe UI" w:hAnsi="Segoe UI" w:cs="Segoe UI"/>
        </w:rPr>
        <w:t>qualquer outra finalidade</w:t>
      </w:r>
      <w:r w:rsidRPr="00DE17AA">
        <w:rPr>
          <w:rFonts w:ascii="Segoe UI" w:hAnsi="Segoe UI" w:cs="Segoe UI"/>
        </w:rPr>
        <w:t>, tampouco sofrer retenção indefinida.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>A continuidade da constrição representa:</w:t>
      </w:r>
    </w:p>
    <w:p w:rsidR="00DE17AA" w:rsidRPr="00DE17AA" w:rsidRDefault="00DE17AA" w:rsidP="00DE17A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execução</w:t>
      </w:r>
      <w:proofErr w:type="gramEnd"/>
      <w:r w:rsidRPr="00DE17AA">
        <w:rPr>
          <w:rStyle w:val="Forte"/>
          <w:rFonts w:ascii="Segoe UI" w:hAnsi="Segoe UI" w:cs="Segoe UI"/>
        </w:rPr>
        <w:t xml:space="preserve"> além do título</w:t>
      </w:r>
      <w:r w:rsidRPr="00DE17AA">
        <w:rPr>
          <w:rFonts w:ascii="Segoe UI" w:hAnsi="Segoe UI" w:cs="Segoe UI"/>
        </w:rPr>
        <w:t>,</w:t>
      </w:r>
    </w:p>
    <w:p w:rsidR="00DE17AA" w:rsidRPr="00DE17AA" w:rsidRDefault="00DE17AA" w:rsidP="00DE17A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manutenção</w:t>
      </w:r>
      <w:proofErr w:type="gramEnd"/>
      <w:r w:rsidRPr="00DE17AA">
        <w:rPr>
          <w:rStyle w:val="Forte"/>
          <w:rFonts w:ascii="Segoe UI" w:hAnsi="Segoe UI" w:cs="Segoe UI"/>
        </w:rPr>
        <w:t xml:space="preserve"> de restrição sem base legal</w:t>
      </w:r>
      <w:r w:rsidRPr="00DE17AA">
        <w:rPr>
          <w:rFonts w:ascii="Segoe UI" w:hAnsi="Segoe UI" w:cs="Segoe UI"/>
        </w:rPr>
        <w:t>,</w:t>
      </w:r>
    </w:p>
    <w:p w:rsidR="00DE17AA" w:rsidRPr="00DE17AA" w:rsidRDefault="00DE17AA" w:rsidP="00DE17A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incompatibilidade</w:t>
      </w:r>
      <w:proofErr w:type="gramEnd"/>
      <w:r w:rsidRPr="00DE17AA">
        <w:rPr>
          <w:rStyle w:val="Forte"/>
          <w:rFonts w:ascii="Segoe UI" w:hAnsi="Segoe UI" w:cs="Segoe UI"/>
        </w:rPr>
        <w:t xml:space="preserve"> com a decisão vigente</w:t>
      </w:r>
      <w:r w:rsidRPr="00DE17AA">
        <w:rPr>
          <w:rFonts w:ascii="Segoe UI" w:hAnsi="Segoe UI" w:cs="Segoe UI"/>
        </w:rPr>
        <w:t>, e</w:t>
      </w:r>
    </w:p>
    <w:p w:rsidR="00DE17AA" w:rsidRPr="00DE17AA" w:rsidRDefault="00DE17AA" w:rsidP="00DE17A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permanência</w:t>
      </w:r>
      <w:proofErr w:type="gramEnd"/>
      <w:r w:rsidRPr="00DE17AA">
        <w:rPr>
          <w:rStyle w:val="Forte"/>
          <w:rFonts w:ascii="Segoe UI" w:hAnsi="Segoe UI" w:cs="Segoe UI"/>
        </w:rPr>
        <w:t xml:space="preserve"> de ato constritivo sem fundamento processual atual</w:t>
      </w:r>
      <w:r w:rsidRPr="00DE17AA">
        <w:rPr>
          <w:rFonts w:ascii="Segoe UI" w:hAnsi="Segoe UI" w:cs="Segoe UI"/>
        </w:rPr>
        <w:t>.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>Não existe, hoje, qualquer ato judicial que sustente a retenção da quantia. O único comando em vigor determina sua liberação ao executado. A manutenção da verba retida desvirtua a ordem proferida e prolonga uma medida que já deveria ter sido superada desde o cumprimento da arrematação.</w:t>
      </w:r>
    </w:p>
    <w:p w:rsidR="00DE17AA" w:rsidRPr="00DE17AA" w:rsidRDefault="00DE17AA" w:rsidP="00DE17AA">
      <w:pPr>
        <w:spacing w:line="360" w:lineRule="auto"/>
        <w:ind w:firstLine="0"/>
        <w:jc w:val="both"/>
        <w:rPr>
          <w:rFonts w:ascii="Segoe UI" w:hAnsi="Segoe UI" w:cs="Segoe UI"/>
          <w:sz w:val="24"/>
          <w:szCs w:val="24"/>
        </w:rPr>
      </w:pPr>
      <w:r w:rsidRPr="00DE17AA">
        <w:rPr>
          <w:rFonts w:ascii="Segoe UI" w:hAnsi="Segoe UI" w:cs="Segoe U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E17AA" w:rsidRPr="00DE17AA" w:rsidRDefault="00DE17AA" w:rsidP="00DE17AA">
      <w:pPr>
        <w:pStyle w:val="Ttulo2"/>
        <w:spacing w:line="360" w:lineRule="auto"/>
        <w:ind w:firstLine="0"/>
        <w:jc w:val="both"/>
        <w:rPr>
          <w:rFonts w:ascii="Segoe UI" w:hAnsi="Segoe UI" w:cs="Segoe UI"/>
          <w:color w:val="auto"/>
          <w:sz w:val="24"/>
          <w:szCs w:val="24"/>
        </w:rPr>
      </w:pPr>
      <w:r w:rsidRPr="00DE17AA">
        <w:rPr>
          <w:rStyle w:val="Forte"/>
          <w:rFonts w:ascii="Segoe UI" w:hAnsi="Segoe UI" w:cs="Segoe UI"/>
          <w:bCs w:val="0"/>
          <w:color w:val="auto"/>
          <w:sz w:val="24"/>
          <w:szCs w:val="24"/>
        </w:rPr>
        <w:t>III – DO NECESSÁRIO ESCLARECIMENTO DO SALDO EM CONTA JUDICIAL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Tendo havido expedições de alvarás para finalidades acessórias — algumas destinadas ao próprio arrematante — e considerando o tempo decorrido desde </w:t>
      </w:r>
      <w:r w:rsidRPr="00DE17AA">
        <w:rPr>
          <w:rFonts w:ascii="Segoe UI" w:hAnsi="Segoe UI" w:cs="Segoe UI"/>
        </w:rPr>
        <w:lastRenderedPageBreak/>
        <w:t>o depósito original, é indispensável, como medida de segurança processual, que a Secretaria esclareça:</w:t>
      </w:r>
    </w:p>
    <w:p w:rsidR="00DE17AA" w:rsidRDefault="00DE17AA" w:rsidP="00DE17AA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o</w:t>
      </w:r>
      <w:proofErr w:type="gramEnd"/>
      <w:r w:rsidRPr="00DE17AA">
        <w:rPr>
          <w:rStyle w:val="Forte"/>
          <w:rFonts w:ascii="Segoe UI" w:hAnsi="Segoe UI" w:cs="Segoe UI"/>
        </w:rPr>
        <w:t xml:space="preserve"> saldo atual</w:t>
      </w:r>
      <w:r w:rsidRPr="00DE17AA">
        <w:rPr>
          <w:rFonts w:ascii="Segoe UI" w:hAnsi="Segoe UI" w:cs="Segoe UI"/>
        </w:rPr>
        <w:t xml:space="preserve"> da conta judicial nº 3700129008136;</w:t>
      </w:r>
    </w:p>
    <w:p w:rsidR="00DE17AA" w:rsidRDefault="00DE17AA" w:rsidP="00DE17AA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os</w:t>
      </w:r>
      <w:proofErr w:type="gramEnd"/>
      <w:r w:rsidRPr="00DE17AA">
        <w:rPr>
          <w:rStyle w:val="Forte"/>
          <w:rFonts w:ascii="Segoe UI" w:hAnsi="Segoe UI" w:cs="Segoe UI"/>
        </w:rPr>
        <w:t xml:space="preserve"> alvarás expedidos</w:t>
      </w:r>
      <w:r w:rsidRPr="00DE17AA">
        <w:rPr>
          <w:rFonts w:ascii="Segoe UI" w:hAnsi="Segoe UI" w:cs="Segoe UI"/>
        </w:rPr>
        <w:t>, com seus beneficiários;</w:t>
      </w:r>
    </w:p>
    <w:p w:rsidR="00DE17AA" w:rsidRDefault="00DE17AA" w:rsidP="00DE17AA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os</w:t>
      </w:r>
      <w:proofErr w:type="gramEnd"/>
      <w:r w:rsidRPr="00DE17AA">
        <w:rPr>
          <w:rStyle w:val="Forte"/>
          <w:rFonts w:ascii="Segoe UI" w:hAnsi="Segoe UI" w:cs="Segoe UI"/>
        </w:rPr>
        <w:t xml:space="preserve"> valores já efetivamente levantados</w:t>
      </w:r>
      <w:r w:rsidRPr="00DE17AA">
        <w:rPr>
          <w:rFonts w:ascii="Segoe UI" w:hAnsi="Segoe UI" w:cs="Segoe UI"/>
        </w:rPr>
        <w:t>;</w:t>
      </w:r>
    </w:p>
    <w:p w:rsidR="00DE17AA" w:rsidRPr="00DE17AA" w:rsidRDefault="00DE17AA" w:rsidP="00DE17AA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a</w:t>
      </w:r>
      <w:proofErr w:type="gramEnd"/>
      <w:r w:rsidRPr="00DE17AA">
        <w:rPr>
          <w:rStyle w:val="Forte"/>
          <w:rFonts w:ascii="Segoe UI" w:hAnsi="Segoe UI" w:cs="Segoe UI"/>
        </w:rPr>
        <w:t xml:space="preserve"> existência de eventual ordem ativa</w:t>
      </w:r>
      <w:r w:rsidRPr="00DE17AA">
        <w:rPr>
          <w:rFonts w:ascii="Segoe UI" w:hAnsi="Segoe UI" w:cs="Segoe UI"/>
        </w:rPr>
        <w:t xml:space="preserve"> que, por equívoco, esteja gerando a manutenção do bloqueio.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Esse esclarecimento é necessário para cumprimento integral do </w:t>
      </w:r>
      <w:r>
        <w:rPr>
          <w:rFonts w:ascii="Segoe UI" w:hAnsi="Segoe UI" w:cs="Segoe UI"/>
        </w:rPr>
        <w:t xml:space="preserve">comando sentencial ao longo do processo, bem como para garantir que </w:t>
      </w:r>
      <w:r w:rsidRPr="00DE17AA">
        <w:rPr>
          <w:rFonts w:ascii="Segoe UI" w:hAnsi="Segoe UI" w:cs="Segoe UI"/>
          <w:b/>
        </w:rPr>
        <w:t xml:space="preserve">CONSTITUIÇÃO FEDERAL </w:t>
      </w:r>
      <w:r>
        <w:rPr>
          <w:rFonts w:ascii="Segoe UI" w:hAnsi="Segoe UI" w:cs="Segoe UI"/>
        </w:rPr>
        <w:t>não seja transgredida.</w:t>
      </w:r>
    </w:p>
    <w:p w:rsidR="00DE17AA" w:rsidRPr="00DE17AA" w:rsidRDefault="00DE17AA" w:rsidP="00DE17AA">
      <w:pPr>
        <w:spacing w:line="360" w:lineRule="auto"/>
        <w:ind w:firstLine="0"/>
        <w:jc w:val="both"/>
        <w:rPr>
          <w:rFonts w:ascii="Segoe UI" w:hAnsi="Segoe UI" w:cs="Segoe UI"/>
          <w:sz w:val="24"/>
          <w:szCs w:val="24"/>
        </w:rPr>
      </w:pPr>
      <w:r w:rsidRPr="00DE17AA">
        <w:rPr>
          <w:rFonts w:ascii="Segoe UI" w:hAnsi="Segoe UI" w:cs="Segoe U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E17AA" w:rsidRPr="00DE17AA" w:rsidRDefault="00DE17AA" w:rsidP="00DE17AA">
      <w:pPr>
        <w:pStyle w:val="Ttulo2"/>
        <w:spacing w:line="360" w:lineRule="auto"/>
        <w:ind w:firstLine="0"/>
        <w:jc w:val="both"/>
        <w:rPr>
          <w:rFonts w:ascii="Segoe UI" w:hAnsi="Segoe UI" w:cs="Segoe UI"/>
          <w:color w:val="auto"/>
          <w:sz w:val="24"/>
          <w:szCs w:val="24"/>
        </w:rPr>
      </w:pPr>
      <w:r w:rsidRPr="00DE17AA">
        <w:rPr>
          <w:rStyle w:val="Forte"/>
          <w:rFonts w:ascii="Segoe UI" w:hAnsi="Segoe UI" w:cs="Segoe UI"/>
          <w:bCs w:val="0"/>
          <w:color w:val="auto"/>
          <w:sz w:val="24"/>
          <w:szCs w:val="24"/>
        </w:rPr>
        <w:t>IV – DO PEDIDO SUBSIDIÁRIO DE IMPENHORABILIDADE MÍNIMA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Ainda que a sentença não permita qualquer ampliação do objeto da execução — e a decisão vigente determine, sem ressalvas, a liberação integral ao executado — registra-se, apenas por cautela argumentativa, que a legislação processual protege, como </w:t>
      </w:r>
      <w:r w:rsidRPr="00DE17AA">
        <w:rPr>
          <w:rStyle w:val="Forte"/>
          <w:rFonts w:ascii="Segoe UI" w:hAnsi="Segoe UI" w:cs="Segoe UI"/>
        </w:rPr>
        <w:t>absolutamente impenhorável</w:t>
      </w:r>
      <w:r w:rsidRPr="00DE17AA">
        <w:rPr>
          <w:rFonts w:ascii="Segoe UI" w:hAnsi="Segoe UI" w:cs="Segoe UI"/>
        </w:rPr>
        <w:t xml:space="preserve">, a quantia equivalente a </w:t>
      </w:r>
      <w:r w:rsidRPr="00DE17AA">
        <w:rPr>
          <w:rStyle w:val="Forte"/>
          <w:rFonts w:ascii="Segoe UI" w:hAnsi="Segoe UI" w:cs="Segoe UI"/>
        </w:rPr>
        <w:t>40 salários mínimos</w:t>
      </w:r>
      <w:r w:rsidRPr="00DE17AA">
        <w:rPr>
          <w:rFonts w:ascii="Segoe UI" w:hAnsi="Segoe UI" w:cs="Segoe UI"/>
        </w:rPr>
        <w:t xml:space="preserve"> (art. 833, X, do CPC).</w:t>
      </w:r>
    </w:p>
    <w:p w:rsid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A jurisprudência do Superior Tribunal de Justiça consolidou a extensão dessa proteção, reconhecendo que a impenhorabilidade alcança qualquer modalidade de numerário, inclusive valores depositados judicialmente, e que pode ser declarada </w:t>
      </w:r>
      <w:r w:rsidRPr="00DE17AA">
        <w:rPr>
          <w:rFonts w:ascii="Segoe UI" w:hAnsi="Segoe UI" w:cs="Segoe UI"/>
          <w:b/>
          <w:bCs/>
        </w:rPr>
        <w:t>de ofício</w:t>
      </w:r>
      <w:r w:rsidRPr="00DE17AA">
        <w:rPr>
          <w:rFonts w:ascii="Segoe UI" w:hAnsi="Segoe UI" w:cs="Segoe UI"/>
        </w:rPr>
        <w:t xml:space="preserve">, por tratar-se de matéria de ordem pública. </w:t>
      </w:r>
    </w:p>
    <w:p w:rsid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Assim ficou assentado, por exemplo, no </w:t>
      </w:r>
      <w:proofErr w:type="spellStart"/>
      <w:r w:rsidRPr="00DE17AA">
        <w:rPr>
          <w:rFonts w:ascii="Segoe UI" w:hAnsi="Segoe UI" w:cs="Segoe UI"/>
          <w:b/>
          <w:bCs/>
        </w:rPr>
        <w:t>AgInt</w:t>
      </w:r>
      <w:proofErr w:type="spellEnd"/>
      <w:r w:rsidRPr="00DE17AA">
        <w:rPr>
          <w:rFonts w:ascii="Segoe UI" w:hAnsi="Segoe UI" w:cs="Segoe UI"/>
          <w:b/>
          <w:bCs/>
        </w:rPr>
        <w:t xml:space="preserve"> no </w:t>
      </w:r>
      <w:proofErr w:type="spellStart"/>
      <w:r w:rsidRPr="00DE17AA">
        <w:rPr>
          <w:rFonts w:ascii="Segoe UI" w:hAnsi="Segoe UI" w:cs="Segoe UI"/>
          <w:b/>
          <w:bCs/>
        </w:rPr>
        <w:t>AREsp</w:t>
      </w:r>
      <w:proofErr w:type="spellEnd"/>
      <w:r w:rsidRPr="00DE17AA">
        <w:rPr>
          <w:rFonts w:ascii="Segoe UI" w:hAnsi="Segoe UI" w:cs="Segoe UI"/>
          <w:b/>
          <w:bCs/>
        </w:rPr>
        <w:t xml:space="preserve"> 2.152.036/RS</w:t>
      </w:r>
      <w:r w:rsidRPr="00DE17AA">
        <w:rPr>
          <w:rFonts w:ascii="Segoe UI" w:hAnsi="Segoe UI" w:cs="Segoe UI"/>
        </w:rPr>
        <w:t xml:space="preserve">, em que a Corte reafirmou a impossibilidade de constrição de valores inferiores a 40 </w:t>
      </w:r>
      <w:proofErr w:type="gramStart"/>
      <w:r w:rsidRPr="00DE17AA">
        <w:rPr>
          <w:rFonts w:ascii="Segoe UI" w:hAnsi="Segoe UI" w:cs="Segoe UI"/>
        </w:rPr>
        <w:lastRenderedPageBreak/>
        <w:t>salários</w:t>
      </w:r>
      <w:proofErr w:type="gramEnd"/>
      <w:r w:rsidRPr="00DE17AA">
        <w:rPr>
          <w:rFonts w:ascii="Segoe UI" w:hAnsi="Segoe UI" w:cs="Segoe UI"/>
        </w:rPr>
        <w:t xml:space="preserve"> mínimos, ressalvada apenas a hipótese de fraude, abuso ou má-fé — inexistentes no presente caso. 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 xml:space="preserve">Assim, mesmo na improvável hipótese de qualquer discussão sobre retenção parcial do saldo — hipótese que não se coaduna com os limites desta execução — a parcela equivalente a 40 salários mínimos deve permanecer </w:t>
      </w:r>
      <w:r w:rsidRPr="00DE17AA">
        <w:rPr>
          <w:rStyle w:val="Forte"/>
          <w:rFonts w:ascii="Segoe UI" w:hAnsi="Segoe UI" w:cs="Segoe UI"/>
          <w:highlight w:val="yellow"/>
        </w:rPr>
        <w:t>intangível</w:t>
      </w:r>
      <w:r w:rsidRPr="00DE17AA">
        <w:rPr>
          <w:rFonts w:ascii="Segoe UI" w:hAnsi="Segoe UI" w:cs="Segoe UI"/>
          <w:highlight w:val="yellow"/>
        </w:rPr>
        <w:t xml:space="preserve"> </w:t>
      </w:r>
      <w:r w:rsidRPr="00DE17AA">
        <w:rPr>
          <w:rFonts w:ascii="Segoe UI" w:hAnsi="Segoe UI" w:cs="Segoe UI"/>
          <w:b/>
          <w:highlight w:val="yellow"/>
        </w:rPr>
        <w:t>e ser imediatamente liberada ao executado.</w:t>
      </w:r>
    </w:p>
    <w:p w:rsidR="00DE17AA" w:rsidRPr="00DE17AA" w:rsidRDefault="00DE17AA" w:rsidP="00DE17AA">
      <w:pPr>
        <w:spacing w:line="360" w:lineRule="auto"/>
        <w:ind w:firstLine="0"/>
        <w:jc w:val="both"/>
        <w:rPr>
          <w:rFonts w:ascii="Segoe UI" w:hAnsi="Segoe UI" w:cs="Segoe UI"/>
          <w:sz w:val="24"/>
          <w:szCs w:val="24"/>
        </w:rPr>
      </w:pPr>
      <w:r w:rsidRPr="00DE17AA">
        <w:rPr>
          <w:rFonts w:ascii="Segoe UI" w:hAnsi="Segoe UI" w:cs="Segoe U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E17AA" w:rsidRPr="00DE17AA" w:rsidRDefault="00DE17AA" w:rsidP="00DE17AA">
      <w:pPr>
        <w:pStyle w:val="Ttulo2"/>
        <w:spacing w:line="360" w:lineRule="auto"/>
        <w:ind w:firstLine="0"/>
        <w:jc w:val="both"/>
        <w:rPr>
          <w:rFonts w:ascii="Segoe UI" w:hAnsi="Segoe UI" w:cs="Segoe UI"/>
          <w:color w:val="auto"/>
          <w:sz w:val="24"/>
          <w:szCs w:val="24"/>
        </w:rPr>
      </w:pPr>
      <w:r w:rsidRPr="00DE17AA">
        <w:rPr>
          <w:rStyle w:val="Forte"/>
          <w:rFonts w:ascii="Segoe UI" w:hAnsi="Segoe UI" w:cs="Segoe UI"/>
          <w:bCs w:val="0"/>
          <w:color w:val="auto"/>
          <w:sz w:val="24"/>
          <w:szCs w:val="24"/>
        </w:rPr>
        <w:t>V – DOS PEDIDOS</w:t>
      </w:r>
    </w:p>
    <w:p w:rsidR="00DE17AA" w:rsidRPr="00DE17AA" w:rsidRDefault="00DE17AA" w:rsidP="00DE17AA">
      <w:pPr>
        <w:pStyle w:val="NormalWeb"/>
        <w:spacing w:line="360" w:lineRule="auto"/>
        <w:jc w:val="both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>Diante de todo o exposto, requer:</w:t>
      </w:r>
    </w:p>
    <w:p w:rsidR="00DE17AA" w:rsidRPr="00DE17AA" w:rsidRDefault="00DE17AA" w:rsidP="00DE17AA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Fonts w:ascii="Segoe UI" w:hAnsi="Segoe UI" w:cs="Segoe UI"/>
        </w:rPr>
        <w:t>que</w:t>
      </w:r>
      <w:proofErr w:type="gramEnd"/>
      <w:r w:rsidRPr="00DE17AA">
        <w:rPr>
          <w:rFonts w:ascii="Segoe UI" w:hAnsi="Segoe UI" w:cs="Segoe UI"/>
        </w:rPr>
        <w:t xml:space="preserve"> a Secretaria judicial </w:t>
      </w:r>
      <w:r w:rsidRPr="00DE17AA">
        <w:rPr>
          <w:rStyle w:val="Forte"/>
          <w:rFonts w:ascii="Segoe UI" w:hAnsi="Segoe UI" w:cs="Segoe UI"/>
        </w:rPr>
        <w:t>informe o saldo atualizado</w:t>
      </w:r>
      <w:r w:rsidRPr="00DE17AA">
        <w:rPr>
          <w:rFonts w:ascii="Segoe UI" w:hAnsi="Segoe UI" w:cs="Segoe UI"/>
        </w:rPr>
        <w:t xml:space="preserve"> da conta nº 3700129008136, discriminando valores já levantados e alvarás expedidos;</w:t>
      </w:r>
    </w:p>
    <w:p w:rsidR="00DE17AA" w:rsidRPr="00DE17AA" w:rsidRDefault="00DE17AA" w:rsidP="00DE17AA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Fonts w:ascii="Segoe UI" w:hAnsi="Segoe UI" w:cs="Segoe UI"/>
        </w:rPr>
        <w:t>que</w:t>
      </w:r>
      <w:proofErr w:type="gramEnd"/>
      <w:r w:rsidRPr="00DE17AA">
        <w:rPr>
          <w:rFonts w:ascii="Segoe UI" w:hAnsi="Segoe UI" w:cs="Segoe UI"/>
        </w:rPr>
        <w:t xml:space="preserve"> seja </w:t>
      </w:r>
      <w:r>
        <w:rPr>
          <w:rStyle w:val="Forte"/>
          <w:rFonts w:ascii="Segoe UI" w:hAnsi="Segoe UI" w:cs="Segoe UI"/>
        </w:rPr>
        <w:t>cumprida integralmente as decisões judiciais ao longo dos autos</w:t>
      </w:r>
      <w:bookmarkStart w:id="0" w:name="_GoBack"/>
      <w:bookmarkEnd w:id="0"/>
      <w:r w:rsidRPr="00DE17AA">
        <w:rPr>
          <w:rFonts w:ascii="Segoe UI" w:hAnsi="Segoe UI" w:cs="Segoe UI"/>
        </w:rPr>
        <w:t xml:space="preserve">, com expedição de </w:t>
      </w:r>
      <w:r w:rsidRPr="00DE17AA">
        <w:rPr>
          <w:rStyle w:val="Forte"/>
          <w:rFonts w:ascii="Segoe UI" w:hAnsi="Segoe UI" w:cs="Segoe UI"/>
        </w:rPr>
        <w:t>alvará em favor de EDUARDO CURY DE ASSIS</w:t>
      </w:r>
      <w:r w:rsidRPr="00DE17AA">
        <w:rPr>
          <w:rFonts w:ascii="Segoe UI" w:hAnsi="Segoe UI" w:cs="Segoe UI"/>
        </w:rPr>
        <w:t>, liberando-lhe o saldo remanescente, com a devida atualização;</w:t>
      </w:r>
    </w:p>
    <w:p w:rsidR="00DE17AA" w:rsidRPr="00DE17AA" w:rsidRDefault="00DE17AA" w:rsidP="00DE17AA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Fonts w:ascii="Segoe UI" w:hAnsi="Segoe UI" w:cs="Segoe UI"/>
        </w:rPr>
        <w:t>que</w:t>
      </w:r>
      <w:proofErr w:type="gramEnd"/>
      <w:r w:rsidRPr="00DE17AA">
        <w:rPr>
          <w:rFonts w:ascii="Segoe UI" w:hAnsi="Segoe UI" w:cs="Segoe UI"/>
        </w:rPr>
        <w:t xml:space="preserve"> seja </w:t>
      </w:r>
      <w:r w:rsidRPr="00DE17AA">
        <w:rPr>
          <w:rStyle w:val="Forte"/>
          <w:rFonts w:ascii="Segoe UI" w:hAnsi="Segoe UI" w:cs="Segoe UI"/>
        </w:rPr>
        <w:t>indeferida qualquer tentativa de manutenção da retenção</w:t>
      </w:r>
      <w:r w:rsidRPr="00DE17AA">
        <w:rPr>
          <w:rFonts w:ascii="Segoe UI" w:hAnsi="Segoe UI" w:cs="Segoe UI"/>
        </w:rPr>
        <w:t>, por ausência de fundamento jurídico que justifique constrição além dos limites do título executivo;</w:t>
      </w:r>
    </w:p>
    <w:p w:rsidR="00DE17AA" w:rsidRPr="00DE17AA" w:rsidRDefault="00DE17AA" w:rsidP="00DE17AA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Segoe UI" w:hAnsi="Segoe UI" w:cs="Segoe UI"/>
        </w:rPr>
      </w:pPr>
      <w:proofErr w:type="gramStart"/>
      <w:r w:rsidRPr="00DE17AA">
        <w:rPr>
          <w:rStyle w:val="Forte"/>
          <w:rFonts w:ascii="Segoe UI" w:hAnsi="Segoe UI" w:cs="Segoe UI"/>
        </w:rPr>
        <w:t>subsidiariamente</w:t>
      </w:r>
      <w:proofErr w:type="gramEnd"/>
      <w:r w:rsidRPr="00DE17AA">
        <w:rPr>
          <w:rFonts w:ascii="Segoe UI" w:hAnsi="Segoe UI" w:cs="Segoe UI"/>
        </w:rPr>
        <w:t xml:space="preserve">, caso haja qualquer apreciação sobre eventual retenção parcial, que seja preservado e imediatamente liberado ao executado </w:t>
      </w:r>
      <w:r w:rsidRPr="00DE17AA">
        <w:rPr>
          <w:rStyle w:val="Forte"/>
          <w:rFonts w:ascii="Segoe UI" w:hAnsi="Segoe UI" w:cs="Segoe UI"/>
        </w:rPr>
        <w:t>o montante correspondente a 40 salários mínimos</w:t>
      </w:r>
      <w:r w:rsidRPr="00DE17AA">
        <w:rPr>
          <w:rFonts w:ascii="Segoe UI" w:hAnsi="Segoe UI" w:cs="Segoe UI"/>
        </w:rPr>
        <w:t>, por impenhorabilidade legal.</w:t>
      </w:r>
    </w:p>
    <w:p w:rsid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>Termos em que,</w:t>
      </w:r>
    </w:p>
    <w:p w:rsidR="00DE17AA" w:rsidRP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</w:rPr>
      </w:pPr>
      <w:r w:rsidRPr="00DE17AA">
        <w:rPr>
          <w:rFonts w:ascii="Segoe UI" w:hAnsi="Segoe UI" w:cs="Segoe UI"/>
        </w:rPr>
        <w:t>Pede deferimento.</w:t>
      </w:r>
    </w:p>
    <w:p w:rsid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Salvador/BA, 21 de novembro de 2025.</w:t>
      </w:r>
    </w:p>
    <w:p w:rsidR="00DE17AA" w:rsidRP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</w:rPr>
      </w:pPr>
    </w:p>
    <w:p w:rsidR="00872DDE" w:rsidRP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  <w:b/>
        </w:rPr>
      </w:pPr>
      <w:r w:rsidRPr="00DE17AA">
        <w:rPr>
          <w:rFonts w:ascii="Segoe UI" w:hAnsi="Segoe UI" w:cs="Segoe UI"/>
          <w:b/>
        </w:rPr>
        <w:t>HENRIQUE LEONEL</w:t>
      </w:r>
    </w:p>
    <w:p w:rsid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  <w:b/>
        </w:rPr>
      </w:pPr>
      <w:r w:rsidRPr="00DE17AA">
        <w:rPr>
          <w:rFonts w:ascii="Segoe UI" w:hAnsi="Segoe UI" w:cs="Segoe UI"/>
          <w:b/>
        </w:rPr>
        <w:t>OAB/BA 60205</w:t>
      </w:r>
    </w:p>
    <w:p w:rsidR="00DE17AA" w:rsidRP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  <w:b/>
        </w:rPr>
      </w:pPr>
    </w:p>
    <w:p w:rsidR="00DE17AA" w:rsidRP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  <w:b/>
        </w:rPr>
      </w:pPr>
      <w:r w:rsidRPr="00DE17AA">
        <w:rPr>
          <w:rFonts w:ascii="Segoe UI" w:hAnsi="Segoe UI" w:cs="Segoe UI"/>
          <w:b/>
        </w:rPr>
        <w:t>RODRIGO DÓREA</w:t>
      </w:r>
    </w:p>
    <w:p w:rsidR="00DE17AA" w:rsidRPr="00DE17AA" w:rsidRDefault="00DE17AA" w:rsidP="00DE17AA">
      <w:pPr>
        <w:pStyle w:val="NormalWeb"/>
        <w:spacing w:line="360" w:lineRule="auto"/>
        <w:jc w:val="center"/>
        <w:rPr>
          <w:rFonts w:ascii="Segoe UI" w:hAnsi="Segoe UI" w:cs="Segoe UI"/>
          <w:b/>
        </w:rPr>
      </w:pPr>
      <w:r w:rsidRPr="00DE17AA">
        <w:rPr>
          <w:rFonts w:ascii="Segoe UI" w:hAnsi="Segoe UI" w:cs="Segoe UI"/>
          <w:b/>
        </w:rPr>
        <w:t>OAB/BA 88688</w:t>
      </w:r>
    </w:p>
    <w:sectPr w:rsidR="00DE17AA" w:rsidRPr="00DE17AA" w:rsidSect="00E473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4D1" w:rsidRDefault="00DD04D1" w:rsidP="00EF57C5">
      <w:pPr>
        <w:spacing w:after="0" w:line="240" w:lineRule="auto"/>
      </w:pPr>
      <w:r>
        <w:separator/>
      </w:r>
    </w:p>
  </w:endnote>
  <w:endnote w:type="continuationSeparator" w:id="0">
    <w:p w:rsidR="00DD04D1" w:rsidRDefault="00DD04D1" w:rsidP="00EF5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Rodap"/>
    </w:pPr>
    <w:r w:rsidRPr="0083568A"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764AE388" wp14:editId="3207D11E">
          <wp:simplePos x="0" y="0"/>
          <wp:positionH relativeFrom="column">
            <wp:posOffset>-1082040</wp:posOffset>
          </wp:positionH>
          <wp:positionV relativeFrom="paragraph">
            <wp:posOffset>-161925</wp:posOffset>
          </wp:positionV>
          <wp:extent cx="7532763" cy="936000"/>
          <wp:effectExtent l="0" t="0" r="0" b="0"/>
          <wp:wrapNone/>
          <wp:docPr id="30" name="Imagem 4" descr="C:\Users\Netools\Desktop\Netools\2020\Henrique Leonel\Papelaria\rodap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etools\Desktop\Netools\2020\Henrique Leonel\Papelaria\rodap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2763" cy="9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4D1" w:rsidRDefault="00DD04D1" w:rsidP="00EF57C5">
      <w:pPr>
        <w:spacing w:after="0" w:line="240" w:lineRule="auto"/>
      </w:pPr>
      <w:r>
        <w:separator/>
      </w:r>
    </w:p>
  </w:footnote>
  <w:footnote w:type="continuationSeparator" w:id="0">
    <w:p w:rsidR="00DD04D1" w:rsidRDefault="00DD04D1" w:rsidP="00EF5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Cabealho"/>
    </w:pPr>
    <w:r>
      <w:rPr>
        <w:noProof/>
        <w:color w:val="404040"/>
        <w:lang w:eastAsia="pt-BR"/>
      </w:rPr>
      <w:drawing>
        <wp:anchor distT="0" distB="0" distL="114300" distR="114300" simplePos="0" relativeHeight="251659264" behindDoc="0" locked="0" layoutInCell="1" allowOverlap="1" wp14:anchorId="14773FF1" wp14:editId="3DDCC436">
          <wp:simplePos x="0" y="0"/>
          <wp:positionH relativeFrom="column">
            <wp:posOffset>-1080135</wp:posOffset>
          </wp:positionH>
          <wp:positionV relativeFrom="paragraph">
            <wp:posOffset>-126365</wp:posOffset>
          </wp:positionV>
          <wp:extent cx="7524750" cy="1152525"/>
          <wp:effectExtent l="0" t="0" r="0" b="9525"/>
          <wp:wrapSquare wrapText="bothSides"/>
          <wp:docPr id="29" name="Imagem 29" descr="C:\Users\Netools\Desktop\Netools\2020\Henrique Leonel\Papelaria\cabecalh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:\Users\Netools\Desktop\Netools\2020\Henrique Leonel\Papelaria\cabecalh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1152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45AA"/>
    <w:multiLevelType w:val="hybridMultilevel"/>
    <w:tmpl w:val="86502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303A"/>
    <w:multiLevelType w:val="multilevel"/>
    <w:tmpl w:val="CBFE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708B"/>
    <w:multiLevelType w:val="hybridMultilevel"/>
    <w:tmpl w:val="B3705EF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0C6A67EF"/>
    <w:multiLevelType w:val="multilevel"/>
    <w:tmpl w:val="26DE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67ED2"/>
    <w:multiLevelType w:val="hybridMultilevel"/>
    <w:tmpl w:val="0776A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35351"/>
    <w:multiLevelType w:val="hybridMultilevel"/>
    <w:tmpl w:val="3D822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C6543"/>
    <w:multiLevelType w:val="hybridMultilevel"/>
    <w:tmpl w:val="26AAD48A"/>
    <w:lvl w:ilvl="0" w:tplc="921835C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E381D"/>
    <w:multiLevelType w:val="hybridMultilevel"/>
    <w:tmpl w:val="81F65304"/>
    <w:lvl w:ilvl="0" w:tplc="4CBC48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949D5"/>
    <w:multiLevelType w:val="multilevel"/>
    <w:tmpl w:val="552C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B7604"/>
    <w:multiLevelType w:val="hybridMultilevel"/>
    <w:tmpl w:val="1EA88D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1655B"/>
    <w:multiLevelType w:val="hybridMultilevel"/>
    <w:tmpl w:val="52340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5D19"/>
    <w:multiLevelType w:val="multilevel"/>
    <w:tmpl w:val="B374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14D07"/>
    <w:multiLevelType w:val="hybridMultilevel"/>
    <w:tmpl w:val="F474CC4C"/>
    <w:lvl w:ilvl="0" w:tplc="CE84126E">
      <w:start w:val="1"/>
      <w:numFmt w:val="decimalZero"/>
      <w:lvlText w:val="%1."/>
      <w:lvlJc w:val="left"/>
      <w:pPr>
        <w:ind w:left="1584" w:hanging="45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42A4F28"/>
    <w:multiLevelType w:val="hybridMultilevel"/>
    <w:tmpl w:val="34224BC2"/>
    <w:lvl w:ilvl="0" w:tplc="E7EA8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45CEB"/>
    <w:multiLevelType w:val="multilevel"/>
    <w:tmpl w:val="E45E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21AC2"/>
    <w:multiLevelType w:val="hybridMultilevel"/>
    <w:tmpl w:val="C35660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2F40"/>
    <w:multiLevelType w:val="multilevel"/>
    <w:tmpl w:val="D462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45544"/>
    <w:multiLevelType w:val="multilevel"/>
    <w:tmpl w:val="AFFA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C2D45"/>
    <w:multiLevelType w:val="multilevel"/>
    <w:tmpl w:val="DDF2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C0E9B"/>
    <w:multiLevelType w:val="hybridMultilevel"/>
    <w:tmpl w:val="6D26E86A"/>
    <w:lvl w:ilvl="0" w:tplc="FF980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75041"/>
    <w:multiLevelType w:val="multilevel"/>
    <w:tmpl w:val="2C7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62408"/>
    <w:multiLevelType w:val="multilevel"/>
    <w:tmpl w:val="F508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70F63"/>
    <w:multiLevelType w:val="hybridMultilevel"/>
    <w:tmpl w:val="003EB66E"/>
    <w:lvl w:ilvl="0" w:tplc="DE982A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6F6EEF"/>
    <w:multiLevelType w:val="hybridMultilevel"/>
    <w:tmpl w:val="42F65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DA7BD6"/>
    <w:multiLevelType w:val="hybridMultilevel"/>
    <w:tmpl w:val="4AE0D6EE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7CFE643E"/>
    <w:multiLevelType w:val="hybridMultilevel"/>
    <w:tmpl w:val="F8CE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34A1A"/>
    <w:multiLevelType w:val="hybridMultilevel"/>
    <w:tmpl w:val="F930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2"/>
  </w:num>
  <w:num w:numId="3">
    <w:abstractNumId w:val="19"/>
  </w:num>
  <w:num w:numId="4">
    <w:abstractNumId w:val="9"/>
  </w:num>
  <w:num w:numId="5">
    <w:abstractNumId w:val="4"/>
  </w:num>
  <w:num w:numId="6">
    <w:abstractNumId w:val="7"/>
  </w:num>
  <w:num w:numId="7">
    <w:abstractNumId w:val="24"/>
  </w:num>
  <w:num w:numId="8">
    <w:abstractNumId w:val="2"/>
  </w:num>
  <w:num w:numId="9">
    <w:abstractNumId w:val="12"/>
  </w:num>
  <w:num w:numId="10">
    <w:abstractNumId w:val="15"/>
  </w:num>
  <w:num w:numId="11">
    <w:abstractNumId w:val="3"/>
  </w:num>
  <w:num w:numId="12">
    <w:abstractNumId w:val="1"/>
  </w:num>
  <w:num w:numId="13">
    <w:abstractNumId w:val="11"/>
  </w:num>
  <w:num w:numId="14">
    <w:abstractNumId w:val="14"/>
  </w:num>
  <w:num w:numId="15">
    <w:abstractNumId w:val="20"/>
  </w:num>
  <w:num w:numId="16">
    <w:abstractNumId w:val="16"/>
  </w:num>
  <w:num w:numId="17">
    <w:abstractNumId w:val="8"/>
  </w:num>
  <w:num w:numId="18">
    <w:abstractNumId w:val="13"/>
  </w:num>
  <w:num w:numId="19">
    <w:abstractNumId w:val="26"/>
  </w:num>
  <w:num w:numId="20">
    <w:abstractNumId w:val="6"/>
  </w:num>
  <w:num w:numId="21">
    <w:abstractNumId w:val="17"/>
  </w:num>
  <w:num w:numId="22">
    <w:abstractNumId w:val="25"/>
  </w:num>
  <w:num w:numId="23">
    <w:abstractNumId w:val="0"/>
  </w:num>
  <w:num w:numId="24">
    <w:abstractNumId w:val="23"/>
  </w:num>
  <w:num w:numId="25">
    <w:abstractNumId w:val="21"/>
  </w:num>
  <w:num w:numId="26">
    <w:abstractNumId w:val="18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C5"/>
    <w:rsid w:val="00002F08"/>
    <w:rsid w:val="000055EE"/>
    <w:rsid w:val="000961EF"/>
    <w:rsid w:val="000A6FA8"/>
    <w:rsid w:val="000C3978"/>
    <w:rsid w:val="00107058"/>
    <w:rsid w:val="00176AFB"/>
    <w:rsid w:val="001C594F"/>
    <w:rsid w:val="00216FB8"/>
    <w:rsid w:val="00244920"/>
    <w:rsid w:val="00273B28"/>
    <w:rsid w:val="003A1081"/>
    <w:rsid w:val="003B7D77"/>
    <w:rsid w:val="003F4F66"/>
    <w:rsid w:val="003F756B"/>
    <w:rsid w:val="00404A69"/>
    <w:rsid w:val="00471DA7"/>
    <w:rsid w:val="00492A9C"/>
    <w:rsid w:val="004B4825"/>
    <w:rsid w:val="004D4F43"/>
    <w:rsid w:val="004F2E8E"/>
    <w:rsid w:val="005164F9"/>
    <w:rsid w:val="005179FA"/>
    <w:rsid w:val="00552409"/>
    <w:rsid w:val="00575C03"/>
    <w:rsid w:val="005846DF"/>
    <w:rsid w:val="005C2E62"/>
    <w:rsid w:val="005F6F61"/>
    <w:rsid w:val="006039DA"/>
    <w:rsid w:val="00615D6E"/>
    <w:rsid w:val="0064436E"/>
    <w:rsid w:val="006515D4"/>
    <w:rsid w:val="00656506"/>
    <w:rsid w:val="006C102F"/>
    <w:rsid w:val="006D3D10"/>
    <w:rsid w:val="0070666B"/>
    <w:rsid w:val="00743C52"/>
    <w:rsid w:val="00757B2E"/>
    <w:rsid w:val="007751C5"/>
    <w:rsid w:val="007A6A11"/>
    <w:rsid w:val="008621AF"/>
    <w:rsid w:val="00867411"/>
    <w:rsid w:val="00872DDE"/>
    <w:rsid w:val="00887BCE"/>
    <w:rsid w:val="00892F28"/>
    <w:rsid w:val="009409D9"/>
    <w:rsid w:val="009524DB"/>
    <w:rsid w:val="009601EA"/>
    <w:rsid w:val="009D42F7"/>
    <w:rsid w:val="009D6258"/>
    <w:rsid w:val="009F2FA5"/>
    <w:rsid w:val="009F5B9F"/>
    <w:rsid w:val="009F735F"/>
    <w:rsid w:val="00A05A16"/>
    <w:rsid w:val="00A20ECE"/>
    <w:rsid w:val="00A3647A"/>
    <w:rsid w:val="00A869A2"/>
    <w:rsid w:val="00AB649A"/>
    <w:rsid w:val="00AC09C1"/>
    <w:rsid w:val="00AE39E8"/>
    <w:rsid w:val="00AF6B8D"/>
    <w:rsid w:val="00B22929"/>
    <w:rsid w:val="00B962D3"/>
    <w:rsid w:val="00B971B9"/>
    <w:rsid w:val="00BA0D3C"/>
    <w:rsid w:val="00C558B0"/>
    <w:rsid w:val="00C86720"/>
    <w:rsid w:val="00CD705E"/>
    <w:rsid w:val="00D3626F"/>
    <w:rsid w:val="00D407A0"/>
    <w:rsid w:val="00D82ECE"/>
    <w:rsid w:val="00DA0773"/>
    <w:rsid w:val="00DD04D1"/>
    <w:rsid w:val="00DD36D5"/>
    <w:rsid w:val="00DE17AA"/>
    <w:rsid w:val="00E05F61"/>
    <w:rsid w:val="00E40BFD"/>
    <w:rsid w:val="00E473D3"/>
    <w:rsid w:val="00E75B8A"/>
    <w:rsid w:val="00E966A0"/>
    <w:rsid w:val="00E9740F"/>
    <w:rsid w:val="00EA0D0B"/>
    <w:rsid w:val="00ED2081"/>
    <w:rsid w:val="00ED7DCD"/>
    <w:rsid w:val="00EF57C5"/>
    <w:rsid w:val="00F0016B"/>
    <w:rsid w:val="00F7068B"/>
    <w:rsid w:val="00F77DD5"/>
    <w:rsid w:val="00FC7697"/>
    <w:rsid w:val="00FF5067"/>
    <w:rsid w:val="00FF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3B821E"/>
  <w15:chartTrackingRefBased/>
  <w15:docId w15:val="{2E372910-D7FC-49A9-A4D4-7DD7D54A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240" w:after="100" w:afterAutospacing="1"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0" w:after="200" w:line="276" w:lineRule="auto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743C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F77DD5"/>
    <w:pPr>
      <w:spacing w:before="100" w:beforeAutospacing="1" w:after="100" w:line="240" w:lineRule="auto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2D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5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57C5"/>
  </w:style>
  <w:style w:type="paragraph" w:styleId="Rodap">
    <w:name w:val="footer"/>
    <w:basedOn w:val="Normal"/>
    <w:link w:val="RodapChar"/>
    <w:uiPriority w:val="99"/>
    <w:unhideWhenUsed/>
    <w:rsid w:val="00EF5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57C5"/>
  </w:style>
  <w:style w:type="paragraph" w:styleId="PargrafodaLista">
    <w:name w:val="List Paragraph"/>
    <w:basedOn w:val="Normal"/>
    <w:uiPriority w:val="34"/>
    <w:qFormat/>
    <w:rsid w:val="000055E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F5067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F5067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515D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15D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515D4"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rsid w:val="00F77D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77DD5"/>
    <w:pPr>
      <w:spacing w:before="100" w:beforeAutospacing="1" w:after="100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5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5B8A"/>
    <w:rPr>
      <w:rFonts w:ascii="Segoe UI" w:hAnsi="Segoe UI" w:cs="Segoe UI"/>
      <w:sz w:val="18"/>
      <w:szCs w:val="1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2D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1Char">
    <w:name w:val="Título 1 Char"/>
    <w:basedOn w:val="Fontepargpadro"/>
    <w:link w:val="Ttulo1"/>
    <w:uiPriority w:val="9"/>
    <w:rsid w:val="00743C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C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743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1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34B71-2263-43E0-AFE3-3A182EA84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5</Pages>
  <Words>753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Dórea</dc:creator>
  <cp:keywords/>
  <dc:description/>
  <cp:lastModifiedBy>Dórea</cp:lastModifiedBy>
  <cp:revision>20</cp:revision>
  <cp:lastPrinted>2025-11-21T15:40:00Z</cp:lastPrinted>
  <dcterms:created xsi:type="dcterms:W3CDTF">2023-10-26T19:16:00Z</dcterms:created>
  <dcterms:modified xsi:type="dcterms:W3CDTF">2025-11-21T19:31:00Z</dcterms:modified>
</cp:coreProperties>
</file>