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after="320"/>
        <w:jc w:val="center"/>
        <w:widowControl/>
      </w:pPr>
      <w:r>
        <w:t>BRIEF ESTRATÉGICO DE MARCA</w:t>
      </w:r>
    </w:p>
    <w:p>
      <w:pPr>
        <w:spacing w:after="48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623560" cy="1486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ez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8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  <w:widowControl/>
      </w:pPr>
      <w:r>
        <w:rPr>
          <w:sz w:val="54"/>
        </w:rPr>
        <w:t>SALA GOEZ</w:t>
      </w:r>
    </w:p>
    <w:p>
      <w:pPr>
        <w:spacing w:after="440"/>
        <w:jc w:val="center"/>
        <w:widowControl/>
      </w:pPr>
      <w:r>
        <w:rPr>
          <w:sz w:val="26"/>
        </w:rPr>
        <w:t>Formación, e-commerce y dropshipping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b/>
                <w:color w:val="555555"/>
                <w:sz w:val="16"/>
              </w:rPr>
              <w:t>IDEA CENTRAL</w:t>
              <w:br/>
            </w:r>
            <w:r>
              <w:rPr>
                <w:b/>
                <w:sz w:val="26"/>
              </w:rPr>
              <w:t>No es solo un curso. Es un entorno de ejecución acompañado durante cinco meses.</w:t>
            </w:r>
          </w:p>
        </w:tc>
      </w:tr>
    </w:tbl>
    <w:p>
      <w:pPr>
        <w:spacing w:after="0"/>
        <w:widowControl/>
      </w:pPr>
    </w:p>
    <w:p>
      <w:pPr>
        <w:spacing w:after="0"/>
        <w:jc w:val="center"/>
        <w:widowControl/>
      </w:pPr>
      <w:r>
        <w:rPr>
          <w:color w:val="555555"/>
        </w:rPr>
        <w:t>Versión 1.0  ·  Septiembre de 2026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Esencia de marca</w:t>
      </w:r>
    </w:p>
    <w:p>
      <w:pPr>
        <w:widowControl/>
      </w:pPr>
      <w:r>
        <w:t>Sala GOEZ es una formación práctica de e-commerce y dropshipping diseñada para ayudar al alumno a pasar de la información a la ejecución. Su propuesta combina aprendizaje online, mentoría activa, comunidad, llamadas semanales y acceso directo a una red de suministro real en China.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b/>
                <w:color w:val="555555"/>
                <w:sz w:val="16"/>
              </w:rPr>
              <w:t>DEFINICIÓN CORTA</w:t>
              <w:br/>
            </w:r>
            <w:r>
              <w:rPr>
                <w:b/>
                <w:sz w:val="26"/>
              </w:rPr>
              <w:t>Un sistema de cinco meses para aprender, construir y avanzar acompañado en e-commerce.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Propósito</w:t>
      </w:r>
    </w:p>
    <w:p>
      <w:pPr>
        <w:widowControl/>
      </w:pPr>
      <w:r>
        <w:t>Acortar la distancia entre querer crear un negocio online y saber cómo ponerlo en marcha con criterio, acompañamiento y conexiones reales.</w:t>
      </w:r>
    </w:p>
    <w:p>
      <w:pPr>
        <w:pStyle w:val="Heading2"/>
        <w:widowControl/>
      </w:pPr>
      <w:r>
        <w:t>Visión</w:t>
      </w:r>
    </w:p>
    <w:p>
      <w:pPr>
        <w:widowControl/>
      </w:pPr>
      <w:r>
        <w:t>Convertirse en una referencia de formación práctica en e-commerce en habla hispana, reconocida por la cercanía, la transparencia y la capacidad de hacer que el alumno actúe.</w:t>
      </w:r>
    </w:p>
    <w:p>
      <w:pPr>
        <w:pStyle w:val="Heading2"/>
        <w:widowControl/>
      </w:pPr>
      <w:r>
        <w:t>Misión</w:t>
      </w:r>
    </w:p>
    <w:p>
      <w:pPr>
        <w:widowControl/>
      </w:pPr>
      <w:r>
        <w:t>Acompañar a cada alumno durante cinco meses con una hoja de ruta clara, soporte cercano, formación accionable y acceso a recursos que normalmente requieren tiempo y experiencia para conseguirse.</w:t>
      </w:r>
    </w:p>
    <w:p>
      <w:pPr>
        <w:pStyle w:val="Heading2"/>
        <w:widowControl/>
      </w:pPr>
      <w:r>
        <w:t>Promesa de marca</w:t>
      </w:r>
    </w:p>
    <w:p>
      <w:pPr>
        <w:widowControl/>
      </w:pPr>
      <w:r>
        <w:t>No te dejamos solo con vídeos. Te acompañamos mientras construyes.</w:t>
      </w:r>
    </w:p>
    <w:p>
      <w:pPr>
        <w:pStyle w:val="Heading1"/>
        <w:widowControl/>
      </w:pPr>
      <w:r>
        <w:t>2. Posicionamiento</w:t>
      </w:r>
    </w:p>
    <w:p>
      <w:pPr>
        <w:widowControl/>
      </w:pPr>
      <w:r>
        <w:t>Sala GOEZ debe ocupar un espacio propio: formación premium y práctica para personas que quieren emprender en e-commerce sin recorrer el camino a ciegas.</w:t>
      </w:r>
    </w:p>
    <w:p>
      <w:pPr>
        <w:pStyle w:val="ListBullet"/>
        <w:spacing w:after="80"/>
        <w:ind w:left="403" w:hanging="259"/>
        <w:widowControl/>
      </w:pPr>
      <w:r>
        <w:t>Categoría: formación y mentoría de e-commerce y dropshipping.</w:t>
      </w:r>
    </w:p>
    <w:p>
      <w:pPr>
        <w:pStyle w:val="ListBullet"/>
        <w:spacing w:after="80"/>
        <w:ind w:left="403" w:hanging="259"/>
        <w:widowControl/>
      </w:pPr>
      <w:r>
        <w:t>Territorio: ejecución acompañada, acceso, método y comunidad.</w:t>
      </w:r>
    </w:p>
    <w:p>
      <w:pPr>
        <w:pStyle w:val="ListBullet"/>
        <w:spacing w:after="80"/>
        <w:ind w:left="403" w:hanging="259"/>
        <w:widowControl/>
      </w:pPr>
      <w:r>
        <w:t>Percepción deseada: profesional, cercana, actual, honesta y orientada a la acción.</w:t>
      </w:r>
    </w:p>
    <w:p>
      <w:pPr>
        <w:pStyle w:val="ListBullet"/>
        <w:spacing w:after="80"/>
        <w:ind w:left="403" w:hanging="259"/>
        <w:widowControl/>
      </w:pPr>
      <w:r>
        <w:t>Enemigo de marca: promesas irreales, ostentación vacía y contenido genérico sin seguimiento.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3. Propuesta de valor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b/>
                <w:color w:val="555555"/>
                <w:sz w:val="16"/>
              </w:rPr>
              <w:t>PROPUESTA PRINCIPAL</w:t>
              <w:br/>
            </w:r>
            <w:r>
              <w:rPr>
                <w:b/>
                <w:sz w:val="26"/>
              </w:rPr>
              <w:t>Cinco meses de formación y acompañamiento para crear y desarrollar un proyecto de e-commerce con método, comunidad y acceso directo a proveedor.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Los seis pilares de la experiencia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750"/>
        <w:gridCol w:w="6610"/>
      </w:tblGrid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11111"/>
          </w:tcPr>
          <w:p>
            <w:r>
              <w:rPr>
                <w:b/>
                <w:color w:val="FFFFFF"/>
              </w:rPr>
              <w:t>Pilar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111111"/>
          </w:tcPr>
          <w:p>
            <w:r>
              <w:rPr>
                <w:b/>
                <w:color w:val="FFFFFF"/>
              </w:rPr>
              <w:t>Valor para el alumno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Mentoría activa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Acompañamiento durante cinco meses para resolver bloqueos, revisar decisiones y mantener el avance.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Formación online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Contenido estructurado y disponible por internet para aprender el método y consultarlo durante el proceso.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Llamadas semanales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Sesiones recurrentes para resolver dudas, profundizar en la estrategia y mantener el foco.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Grupos privados de WhatsApp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Soporte, comunidad y comunicación cercana durante los cinco meses de acceso.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Estrategia propia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Una metodología diferenciada, basada en experiencia práctica y enfocada en la ejecución.</w:t>
            </w:r>
          </w:p>
        </w:tc>
      </w:tr>
      <w:tr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Acceso directo a proveedor</w:t>
            </w:r>
          </w:p>
        </w:tc>
        <w:tc>
          <w:tcPr>
            <w:tcW w:type="dxa" w:w="6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Conexión con el proveedor personal de GOEZ, vinculado a distintas fábricas en China.</w:t>
            </w:r>
          </w:p>
        </w:tc>
      </w:tr>
    </w:tbl>
    <w:p>
      <w:pPr>
        <w:pStyle w:val="Heading2"/>
        <w:widowControl/>
      </w:pPr>
      <w:r>
        <w:t>Diferencial principal</w:t>
      </w:r>
    </w:p>
    <w:p>
      <w:pPr>
        <w:widowControl/>
      </w:pPr>
      <w:r>
        <w:t>GOEZ no entrega únicamente información. Integra conocimientos, seguimiento, comunidad y acceso a contactos operativos dentro de una experiencia de cinco meses.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Público objetivo</w:t>
      </w:r>
    </w:p>
    <w:p>
      <w:pPr>
        <w:pStyle w:val="Heading2"/>
        <w:widowControl/>
      </w:pPr>
      <w:r>
        <w:t>Perfil principal</w:t>
      </w:r>
    </w:p>
    <w:p>
      <w:pPr>
        <w:widowControl/>
      </w:pPr>
      <w:r>
        <w:t>Personas de habla hispana con mentalidad emprendedora que quieren iniciar o profesionalizar un proyecto de e-commerce, pero necesitan estructura, acompañamiento y un camino más claro para ejecutar.</w:t>
      </w:r>
    </w:p>
    <w:p>
      <w:pPr>
        <w:pStyle w:val="Heading2"/>
        <w:widowControl/>
      </w:pPr>
      <w:r>
        <w:t>Situación habitual</w:t>
      </w:r>
    </w:p>
    <w:p>
      <w:pPr>
        <w:pStyle w:val="ListBullet"/>
        <w:spacing w:after="80"/>
        <w:ind w:left="403" w:hanging="259"/>
        <w:widowControl/>
      </w:pPr>
      <w:r>
        <w:t>Han consumido información gratuita, pero no saben ordenar los pasos.</w:t>
      </w:r>
    </w:p>
    <w:p>
      <w:pPr>
        <w:pStyle w:val="ListBullet"/>
        <w:spacing w:after="80"/>
        <w:ind w:left="403" w:hanging="259"/>
        <w:widowControl/>
      </w:pPr>
      <w:r>
        <w:t>Tienen miedo de elegir mal el producto, el proveedor o la estrategia.</w:t>
      </w:r>
    </w:p>
    <w:p>
      <w:pPr>
        <w:pStyle w:val="ListBullet"/>
        <w:spacing w:after="80"/>
        <w:ind w:left="403" w:hanging="259"/>
        <w:widowControl/>
      </w:pPr>
      <w:r>
        <w:t>Valoran tener a alguien a quien preguntar cuando aparece un bloqueo.</w:t>
      </w:r>
    </w:p>
    <w:p>
      <w:pPr>
        <w:pStyle w:val="ListBullet"/>
        <w:spacing w:after="80"/>
        <w:ind w:left="403" w:hanging="259"/>
        <w:widowControl/>
      </w:pPr>
      <w:r>
        <w:t>Buscan un modelo de negocio digital, pero desconfían de las promesas de dinero fácil.</w:t>
      </w:r>
    </w:p>
    <w:p>
      <w:pPr>
        <w:pStyle w:val="ListBullet"/>
        <w:spacing w:after="80"/>
        <w:ind w:left="403" w:hanging="259"/>
        <w:widowControl/>
      </w:pPr>
      <w:r>
        <w:t>Quieren avanzar con una comunidad de personas en una situación similar.</w:t>
      </w:r>
    </w:p>
    <w:p>
      <w:pPr>
        <w:pStyle w:val="Heading2"/>
        <w:widowControl/>
      </w:pPr>
      <w:r>
        <w:t>Deseos</w:t>
      </w:r>
    </w:p>
    <w:p>
      <w:pPr>
        <w:pStyle w:val="ListBullet"/>
        <w:spacing w:after="80"/>
        <w:ind w:left="403" w:hanging="259"/>
        <w:widowControl/>
      </w:pPr>
      <w:r>
        <w:t>Lanzar una tienda con una estrategia coherente.</w:t>
      </w:r>
    </w:p>
    <w:p>
      <w:pPr>
        <w:pStyle w:val="ListBullet"/>
        <w:spacing w:after="80"/>
        <w:ind w:left="403" w:hanging="259"/>
        <w:widowControl/>
      </w:pPr>
      <w:r>
        <w:t>Aprender una habilidad digital aplicable a un negocio real.</w:t>
      </w:r>
    </w:p>
    <w:p>
      <w:pPr>
        <w:pStyle w:val="ListBullet"/>
        <w:spacing w:after="80"/>
        <w:ind w:left="403" w:hanging="259"/>
        <w:widowControl/>
      </w:pPr>
      <w:r>
        <w:t>Ahorrar errores evitables y ganar claridad en la toma de decisiones.</w:t>
      </w:r>
    </w:p>
    <w:p>
      <w:pPr>
        <w:pStyle w:val="ListBullet"/>
        <w:spacing w:after="80"/>
        <w:ind w:left="403" w:hanging="259"/>
        <w:widowControl/>
      </w:pPr>
      <w:r>
        <w:t>Sentir que no están emprendiendo solos.</w:t>
      </w:r>
    </w:p>
    <w:p>
      <w:pPr>
        <w:pStyle w:val="Heading2"/>
        <w:widowControl/>
      </w:pPr>
      <w:r>
        <w:t>Objeciones que la marca debe responder</w:t>
      </w:r>
    </w:p>
    <w:p>
      <w:pPr>
        <w:pStyle w:val="ListBullet"/>
        <w:spacing w:after="80"/>
        <w:ind w:left="403" w:hanging="259"/>
        <w:widowControl/>
      </w:pPr>
      <w:r>
        <w:t>“¿Es otro curso grabado que terminaré abandonando?”</w:t>
      </w:r>
    </w:p>
    <w:p>
      <w:pPr>
        <w:pStyle w:val="ListBullet"/>
        <w:spacing w:after="80"/>
        <w:ind w:left="403" w:hanging="259"/>
        <w:widowControl/>
      </w:pPr>
      <w:r>
        <w:t>“¿Tendré ayuda cuando me atasque?”</w:t>
      </w:r>
    </w:p>
    <w:p>
      <w:pPr>
        <w:pStyle w:val="ListBullet"/>
        <w:spacing w:after="80"/>
        <w:ind w:left="403" w:hanging="259"/>
        <w:widowControl/>
      </w:pPr>
      <w:r>
        <w:t>“¿El acceso al proveedor es real y útil?”</w:t>
      </w:r>
    </w:p>
    <w:p>
      <w:pPr>
        <w:pStyle w:val="ListBullet"/>
        <w:spacing w:after="80"/>
        <w:ind w:left="403" w:hanging="259"/>
        <w:widowControl/>
      </w:pPr>
      <w:r>
        <w:t>“¿Necesito experiencia previa o una gran inversión?”</w:t>
      </w:r>
    </w:p>
    <w:p>
      <w:pPr>
        <w:pStyle w:val="ListBullet"/>
        <w:spacing w:after="80"/>
        <w:ind w:left="403" w:hanging="259"/>
        <w:widowControl/>
      </w:pPr>
      <w:r>
        <w:t>“¿Qué ocurre después de los cinco meses?”</w:t>
      </w:r>
    </w:p>
    <w:p>
      <w:pPr>
        <w:widowControl/>
      </w:pPr>
      <w:r>
        <w:t>Estas objeciones deben resolverse con información concreta, demostraciones del proceso, testimonios verificables y límites claros; nunca con exageraciones.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5. Personalidad de marca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Cercana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Habla de tú a tú y acompaña sin superioridad.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Directa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Explica con claridad qué hay que hacer y qué se puede esperar.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Ambiciosa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Invita a construir algo serio y a pensar en crecimiento.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Práctica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Prioriza decisiones, herramientas y acciones frente a teoría vacía.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Transparente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No promete resultados garantizados ni oculta el trabajo necesario.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Cuida la experiencia, los detalles y el valor del acceso ofrecido.</w:t>
            </w:r>
          </w:p>
        </w:tc>
      </w:tr>
    </w:tbl>
    <w:p>
      <w:pPr>
        <w:pStyle w:val="Heading2"/>
        <w:widowControl/>
      </w:pPr>
      <w:r>
        <w:t>Arquetipos</w:t>
      </w:r>
    </w:p>
    <w:p>
      <w:pPr>
        <w:widowControl/>
      </w:pPr>
      <w:r>
        <w:t>Principal — El Guía: aporta dirección, experiencia y acompañamiento. Secundario — El Creador: impulsa al alumno a construir un activo propio con visión y criterio.</w:t>
      </w:r>
    </w:p>
    <w:p>
      <w:pPr>
        <w:pStyle w:val="Heading2"/>
        <w:widowControl/>
      </w:pPr>
      <w:r>
        <w:t>La marca es / la marca no 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c>
          <w:tcPr>
            <w:tcW w:type="dxa" w:w="4680"/>
            <w:shd w:fill="1111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SÍ ES</w:t>
            </w:r>
          </w:p>
        </w:tc>
        <w:tc>
          <w:tcPr>
            <w:tcW w:type="dxa" w:w="4680"/>
            <w:shd w:fill="1111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NO ES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Ambición con los pies en la tierra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Dinero fácil o inmediato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Acompañamiento cercano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Lujo ostentoso como argumento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Método y ejecución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Promesas garantizadas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Acceso y comunidad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Jerga innecesaria</w:t>
            </w:r>
          </w:p>
        </w:tc>
      </w:tr>
      <w:tr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Imagen limpia y segura</w:t>
            </w:r>
          </w:p>
        </w:tc>
        <w:tc>
          <w:tcPr>
            <w:tcW w:type="dxa" w:w="46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Presión comercial agresiva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6. Tono de comunicación</w:t>
      </w:r>
    </w:p>
    <w:p>
      <w:pPr>
        <w:widowControl/>
      </w:pPr>
      <w:r>
        <w:t>El tono debe transmitir experiencia sin parecer distante. GOEZ habla como una persona que ya conoce el camino, explica con seguridad y se mantiene cerca durante la ejecución.</w:t>
      </w:r>
    </w:p>
    <w:p>
      <w:pPr>
        <w:pStyle w:val="Heading2"/>
        <w:widowControl/>
      </w:pPr>
      <w:r>
        <w:t>Principios verbales</w:t>
      </w:r>
    </w:p>
    <w:p>
      <w:pPr>
        <w:pStyle w:val="ListBullet"/>
        <w:spacing w:after="80"/>
        <w:ind w:left="403" w:hanging="259"/>
        <w:widowControl/>
      </w:pPr>
      <w:r>
        <w:t>Claro: frases simples, beneficios concretos y pasos comprensibles.</w:t>
      </w:r>
    </w:p>
    <w:p>
      <w:pPr>
        <w:pStyle w:val="ListBullet"/>
        <w:spacing w:after="80"/>
        <w:ind w:left="403" w:hanging="259"/>
        <w:widowControl/>
      </w:pPr>
      <w:r>
        <w:t>Cercano: segunda persona, lenguaje natural y conversación directa.</w:t>
      </w:r>
    </w:p>
    <w:p>
      <w:pPr>
        <w:pStyle w:val="ListBullet"/>
        <w:spacing w:after="80"/>
        <w:ind w:left="403" w:hanging="259"/>
        <w:widowControl/>
      </w:pPr>
      <w:r>
        <w:t>Honesto: se habla del esfuerzo, la inversión y el aprendizaje necesarios.</w:t>
      </w:r>
    </w:p>
    <w:p>
      <w:pPr>
        <w:pStyle w:val="ListBullet"/>
        <w:spacing w:after="80"/>
        <w:ind w:left="403" w:hanging="259"/>
        <w:widowControl/>
      </w:pPr>
      <w:r>
        <w:t>Accionable: cada pieza debe enseñar, orientar o impulsar una decisión.</w:t>
      </w:r>
    </w:p>
    <w:p>
      <w:pPr>
        <w:pStyle w:val="ListBullet"/>
        <w:spacing w:after="80"/>
        <w:ind w:left="403" w:hanging="259"/>
        <w:widowControl/>
      </w:pPr>
      <w:r>
        <w:t>Seguro: autoridad basada en método y experiencia, no en exageración.</w:t>
      </w:r>
    </w:p>
    <w:p>
      <w:pPr>
        <w:pStyle w:val="Heading2"/>
        <w:widowControl/>
      </w:pPr>
      <w:r>
        <w:t>Palabras y conceptos propios</w:t>
      </w:r>
    </w:p>
    <w:p>
      <w:pPr>
        <w:widowControl/>
      </w:pPr>
      <w:r>
        <w:t>Sistema · acompañamiento · cinco meses · ejecución · estrategia · proveedor · China · fábricas · comunidad · llamadas semanales · paso a paso · construir · avanzar · negocio online.</w:t>
      </w:r>
    </w:p>
    <w:p>
      <w:pPr>
        <w:pStyle w:val="Heading2"/>
        <w:widowControl/>
      </w:pPr>
      <w:r>
        <w:t>Expresiones a evitar</w:t>
      </w:r>
    </w:p>
    <w:p>
      <w:pPr>
        <w:widowControl/>
      </w:pPr>
      <w:r>
        <w:t>“Hazte rico”, “ingresos garantizados”, “sin esfuerzo”, “fórmula secreta”, “resultados asegurados”, “cualquiera gana dinero” y cualquier cifra de facturación sin contexto o prueba.</w:t>
      </w:r>
    </w:p>
    <w:p>
      <w:pPr>
        <w:pStyle w:val="Heading2"/>
        <w:widowControl/>
      </w:pPr>
      <w:r>
        <w:t>Ejemplo de voz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b/>
                <w:color w:val="555555"/>
                <w:sz w:val="16"/>
              </w:rPr>
              <w:t>MENSAJE DE MARCA</w:t>
              <w:br/>
            </w:r>
            <w:r>
              <w:rPr>
                <w:b/>
                <w:sz w:val="26"/>
              </w:rPr>
              <w:t>Tú pones la decisión de empezar. Nosotros ponemos el método, el acompañamiento y el entorno para que avances.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7. Mensajería clave</w:t>
      </w:r>
    </w:p>
    <w:p>
      <w:pPr>
        <w:widowControl/>
      </w:pPr>
      <w:r>
        <w:rPr>
          <w:b/>
        </w:rPr>
        <w:t xml:space="preserve">Mensaje principal: </w:t>
      </w:r>
      <w:r/>
      <w:r>
        <w:t>Construye tu proyecto de e-commerce con cinco meses de acompañamiento real.</w:t>
      </w:r>
    </w:p>
    <w:p>
      <w:pPr>
        <w:widowControl/>
      </w:pPr>
      <w:r>
        <w:rPr>
          <w:b/>
        </w:rPr>
        <w:t xml:space="preserve">Mensaje de soporte: </w:t>
      </w:r>
      <w:r/>
      <w:r>
        <w:t>Formación online, comunidad, llamadas semanales y acceso directo a proveedor en un mismo sistema.</w:t>
      </w:r>
    </w:p>
    <w:p>
      <w:pPr>
        <w:widowControl/>
      </w:pPr>
      <w:r>
        <w:rPr>
          <w:b/>
        </w:rPr>
        <w:t xml:space="preserve">Mensaje diferencial: </w:t>
      </w:r>
      <w:r/>
      <w:r>
        <w:t>No te damos solo información: te damos método, soporte y conexiones para ejecutar.</w:t>
      </w:r>
    </w:p>
    <w:p>
      <w:pPr>
        <w:widowControl/>
      </w:pPr>
      <w:r>
        <w:rPr>
          <w:b/>
        </w:rPr>
        <w:t xml:space="preserve">Mensaje emocional: </w:t>
      </w:r>
      <w:r/>
      <w:r>
        <w:t>Emprender es exigente; hacerlo acompañado cambia la experiencia.</w:t>
      </w:r>
    </w:p>
    <w:p>
      <w:pPr>
        <w:widowControl/>
      </w:pPr>
      <w:r>
        <w:rPr>
          <w:b/>
        </w:rPr>
        <w:t xml:space="preserve">Llamada a la acción: </w:t>
      </w:r>
      <w:r/>
      <w:r>
        <w:t>Entra en Sala GOEZ y empieza a construir con una hoja de ruta clara.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Identidad visual</w:t>
      </w:r>
    </w:p>
    <w:p>
      <w:pPr>
        <w:widowControl/>
      </w:pPr>
      <w:r>
        <w:t>El logo establece una dirección clara: minimalismo, blanco y negro, composición amplia y tipografía geométrica. La identidad debe preservar esa sensación de precisión, modernidad y seguridad.</w:t>
      </w:r>
    </w:p>
    <w:p>
      <w:pPr>
        <w:pStyle w:val="Heading2"/>
        <w:widowControl/>
      </w:pPr>
      <w:r>
        <w:t>Sistema recomendado</w:t>
      </w:r>
    </w:p>
    <w:p>
      <w:pPr>
        <w:pStyle w:val="ListBullet"/>
        <w:spacing w:after="80"/>
        <w:ind w:left="403" w:hanging="259"/>
        <w:widowControl/>
      </w:pPr>
      <w:r>
        <w:t>Paleta principal: negro #111111, blanco #FFFFFF y gris suave #F1F1F1.</w:t>
      </w:r>
    </w:p>
    <w:p>
      <w:pPr>
        <w:pStyle w:val="ListBullet"/>
        <w:spacing w:after="80"/>
        <w:ind w:left="403" w:hanging="259"/>
        <w:widowControl/>
      </w:pPr>
      <w:r>
        <w:t>Color de apoyo opcional: un único tono cálido o metálico muy contenido, solo para detalles de jerarquía o llamadas a la acción.</w:t>
      </w:r>
    </w:p>
    <w:p>
      <w:pPr>
        <w:pStyle w:val="ListBullet"/>
        <w:spacing w:after="80"/>
        <w:ind w:left="403" w:hanging="259"/>
        <w:widowControl/>
      </w:pPr>
      <w:r>
        <w:t>Tipografía: sans serif geométrica para titulares y sans serif muy legible para cuerpo. Ejemplos: Montserrat/Arial o una alternativa equivalente con licencia adecuada.</w:t>
      </w:r>
    </w:p>
    <w:p>
      <w:pPr>
        <w:pStyle w:val="ListBullet"/>
        <w:spacing w:after="80"/>
        <w:ind w:left="403" w:hanging="259"/>
        <w:widowControl/>
      </w:pPr>
      <w:r>
        <w:t>Composición: espacios amplios, bloques limpios, líneas finas y pocas palabras por impacto.</w:t>
      </w:r>
    </w:p>
    <w:p>
      <w:pPr>
        <w:pStyle w:val="ListBullet"/>
        <w:spacing w:after="80"/>
        <w:ind w:left="403" w:hanging="259"/>
        <w:widowControl/>
      </w:pPr>
      <w:r>
        <w:t>Fotografía: trabajo real, pantallas, sesiones, procesos, equipo y contexto de e-commerce; evitar clichés de coches de lujo, billetes y poses artificiales.</w:t>
      </w:r>
    </w:p>
    <w:p>
      <w:pPr>
        <w:pStyle w:val="ListBullet"/>
        <w:spacing w:after="80"/>
        <w:ind w:left="403" w:hanging="259"/>
        <w:widowControl/>
      </w:pPr>
      <w:r>
        <w:t>Vídeo: ritmo seguro y contemporáneo, subtítulos limpios, demostraciones de procesos y presencia humana cercana.</w:t>
      </w:r>
    </w:p>
    <w:p>
      <w:pPr>
        <w:pStyle w:val="Heading2"/>
        <w:widowControl/>
      </w:pPr>
      <w:r>
        <w:t>Reglas de uso del logo</w:t>
      </w:r>
    </w:p>
    <w:p>
      <w:pPr>
        <w:pStyle w:val="ListBullet"/>
        <w:spacing w:after="80"/>
        <w:ind w:left="403" w:hanging="259"/>
        <w:widowControl/>
      </w:pPr>
      <w:r>
        <w:t>Priorizar las versiones negra sobre fondo blanco y blanca sobre fondo negro.</w:t>
      </w:r>
    </w:p>
    <w:p>
      <w:pPr>
        <w:pStyle w:val="ListBullet"/>
        <w:spacing w:after="80"/>
        <w:ind w:left="403" w:hanging="259"/>
        <w:widowControl/>
      </w:pPr>
      <w:r>
        <w:t>Mantener un área de seguridad amplia alrededor del logotipo.</w:t>
      </w:r>
    </w:p>
    <w:p>
      <w:pPr>
        <w:pStyle w:val="ListBullet"/>
        <w:spacing w:after="80"/>
        <w:ind w:left="403" w:hanging="259"/>
        <w:widowControl/>
      </w:pPr>
      <w:r>
        <w:t>No estirar, inclinar, añadir sombras ni aplicar degradados al logo.</w:t>
      </w:r>
    </w:p>
    <w:p>
      <w:pPr>
        <w:pStyle w:val="ListBullet"/>
        <w:spacing w:after="80"/>
        <w:ind w:left="403" w:hanging="259"/>
        <w:widowControl/>
      </w:pPr>
      <w:r>
        <w:t>Asegurar la legibilidad del descriptor “Formación, E-commerce y Dropshipping”.</w:t>
      </w:r>
    </w:p>
    <w:p>
      <w:pPr>
        <w:pStyle w:val="Heading1"/>
        <w:widowControl/>
      </w:pPr>
      <w:r>
        <w:t>9. Experiencia de marca</w:t>
      </w:r>
    </w:p>
    <w:p>
      <w:pPr>
        <w:widowControl/>
      </w:pPr>
      <w:r>
        <w:t>La promesa debe sentirse en cada punto de contacto: desde el anuncio hasta las llamadas, los grupos y la formación.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shd w:fill="1111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000"/>
            <w:shd w:fill="1111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QUÉ DEBE SENTIR</w:t>
            </w:r>
          </w:p>
        </w:tc>
        <w:tc>
          <w:tcPr>
            <w:tcW w:type="dxa" w:w="4660"/>
            <w:shd w:fill="11111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</w:rPr>
              <w:t>PRUEBA DE MARCA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Descubrimiento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“Esto parece serio y diferente.”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Contenido claro, imagen cuidada, cero promesas vacías.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Decisión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“Sé qué incluye y qué se espera de mí.”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Oferta, duración, límites y proceso explicados.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Inicio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“Tengo una hoja de ruta.”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Onboarding, calendario y primer objetivo.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Ejecución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“No estoy solo cuando me bloqueo.”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WhatsApp, mentoría y llamadas semanales.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Cierre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“Sé cuál es mi siguiente etapa.”</w:t>
            </w:r>
          </w:p>
        </w:tc>
        <w:tc>
          <w:tcPr>
            <w:tcW w:type="dxa" w:w="46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Balance, próximos pasos y opciones de continuidad.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10. Pilares de contenido</w:t>
      </w:r>
    </w:p>
    <w:p>
      <w:pPr>
        <w:pStyle w:val="Heading3"/>
        <w:widowControl/>
      </w:pPr>
      <w:r>
        <w:t>Educación práctica</w:t>
      </w:r>
    </w:p>
    <w:p>
      <w:pPr>
        <w:widowControl/>
      </w:pPr>
      <w:r>
        <w:t>Selección de producto, tienda, oferta, creatividades, tráfico, análisis y operaciones.</w:t>
      </w:r>
    </w:p>
    <w:p>
      <w:pPr>
        <w:pStyle w:val="Heading3"/>
        <w:widowControl/>
      </w:pPr>
      <w:r>
        <w:t>Proceso real</w:t>
      </w:r>
    </w:p>
    <w:p>
      <w:pPr>
        <w:widowControl/>
      </w:pPr>
      <w:r>
        <w:t>Detrás de cámaras, decisiones, errores, aprendizajes y evolución de proyectos.</w:t>
      </w:r>
    </w:p>
    <w:p>
      <w:pPr>
        <w:pStyle w:val="Heading3"/>
        <w:widowControl/>
      </w:pPr>
      <w:r>
        <w:t>Proveedor y producto</w:t>
      </w:r>
    </w:p>
    <w:p>
      <w:pPr>
        <w:widowControl/>
      </w:pPr>
      <w:r>
        <w:t>Cómo trabajar con proveedores, fábricas, muestras, calidad y comunicación.</w:t>
      </w:r>
    </w:p>
    <w:p>
      <w:pPr>
        <w:pStyle w:val="Heading3"/>
        <w:widowControl/>
      </w:pPr>
      <w:r>
        <w:t>Mentalidad de ejecución</w:t>
      </w:r>
    </w:p>
    <w:p>
      <w:pPr>
        <w:widowControl/>
      </w:pPr>
      <w:r>
        <w:t>Disciplina, expectativas, toma de decisiones y constancia.</w:t>
      </w:r>
    </w:p>
    <w:p>
      <w:pPr>
        <w:pStyle w:val="Heading3"/>
        <w:widowControl/>
      </w:pPr>
      <w:r>
        <w:t>Comunidad y acompañamiento</w:t>
      </w:r>
    </w:p>
    <w:p>
      <w:pPr>
        <w:widowControl/>
      </w:pPr>
      <w:r>
        <w:t>Llamadas, dinámicas, hitos y experiencias de alumnos, siempre con autorización.</w:t>
      </w:r>
    </w:p>
    <w:p>
      <w:pPr>
        <w:pStyle w:val="Heading3"/>
        <w:widowControl/>
      </w:pPr>
      <w:r>
        <w:t>Autoridad y prueba</w:t>
      </w:r>
    </w:p>
    <w:p>
      <w:pPr>
        <w:widowControl/>
      </w:pPr>
      <w:r>
        <w:t>Casos documentados, testimonios verificables y datos contextualizados.</w:t>
      </w:r>
    </w:p>
    <w:p>
      <w:pPr>
        <w:pStyle w:val="Heading1"/>
        <w:widowControl/>
      </w:pPr>
      <w:r>
        <w:t>11. Claims y titulares sugeridos</w:t>
      </w:r>
    </w:p>
    <w:p>
      <w:pPr>
        <w:pStyle w:val="ListBullet"/>
        <w:spacing w:after="80"/>
        <w:ind w:left="403" w:hanging="259"/>
        <w:widowControl/>
      </w:pPr>
      <w:r>
        <w:t>De cero a ejecutar: cinco meses acompañado en e-commerce.</w:t>
      </w:r>
    </w:p>
    <w:p>
      <w:pPr>
        <w:pStyle w:val="ListBullet"/>
        <w:spacing w:after="80"/>
        <w:ind w:left="403" w:hanging="259"/>
        <w:widowControl/>
      </w:pPr>
      <w:r>
        <w:t>Formación, estrategia y proveedor. Todo dentro del mismo sistema.</w:t>
      </w:r>
    </w:p>
    <w:p>
      <w:pPr>
        <w:pStyle w:val="ListBullet"/>
        <w:spacing w:after="80"/>
        <w:ind w:left="403" w:hanging="259"/>
        <w:widowControl/>
      </w:pPr>
      <w:r>
        <w:t>Aprende e-commerce construyendo tu propio proyecto.</w:t>
      </w:r>
    </w:p>
    <w:p>
      <w:pPr>
        <w:pStyle w:val="ListBullet"/>
        <w:spacing w:after="80"/>
        <w:ind w:left="403" w:hanging="259"/>
        <w:widowControl/>
      </w:pPr>
      <w:r>
        <w:t>No necesitas más vídeos sueltos. Necesitas una hoja de ruta y acompañamiento.</w:t>
      </w:r>
    </w:p>
    <w:p>
      <w:pPr>
        <w:pStyle w:val="ListBullet"/>
        <w:spacing w:after="80"/>
        <w:ind w:left="403" w:hanging="259"/>
        <w:widowControl/>
      </w:pPr>
      <w:r>
        <w:t>Tu proyecto, nuestro método, cinco meses para avanzar.</w:t>
      </w:r>
    </w:p>
    <w:p>
      <w:pPr>
        <w:pStyle w:val="Heading1"/>
        <w:widowControl/>
      </w:pPr>
      <w:r>
        <w:t>12. Criterios de credibilidad</w:t>
      </w:r>
    </w:p>
    <w:p>
      <w:pPr>
        <w:pStyle w:val="ListBullet"/>
        <w:spacing w:after="80"/>
        <w:ind w:left="403" w:hanging="259"/>
        <w:widowControl/>
      </w:pPr>
      <w:r>
        <w:t>Diferenciar siempre entre acceso, acompañamiento y resultados obtenidos por el alumno.</w:t>
      </w:r>
    </w:p>
    <w:p>
      <w:pPr>
        <w:pStyle w:val="ListBullet"/>
        <w:spacing w:after="80"/>
        <w:ind w:left="403" w:hanging="259"/>
        <w:widowControl/>
      </w:pPr>
      <w:r>
        <w:t>No garantizar ventas, beneficios ni plazos de retorno.</w:t>
      </w:r>
    </w:p>
    <w:p>
      <w:pPr>
        <w:pStyle w:val="ListBullet"/>
        <w:spacing w:after="80"/>
        <w:ind w:left="403" w:hanging="259"/>
        <w:widowControl/>
      </w:pPr>
      <w:r>
        <w:t>Contextualizar testimonios y cifras: punto de partida, inversión, periodo y trabajo realizado.</w:t>
      </w:r>
    </w:p>
    <w:p>
      <w:pPr>
        <w:pStyle w:val="ListBullet"/>
        <w:spacing w:after="80"/>
        <w:ind w:left="403" w:hanging="259"/>
        <w:widowControl/>
      </w:pPr>
      <w:r>
        <w:t>Explicar con precisión qué incluye el acceso al proveedor y cuáles son sus condiciones.</w:t>
      </w:r>
    </w:p>
    <w:p>
      <w:pPr>
        <w:pStyle w:val="ListBullet"/>
        <w:spacing w:after="80"/>
        <w:ind w:left="403" w:hanging="259"/>
        <w:widowControl/>
      </w:pPr>
      <w:r>
        <w:t>Dejar por escrito la duración, frecuencia de llamadas, soporte y condiciones de permanencia.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13. Resumen ejecutivo de marca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0"/>
        <w:gridCol w:w="7010"/>
      </w:tblGrid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Sala GOEZ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Formación, e-commerce y dropshipping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Promesa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Aprender y ejecutar acompañado durante cinco meses.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Diferencial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Método + mentoría + comunidad + llamadas + acceso directo a proveedor.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Emprendedores de habla hispana que buscan estructura y acompañamiento.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Personalidad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Cercana, directa, ambiciosa, práctica, transparente y premium.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Tono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Claro, honesto, seguro y orientado a la acción.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Código visual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Minimalista, monocromático, moderno y espacioso.</w:t>
            </w:r>
          </w:p>
        </w:tc>
      </w:tr>
      <w:tr>
        <w:tc>
          <w:tcPr>
            <w:tcW w:type="dxa" w:w="2350"/>
            <w:shd w:fill="F1F1F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b/>
              </w:rPr>
              <w:t>Idea fuerza</w:t>
            </w:r>
          </w:p>
        </w:tc>
        <w:tc>
          <w:tcPr>
            <w:tcW w:type="dxa" w:w="70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t>No es solo un curso. Es un entorno de ejecución acompañado.</w:t>
            </w:r>
          </w:p>
        </w:tc>
      </w:tr>
    </w:tbl>
    <w:p>
      <w:pPr>
        <w:pStyle w:val="Heading1"/>
        <w:widowControl/>
      </w:pPr>
      <w:r>
        <w:t>14. Decisiones pendientes para cerrar la versión definitiva</w:t>
      </w:r>
    </w:p>
    <w:p>
      <w:pPr>
        <w:pStyle w:val="ListBullet"/>
        <w:spacing w:after="80"/>
        <w:ind w:left="403" w:hanging="259"/>
        <w:widowControl/>
      </w:pPr>
      <w:r>
        <w:t>Precio de la formación, forma de pago y política de acceso.</w:t>
      </w:r>
    </w:p>
    <w:p>
      <w:pPr>
        <w:pStyle w:val="ListBullet"/>
        <w:spacing w:after="80"/>
        <w:ind w:left="403" w:hanging="259"/>
        <w:widowControl/>
      </w:pPr>
      <w:r>
        <w:t>Nivel de experiencia exigido y requisitos mínimos de inversión del alumno.</w:t>
      </w:r>
    </w:p>
    <w:p>
      <w:pPr>
        <w:pStyle w:val="ListBullet"/>
        <w:spacing w:after="80"/>
        <w:ind w:left="403" w:hanging="259"/>
        <w:widowControl/>
      </w:pPr>
      <w:r>
        <w:t>Nombre propio de la metodología o estrategia de GOEZ.</w:t>
      </w:r>
    </w:p>
    <w:p>
      <w:pPr>
        <w:pStyle w:val="ListBullet"/>
        <w:spacing w:after="80"/>
        <w:ind w:left="403" w:hanging="259"/>
        <w:widowControl/>
      </w:pPr>
      <w:r>
        <w:t>Alcance exacto del proveedor: servicios, mínimos, envíos, personalización y países.</w:t>
      </w:r>
    </w:p>
    <w:p>
      <w:pPr>
        <w:pStyle w:val="ListBullet"/>
        <w:spacing w:after="80"/>
        <w:ind w:left="403" w:hanging="259"/>
        <w:widowControl/>
      </w:pPr>
      <w:r>
        <w:t>Frecuencia y formato exactos de las llamadas semanales.</w:t>
      </w:r>
    </w:p>
    <w:p>
      <w:pPr>
        <w:pStyle w:val="ListBullet"/>
        <w:spacing w:after="80"/>
        <w:ind w:left="403" w:hanging="259"/>
        <w:widowControl/>
      </w:pPr>
      <w:r>
        <w:t>Condiciones después de los cinco meses y posible continuidad.</w:t>
      </w:r>
    </w:p>
    <w:p>
      <w:pPr>
        <w:pStyle w:val="ListBullet"/>
        <w:spacing w:after="80"/>
        <w:ind w:left="403" w:hanging="259"/>
        <w:widowControl/>
      </w:pPr>
      <w:r>
        <w:t>Casos de éxito y testimonios autorizados que servirán como prueba de marca.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b/>
                <w:color w:val="555555"/>
                <w:sz w:val="16"/>
              </w:rPr>
              <w:t>CIERRE</w:t>
              <w:br/>
            </w:r>
            <w:r>
              <w:rPr>
                <w:b/>
                <w:sz w:val="26"/>
              </w:rPr>
              <w:t>Sala GOEZ convierte información dispersa en un camino acompañado para construir en e-commerce con método y criterio.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555"/>
        <w:sz w:val="16"/>
      </w:rPr>
      <w:t xml:space="preserve">Documento estratégico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55555"/>
        <w:sz w:val="15"/>
      </w:rPr>
      <w:t>SALA GOEZ  /  BRIEF DE MARCA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rial" w:hAnsi="Arial"/>
      <w:b/>
      <w:color w:val="55555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