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59"/>
        <w:tblW w:w="5000" w:type="pct"/>
        <w:tblBorders/>
        <w:tblLayout w:type="fixed"/>
        <w:tblLook w:val="0000" w:firstRow="0" w:lastRow="0" w:firstColumn="0" w:lastColumn="0" w:noHBand="0" w:noVBand="0"/>
      </w:tblPr>
      <w:tblGrid>
        <w:gridCol w:w="2659"/>
        <w:gridCol w:w="6911"/>
      </w:tblGrid>
      <w:tr>
        <w:trPr/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b/>
                <w:bCs/>
              </w:rPr>
              <w:t xml:space="preserve">Version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2.0</w:t>
            </w:r>
            <w:r/>
          </w:p>
        </w:tc>
      </w:tr>
      <w:tr>
        <w:trPr/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b/>
                <w:bCs/>
              </w:rPr>
              <w:t xml:space="preserve">Date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Avril 2026</w:t>
            </w:r>
            <w:r/>
          </w:p>
        </w:tc>
      </w:tr>
      <w:tr>
        <w:trPr/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b/>
                <w:bCs/>
              </w:rPr>
              <w:t xml:space="preserve">Statut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Version revisee de travail, alignee sur le lab LGZ-RGL</w:t>
            </w:r>
            <w:r/>
          </w:p>
        </w:tc>
      </w:tr>
      <w:tr>
        <w:trPr/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b/>
                <w:bCs/>
              </w:rPr>
              <w:t xml:space="preserve">Objet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Validation du cadre de poursuite du projet Odoo</w:t>
            </w:r>
            <w:r/>
          </w:p>
        </w:tc>
      </w:tr>
    </w:tbl>
    <w:p w14:paraId="6ACF9073">
      <w:pPr>
        <w:pBdr/>
        <w:shd w:val="nil" w:color="000000"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9F7C7A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8"/>
        <w:pBdr/>
        <w:spacing/>
        <w:ind/>
        <w:rPr>
          <w:highlight w:val="none"/>
        </w:rPr>
      </w:pPr>
      <w:r/>
      <w:bookmarkStart w:id="10" w:name="objet-de-la-note"/>
      <w:r>
        <w:t xml:space="preserve">1. Objet de la note</w:t>
      </w:r>
      <w:r>
        <w:rPr>
          <w:highlight w:val="none"/>
        </w:rPr>
      </w:r>
    </w:p>
    <w:p>
      <w:pPr>
        <w:pStyle w:val="926"/>
        <w:pBdr/>
        <w:spacing/>
        <w:ind/>
        <w:rPr/>
      </w:pPr>
      <w:r>
        <w:t xml:space="preserve">La presente note a pour objet de soumettre au comite de direction un cadrage revise du projet Odoo concernant :</w:t>
      </w:r>
      <w:r/>
    </w:p>
    <w:p>
      <w:pPr>
        <w:pStyle w:val="927"/>
        <w:numPr>
          <w:ilvl w:val="0"/>
          <w:numId w:val="2"/>
        </w:numPr>
        <w:pBdr/>
        <w:spacing/>
        <w:ind/>
        <w:rPr/>
      </w:pPr>
      <w:r>
        <w:t xml:space="preserve">Les Grandlieu’Zarts (LGZ) ;</w:t>
      </w:r>
      <w:r/>
    </w:p>
    <w:p>
      <w:pPr>
        <w:pStyle w:val="927"/>
        <w:numPr>
          <w:ilvl w:val="0"/>
          <w:numId w:val="2"/>
        </w:numPr>
        <w:pBdr/>
        <w:spacing/>
        <w:ind/>
        <w:rPr/>
      </w:pPr>
      <w:r>
        <w:t xml:space="preserve">Radio Grandlieu (RGL) ;</w:t>
      </w:r>
      <w:r/>
    </w:p>
    <w:p>
      <w:pPr>
        <w:pStyle w:val="927"/>
        <w:numPr>
          <w:ilvl w:val="0"/>
          <w:numId w:val="2"/>
        </w:numPr>
        <w:pBdr/>
        <w:spacing/>
        <w:ind/>
        <w:rPr/>
      </w:pPr>
      <w:r>
        <w:t xml:space="preserve">Cric Crac Cafe (CCC).</w:t>
      </w:r>
      <w:r/>
    </w:p>
    <w:p>
      <w:pPr>
        <w:pStyle w:val="926"/>
        <w:pBdr/>
        <w:spacing/>
        <w:ind/>
        <w:rPr/>
      </w:pPr>
      <w:r>
        <w:t xml:space="preserve">Elle vise a permettre au comite de direction de se prononcer sur :</w:t>
      </w:r>
      <w:r/>
    </w:p>
    <w:p>
      <w:pPr>
        <w:pStyle w:val="927"/>
        <w:numPr>
          <w:ilvl w:val="0"/>
          <w:numId w:val="3"/>
        </w:numPr>
        <w:pBdr/>
        <w:spacing/>
        <w:ind/>
        <w:rPr/>
      </w:pPr>
      <w:r>
        <w:t xml:space="preserve">le perimetre general du projet ;</w:t>
      </w:r>
      <w:r/>
    </w:p>
    <w:p>
      <w:pPr>
        <w:pStyle w:val="927"/>
        <w:numPr>
          <w:ilvl w:val="0"/>
          <w:numId w:val="3"/>
        </w:numPr>
        <w:pBdr/>
        <w:spacing/>
        <w:ind/>
        <w:rPr/>
      </w:pPr>
      <w:r>
        <w:t xml:space="preserve">la lecture retenue entre LGZ, RGL et CCC ;</w:t>
      </w:r>
      <w:r/>
    </w:p>
    <w:p>
      <w:pPr>
        <w:pStyle w:val="927"/>
        <w:numPr>
          <w:ilvl w:val="0"/>
          <w:numId w:val="3"/>
        </w:numPr>
        <w:pBdr/>
        <w:spacing/>
        <w:ind/>
        <w:rPr/>
      </w:pPr>
      <w:r>
        <w:t xml:space="preserve">la base fonctionnelle initiale ;</w:t>
      </w:r>
      <w:r/>
    </w:p>
    <w:p>
      <w:pPr>
        <w:pStyle w:val="927"/>
        <w:numPr>
          <w:ilvl w:val="0"/>
          <w:numId w:val="3"/>
        </w:numPr>
        <w:pBdr/>
        <w:spacing/>
        <w:ind/>
        <w:rPr/>
      </w:pPr>
      <w:r>
        <w:t xml:space="preserve">le decoupage du projet en lots ;</w:t>
      </w:r>
      <w:r/>
    </w:p>
    <w:p>
      <w:pPr>
        <w:pStyle w:val="927"/>
        <w:numPr>
          <w:ilvl w:val="0"/>
          <w:numId w:val="3"/>
        </w:numPr>
        <w:pBdr/>
        <w:spacing/>
        <w:ind/>
        <w:rPr/>
      </w:pPr>
      <w:r>
        <w:t xml:space="preserve">le cadre methodologique de mise en oeuvre ;</w:t>
      </w:r>
      <w:r/>
    </w:p>
    <w:p>
      <w:pPr>
        <w:pStyle w:val="927"/>
        <w:numPr>
          <w:ilvl w:val="0"/>
          <w:numId w:val="3"/>
        </w:numPr>
        <w:pBdr/>
        <w:spacing/>
        <w:ind/>
        <w:rPr/>
      </w:pPr>
      <w:r>
        <w:t xml:space="preserve">le cadre economique et technique ;</w:t>
      </w:r>
      <w:r/>
    </w:p>
    <w:p>
      <w:pPr>
        <w:pStyle w:val="927"/>
        <w:numPr>
          <w:ilvl w:val="0"/>
          <w:numId w:val="3"/>
        </w:numPr>
        <w:pBdr/>
        <w:spacing/>
        <w:ind/>
        <w:rPr/>
      </w:pPr>
      <w:r>
        <w:t xml:space="preserve">et les conditions de poursuite du projet.</w:t>
      </w:r>
      <w:bookmarkEnd w:id="10"/>
      <w:r/>
      <w:r/>
    </w:p>
    <w:p>
      <w:pPr>
        <w:pStyle w:val="938"/>
        <w:pBdr/>
        <w:spacing/>
        <w:ind/>
        <w:rPr/>
      </w:pPr>
      <w:r/>
      <w:bookmarkStart w:id="11" w:name="contexte-general"/>
      <w:r>
        <w:t xml:space="preserve">2. Contexte general</w:t>
      </w:r>
      <w:r/>
    </w:p>
    <w:p>
      <w:pPr>
        <w:pStyle w:val="926"/>
        <w:pBdr/>
        <w:spacing/>
        <w:ind/>
        <w:rPr/>
      </w:pPr>
      <w:r>
        <w:t xml:space="preserve">Le projet concerne deux associations hebergees dans les memes locaux : Les Grandlieu’Zarts (LGZ) et Radio Grandlieu (RGL).</w:t>
      </w:r>
      <w:r/>
    </w:p>
    <w:p>
      <w:pPr>
        <w:pStyle w:val="925"/>
        <w:pBdr/>
        <w:spacing/>
        <w:ind/>
        <w:rPr/>
      </w:pPr>
      <w:r>
        <w:t xml:space="preserve">A cet ensemble s’ajoute Cric Crac Cafe (CCC), qui doit etre lu non comme une troisieme structure autonome au meme niveau que LGZ et RGL, mais comme une activite rattachee a LGZ, avec ses propres enjeux de gestion.</w:t>
      </w:r>
      <w:r/>
    </w:p>
    <w:p>
      <w:pPr>
        <w:pStyle w:val="925"/>
        <w:pBdr/>
        <w:spacing/>
        <w:ind/>
        <w:rPr/>
      </w:pPr>
      <w:r>
        <w:t xml:space="preserve">Le projet doit donc etre lu comme une demarche de structuration portant :</w:t>
      </w:r>
      <w:r/>
    </w:p>
    <w:p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sur deux structures juridiquement distinctes, LGZ et RGL ;</w:t>
      </w:r>
      <w:r/>
    </w:p>
    <w:p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dans un environnement partage ;</w:t>
      </w:r>
      <w:r/>
    </w:p>
    <w:p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avec certains besoins communs ;</w:t>
      </w:r>
      <w:r/>
    </w:p>
    <w:p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et avec un sous-perimetre specifique CCC rattache a LGZ.</w:t>
      </w:r>
      <w:r/>
    </w:p>
    <w:p>
      <w:pPr>
        <w:pStyle w:val="926"/>
        <w:pBdr/>
        <w:spacing/>
        <w:ind/>
        <w:rPr/>
      </w:pPr>
      <w:r>
        <w:t xml:space="preserve">L’objectif n’est pas une fusion de gestion, mais la mise en place d’un cadre Odoo capable de :</w:t>
      </w:r>
      <w:r/>
    </w:p>
    <w:p>
      <w:pPr>
        <w:pStyle w:val="927"/>
        <w:numPr>
          <w:ilvl w:val="0"/>
          <w:numId w:val="5"/>
        </w:numPr>
        <w:pBdr/>
        <w:spacing/>
        <w:ind/>
        <w:rPr/>
      </w:pPr>
      <w:r>
        <w:t xml:space="preserve">separer clairement ce qui doit l’etre ;</w:t>
      </w:r>
      <w:r/>
    </w:p>
    <w:p>
      <w:pPr>
        <w:pStyle w:val="927"/>
        <w:numPr>
          <w:ilvl w:val="0"/>
          <w:numId w:val="5"/>
        </w:numPr>
        <w:pBdr/>
        <w:spacing/>
        <w:ind/>
        <w:rPr/>
      </w:pPr>
      <w:r>
        <w:t xml:space="preserve">mutualiser ce qui peut l’etre utilement ;</w:t>
      </w:r>
      <w:r/>
    </w:p>
    <w:p>
      <w:pPr>
        <w:pStyle w:val="927"/>
        <w:numPr>
          <w:ilvl w:val="0"/>
          <w:numId w:val="5"/>
        </w:numPr>
        <w:pBdr/>
        <w:spacing/>
        <w:ind/>
        <w:rPr/>
      </w:pPr>
      <w:r>
        <w:t xml:space="preserve">et permettre une progression par etapes.</w:t>
      </w:r>
      <w:bookmarkEnd w:id="11"/>
      <w:r/>
      <w:r/>
    </w:p>
    <w:p w14:paraId="7E6ED7A9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8"/>
        <w:pBdr/>
        <w:spacing/>
        <w:ind/>
        <w:rPr>
          <w:highlight w:val="none"/>
        </w:rPr>
      </w:pPr>
      <w:r/>
      <w:bookmarkStart w:id="12" w:name="odoo-comme-socle-du-projet"/>
      <w:r>
        <w:t xml:space="preserve">3. Odoo comme socle du projet</w:t>
      </w:r>
      <w:r>
        <w:rPr>
          <w:highlight w:val="none"/>
        </w:rPr>
      </w:r>
    </w:p>
    <w:p>
      <w:pPr>
        <w:pStyle w:val="926"/>
        <w:pBdr/>
        <w:spacing/>
        <w:ind/>
        <w:rPr/>
      </w:pPr>
      <w:r>
        <w:t xml:space="preserve">Odoo est retenu comme socle de structuration progressive.</w:t>
      </w:r>
      <w:r/>
    </w:p>
    <w:p>
      <w:pPr>
        <w:pStyle w:val="925"/>
        <w:pBdr/>
        <w:spacing/>
        <w:ind/>
        <w:rPr/>
      </w:pPr>
      <w:r>
        <w:t xml:space="preserve">Le projet est d</w:t>
      </w:r>
      <w:r>
        <w:rPr>
          <w:lang w:val="fr-FR"/>
        </w:rPr>
        <w:t xml:space="preserve">é</w:t>
      </w:r>
      <w:r>
        <w:t xml:space="preserve">velopp</w:t>
      </w:r>
      <w:r>
        <w:rPr>
          <w:lang w:val="fr-FR"/>
        </w:rPr>
        <w:t xml:space="preserve">é</w:t>
      </w:r>
      <w:r>
        <w:t xml:space="preserve"> sur la base de</w:t>
      </w:r>
      <w:r>
        <w:t xml:space="preserve"> </w:t>
      </w:r>
      <w:r>
        <w:rPr>
          <w:b/>
          <w:bCs/>
        </w:rPr>
        <w:t xml:space="preserve">Odoo 19 Community Edition</w:t>
      </w:r>
      <w:r>
        <w:t xml:space="preserve">.</w:t>
      </w:r>
      <w:r/>
    </w:p>
    <w:p>
      <w:pPr>
        <w:pStyle w:val="925"/>
        <w:pBdr/>
        <w:spacing/>
        <w:ind/>
        <w:rPr/>
      </w:pPr>
      <w:r>
        <w:t xml:space="preserve">Cette version constitue le socle technique retenu a ce stade.</w:t>
      </w:r>
      <w:r/>
    </w:p>
    <w:p>
      <w:pPr>
        <w:pStyle w:val="925"/>
        <w:pBdr/>
        <w:spacing/>
        <w:ind/>
        <w:rPr/>
      </w:pPr>
      <w:r>
        <w:t xml:space="preserve">Les choix fonctionnels, techniques et de modules doivent donc etre lus en coherence avec ce cadre.</w:t>
      </w:r>
      <w:r/>
    </w:p>
    <w:p>
      <w:pPr>
        <w:pStyle w:val="925"/>
        <w:pBdr/>
        <w:spacing/>
        <w:ind/>
        <w:rPr/>
      </w:pPr>
      <w:r>
        <w:t xml:space="preserve">Dans le cadre du projet LGZ / RGL / CCC, Odoo n’est pas envisag</w:t>
      </w:r>
      <w:r>
        <w:rPr>
          <w:lang w:val="fr-FR"/>
        </w:rPr>
        <w:t xml:space="preserve">é</w:t>
      </w:r>
      <w:r>
        <w:t xml:space="preserve"> comme un basculement global immediat, mais comme un environnement de travail interne capable de couvrir progressivement :</w:t>
      </w:r>
      <w:r/>
    </w:p>
    <w:p>
      <w:pPr>
        <w:pStyle w:val="927"/>
        <w:numPr>
          <w:ilvl w:val="0"/>
          <w:numId w:val="6"/>
        </w:numPr>
        <w:pBdr/>
        <w:spacing/>
        <w:ind/>
        <w:rPr/>
      </w:pPr>
      <w:r>
        <w:t xml:space="preserve">la relation ;</w:t>
      </w:r>
      <w:r/>
    </w:p>
    <w:p>
      <w:pPr>
        <w:pStyle w:val="927"/>
        <w:numPr>
          <w:ilvl w:val="0"/>
          <w:numId w:val="6"/>
        </w:numPr>
        <w:pBdr/>
        <w:spacing/>
        <w:ind/>
        <w:rPr/>
      </w:pPr>
      <w:r>
        <w:t xml:space="preserve">la gestion ;</w:t>
      </w:r>
      <w:r/>
    </w:p>
    <w:p>
      <w:pPr>
        <w:pStyle w:val="927"/>
        <w:numPr>
          <w:ilvl w:val="0"/>
          <w:numId w:val="6"/>
        </w:numPr>
        <w:pBdr/>
        <w:spacing/>
        <w:ind/>
        <w:rPr/>
      </w:pPr>
      <w:r>
        <w:t xml:space="preserve">la facturation ;</w:t>
      </w:r>
      <w:r/>
    </w:p>
    <w:p>
      <w:pPr>
        <w:pStyle w:val="927"/>
        <w:numPr>
          <w:ilvl w:val="0"/>
          <w:numId w:val="6"/>
        </w:numPr>
        <w:pBdr/>
        <w:spacing/>
        <w:ind/>
        <w:rPr/>
      </w:pPr>
      <w:r>
        <w:t xml:space="preserve">certains flux operationnels ;</w:t>
      </w:r>
      <w:r/>
    </w:p>
    <w:p>
      <w:pPr>
        <w:pStyle w:val="927"/>
        <w:numPr>
          <w:ilvl w:val="0"/>
          <w:numId w:val="6"/>
        </w:numPr>
        <w:pBdr/>
        <w:spacing/>
        <w:ind/>
        <w:rPr/>
      </w:pPr>
      <w:r>
        <w:t xml:space="preserve">le documentaire de gestion ;</w:t>
      </w:r>
      <w:r/>
    </w:p>
    <w:p>
      <w:pPr>
        <w:pStyle w:val="927"/>
        <w:numPr>
          <w:ilvl w:val="0"/>
          <w:numId w:val="6"/>
        </w:numPr>
        <w:pBdr/>
        <w:spacing/>
        <w:ind/>
        <w:rPr/>
      </w:pPr>
      <w:r>
        <w:t xml:space="preserve">le suivi de projet ;</w:t>
      </w:r>
      <w:r/>
    </w:p>
    <w:p>
      <w:pPr>
        <w:pStyle w:val="927"/>
        <w:numPr>
          <w:ilvl w:val="0"/>
          <w:numId w:val="6"/>
        </w:numPr>
        <w:pBdr/>
        <w:spacing/>
        <w:ind/>
        <w:rPr/>
      </w:pPr>
      <w:r>
        <w:t xml:space="preserve">les achats ;</w:t>
      </w:r>
      <w:r/>
    </w:p>
    <w:p>
      <w:pPr>
        <w:pStyle w:val="927"/>
        <w:numPr>
          <w:ilvl w:val="0"/>
          <w:numId w:val="6"/>
        </w:numPr>
        <w:pBdr/>
        <w:spacing/>
        <w:ind/>
        <w:rPr/>
      </w:pPr>
      <w:r>
        <w:t xml:space="preserve">les ventes et encaissements pour CCC ;</w:t>
      </w:r>
      <w:r/>
    </w:p>
    <w:p>
      <w:pPr>
        <w:pStyle w:val="927"/>
        <w:numPr>
          <w:ilvl w:val="0"/>
          <w:numId w:val="6"/>
        </w:numPr>
        <w:pBdr/>
        <w:spacing/>
        <w:ind/>
        <w:rPr/>
      </w:pPr>
      <w:r>
        <w:t xml:space="preserve">ainsi que certains connecteurs ou flux externes utiles.</w:t>
      </w:r>
      <w:r/>
    </w:p>
    <w:p>
      <w:pPr>
        <w:pStyle w:val="926"/>
        <w:pBdr/>
        <w:spacing/>
        <w:ind/>
        <w:rPr/>
      </w:pPr>
      <w:r>
        <w:t xml:space="preserve">Le projet est donc pens</w:t>
      </w:r>
      <w:r>
        <w:rPr>
          <w:lang w:val="fr-FR"/>
        </w:rPr>
        <w:t xml:space="preserve">é</w:t>
      </w:r>
      <w:r>
        <w:t xml:space="preserve"> comme un socle </w:t>
      </w:r>
      <w:r>
        <w:rPr>
          <w:lang w:val="fr-FR"/>
        </w:rPr>
        <w:t xml:space="preserve">é</w:t>
      </w:r>
      <w:r>
        <w:t xml:space="preserve">volutif, alimente par des lots successifs.</w:t>
      </w:r>
      <w:bookmarkEnd w:id="12"/>
      <w:r/>
      <w:r/>
    </w:p>
    <w:p w14:paraId="25305E3F">
      <w:pPr>
        <w:pStyle w:val="925"/>
        <w:pBdr/>
        <w:spacing/>
        <w:ind/>
        <w:rPr/>
      </w:pPr>
      <w:r/>
      <w:r/>
    </w:p>
    <w:p>
      <w:pPr>
        <w:pStyle w:val="938"/>
        <w:pBdr/>
        <w:spacing/>
        <w:ind/>
        <w:rPr/>
      </w:pPr>
      <w:r/>
      <w:bookmarkStart w:id="14" w:name="travail-prealable-et-etat-du-lab"/>
      <w:r>
        <w:t xml:space="preserve">4. Travail pr</w:t>
      </w:r>
      <w:r>
        <w:rPr>
          <w:lang w:val="fr-FR"/>
        </w:rPr>
        <w:t xml:space="preserve">é</w:t>
      </w:r>
      <w:r>
        <w:t xml:space="preserve">alable et </w:t>
      </w:r>
      <w:r>
        <w:rPr>
          <w:lang w:val="fr-FR"/>
        </w:rPr>
        <w:t xml:space="preserve">é</w:t>
      </w:r>
      <w:r>
        <w:t xml:space="preserve">tat du lab</w:t>
      </w:r>
      <w:r/>
    </w:p>
    <w:p>
      <w:pPr>
        <w:pStyle w:val="926"/>
        <w:pBdr/>
        <w:spacing/>
        <w:ind/>
        <w:rPr/>
      </w:pPr>
      <w:r>
        <w:t xml:space="preserve">Un premier travail d’identification et de traduction du besoin a d</w:t>
      </w:r>
      <w:r>
        <w:rPr>
          <w:lang w:val="fr-FR"/>
        </w:rPr>
        <w:t xml:space="preserve">é</w:t>
      </w:r>
      <w:r>
        <w:t xml:space="preserve">j</w:t>
      </w:r>
      <w:r>
        <w:rPr>
          <w:lang w:val="fr-FR"/>
        </w:rPr>
        <w:t xml:space="preserve">à</w:t>
      </w:r>
      <w:r>
        <w:t xml:space="preserve"> </w:t>
      </w:r>
      <w:r>
        <w:rPr>
          <w:lang w:val="fr-FR"/>
        </w:rPr>
        <w:t xml:space="preserve">é</w:t>
      </w:r>
      <w:r>
        <w:t xml:space="preserve">t</w:t>
      </w:r>
      <w:r>
        <w:rPr>
          <w:lang w:val="fr-FR"/>
        </w:rPr>
        <w:t xml:space="preserve">é</w:t>
      </w:r>
      <w:r>
        <w:t xml:space="preserve"> m</w:t>
      </w:r>
      <w:r>
        <w:rPr>
          <w:lang w:val="fr-FR"/>
        </w:rPr>
        <w:t xml:space="preserve">é</w:t>
      </w:r>
      <w:r>
        <w:t xml:space="preserve">n</w:t>
      </w:r>
      <w:r>
        <w:rPr>
          <w:lang w:val="fr-FR"/>
        </w:rPr>
        <w:t xml:space="preserve">é</w:t>
      </w:r>
      <w:r>
        <w:t xml:space="preserve">.</w:t>
      </w:r>
      <w:r/>
    </w:p>
    <w:p>
      <w:pPr>
        <w:pStyle w:val="925"/>
        <w:pBdr/>
        <w:spacing/>
        <w:ind/>
        <w:rPr/>
      </w:pPr>
      <w:r>
        <w:t xml:space="preserve">Il a permis :</w:t>
      </w:r>
      <w:r/>
    </w:p>
    <w:p>
      <w:pPr>
        <w:pStyle w:val="927"/>
        <w:numPr>
          <w:ilvl w:val="0"/>
          <w:numId w:val="7"/>
        </w:numPr>
        <w:pBdr/>
        <w:spacing/>
        <w:ind/>
        <w:rPr/>
      </w:pPr>
      <w:r>
        <w:t xml:space="preserve">d’identifier les premiers besoins ;</w:t>
      </w:r>
      <w:r/>
    </w:p>
    <w:p>
      <w:pPr>
        <w:pStyle w:val="927"/>
        <w:numPr>
          <w:ilvl w:val="0"/>
          <w:numId w:val="7"/>
        </w:numPr>
        <w:pBdr/>
        <w:spacing/>
        <w:ind/>
        <w:rPr/>
      </w:pPr>
      <w:r>
        <w:t xml:space="preserve">de poser une lecture plus claire de LGZ, RGL et CCC ;</w:t>
      </w:r>
      <w:r/>
    </w:p>
    <w:p>
      <w:pPr>
        <w:pStyle w:val="927"/>
        <w:numPr>
          <w:ilvl w:val="0"/>
          <w:numId w:val="7"/>
        </w:numPr>
        <w:pBdr/>
        <w:spacing/>
        <w:ind/>
        <w:rPr/>
      </w:pPr>
      <w:r>
        <w:t xml:space="preserve">de distinguer les sujets communs et les sujets propres </w:t>
      </w:r>
      <w:r>
        <w:rPr>
          <w:lang w:val="fr-FR"/>
        </w:rPr>
        <w:t xml:space="preserve">à</w:t>
      </w:r>
      <w:r>
        <w:t xml:space="preserve"> chaque perimetre ;</w:t>
      </w:r>
      <w:r/>
    </w:p>
    <w:p>
      <w:pPr>
        <w:pStyle w:val="927"/>
        <w:numPr>
          <w:ilvl w:val="0"/>
          <w:numId w:val="7"/>
        </w:numPr>
        <w:pBdr/>
        <w:spacing/>
        <w:ind/>
        <w:rPr/>
      </w:pPr>
      <w:r>
        <w:t xml:space="preserve">d’amorcer une traduction fonctionnelle dans Odoo ;</w:t>
      </w:r>
      <w:r/>
    </w:p>
    <w:p>
      <w:pPr>
        <w:pStyle w:val="927"/>
        <w:numPr>
          <w:ilvl w:val="0"/>
          <w:numId w:val="7"/>
        </w:numPr>
        <w:pBdr/>
        <w:spacing/>
        <w:ind/>
        <w:rPr/>
      </w:pPr>
      <w:r>
        <w:t xml:space="preserve">et de valider sur le lab plusieurs briques utiles du p</w:t>
      </w:r>
      <w:r>
        <w:rPr>
          <w:lang w:val="fr-FR"/>
        </w:rPr>
        <w:t xml:space="preserve">é</w:t>
      </w:r>
      <w:r>
        <w:t xml:space="preserve">rimetre HelloAsso.</w:t>
      </w:r>
      <w:r/>
    </w:p>
    <w:p w14:paraId="459C6825"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13" w:name="ce-que-le-lab-lgz-rgl-confirme-deja"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9"/>
        <w:pBdr/>
        <w:spacing/>
        <w:ind/>
        <w:rPr>
          <w:highlight w:val="none"/>
        </w:rPr>
      </w:pPr>
      <w:r>
        <w:t xml:space="preserve">4.1. Ce que le lab LGZ-RGL confirme deja</w:t>
      </w:r>
      <w:r>
        <w:rPr>
          <w:highlight w:val="none"/>
        </w:rPr>
      </w:r>
    </w:p>
    <w:p>
      <w:pPr>
        <w:pStyle w:val="926"/>
        <w:pBdr/>
        <w:spacing/>
        <w:ind/>
        <w:rPr/>
      </w:pPr>
      <w:r>
        <w:t xml:space="preserve">Le lab LGZ-RGL confirme d</w:t>
      </w:r>
      <w:r>
        <w:rPr>
          <w:lang w:val="fr-FR"/>
        </w:rPr>
        <w:t xml:space="preserve">é</w:t>
      </w:r>
      <w:r>
        <w:t xml:space="preserve">j</w:t>
      </w:r>
      <w:r>
        <w:rPr>
          <w:lang w:val="fr-FR"/>
        </w:rPr>
        <w:t xml:space="preserve">à</w:t>
      </w:r>
      <w:r>
        <w:t xml:space="preserve"> plusieurs </w:t>
      </w:r>
      <w:r>
        <w:rPr>
          <w:lang w:val="fr-FR"/>
        </w:rPr>
        <w:t xml:space="preserve">é</w:t>
      </w:r>
      <w:r>
        <w:t xml:space="preserve">l</w:t>
      </w:r>
      <w:r>
        <w:rPr>
          <w:lang w:val="fr-FR"/>
        </w:rPr>
        <w:t xml:space="preserve">é</w:t>
      </w:r>
      <w:r>
        <w:t xml:space="preserve">ments concr</w:t>
      </w:r>
      <w:r>
        <w:t xml:space="preserve">ê</w:t>
      </w:r>
      <w:r>
        <w:t xml:space="preserve">ts autour du sous-p</w:t>
      </w:r>
      <w:r>
        <w:rPr>
          <w:lang w:val="fr-FR"/>
        </w:rPr>
        <w:t xml:space="preserve">é</w:t>
      </w:r>
      <w:r>
        <w:t xml:space="preserve">rim</w:t>
      </w:r>
      <w:r>
        <w:rPr>
          <w:lang w:val="fr-FR"/>
        </w:rPr>
        <w:t xml:space="preserve">è</w:t>
      </w:r>
      <w:r>
        <w:t xml:space="preserve">tre HelloAsso du projet.</w:t>
      </w:r>
      <w:r/>
    </w:p>
    <w:p>
      <w:pPr>
        <w:pStyle w:val="925"/>
        <w:pBdr/>
        <w:spacing/>
        <w:ind/>
        <w:rPr/>
      </w:pPr>
      <w:r>
        <w:t xml:space="preserve">Sont d</w:t>
      </w:r>
      <w:r>
        <w:rPr>
          <w:lang w:val="fr-FR"/>
        </w:rPr>
        <w:t xml:space="preserve">é</w:t>
      </w:r>
      <w:r>
        <w:t xml:space="preserve">sormais op</w:t>
      </w:r>
      <w:r>
        <w:rPr>
          <w:lang w:val="fr-FR"/>
        </w:rPr>
        <w:t xml:space="preserve">é</w:t>
      </w:r>
      <w:r>
        <w:t xml:space="preserve">rationnels ou valides sur le lab :</w:t>
      </w:r>
      <w:r/>
    </w:p>
    <w:p>
      <w:pPr>
        <w:pStyle w:val="927"/>
        <w:numPr>
          <w:ilvl w:val="0"/>
          <w:numId w:val="8"/>
        </w:numPr>
        <w:pBdr/>
        <w:spacing/>
        <w:ind/>
        <w:rPr/>
      </w:pPr>
      <w:r>
        <w:t xml:space="preserve">une landing HelloAsso par societe active ;</w:t>
      </w:r>
      <w:r/>
    </w:p>
    <w:p>
      <w:pPr>
        <w:pStyle w:val="927"/>
        <w:numPr>
          <w:ilvl w:val="0"/>
          <w:numId w:val="8"/>
        </w:numPr>
        <w:pBdr/>
        <w:spacing/>
        <w:ind/>
        <w:rPr/>
      </w:pPr>
      <w:r>
        <w:t xml:space="preserve">une lecture des contacts adherents synchronises ;</w:t>
      </w:r>
      <w:r/>
    </w:p>
    <w:p>
      <w:pPr>
        <w:pStyle w:val="927"/>
        <w:numPr>
          <w:ilvl w:val="0"/>
          <w:numId w:val="8"/>
        </w:numPr>
        <w:pBdr/>
        <w:spacing/>
        <w:ind/>
        <w:rPr/>
      </w:pPr>
      <w:r>
        <w:t xml:space="preserve">un inventaire des evenements / billetteries HelloAsso ;</w:t>
      </w:r>
      <w:r/>
    </w:p>
    <w:p>
      <w:pPr>
        <w:pStyle w:val="927"/>
        <w:numPr>
          <w:ilvl w:val="0"/>
          <w:numId w:val="8"/>
        </w:numPr>
        <w:pBdr/>
        <w:spacing/>
        <w:ind/>
        <w:rPr/>
      </w:pPr>
      <w:r>
        <w:t xml:space="preserve">la lecture des commandes liees a ces campagnes ;</w:t>
      </w:r>
      <w:r/>
    </w:p>
    <w:p>
      <w:pPr>
        <w:pStyle w:val="927"/>
        <w:numPr>
          <w:ilvl w:val="0"/>
          <w:numId w:val="8"/>
        </w:numPr>
        <w:pBdr/>
        <w:spacing/>
        <w:ind/>
        <w:rPr/>
      </w:pPr>
      <w:r>
        <w:t xml:space="preserve">un objet dedie de paiement HelloAsso dans Odoo ;</w:t>
      </w:r>
      <w:r/>
    </w:p>
    <w:p>
      <w:pPr>
        <w:pStyle w:val="927"/>
        <w:numPr>
          <w:ilvl w:val="0"/>
          <w:numId w:val="8"/>
        </w:numPr>
        <w:pBdr/>
        <w:spacing/>
        <w:ind/>
        <w:rPr/>
      </w:pPr>
      <w:r>
        <w:t xml:space="preserve">un import CSV MVP des paiements ;</w:t>
      </w:r>
      <w:r/>
    </w:p>
    <w:p>
      <w:pPr>
        <w:pStyle w:val="927"/>
        <w:numPr>
          <w:ilvl w:val="0"/>
          <w:numId w:val="8"/>
        </w:numPr>
        <w:pBdr/>
        <w:spacing/>
        <w:ind/>
        <w:rPr/>
      </w:pPr>
      <w:r>
        <w:t xml:space="preserve">un import API MVP des paiements ;</w:t>
      </w:r>
      <w:r/>
    </w:p>
    <w:p>
      <w:pPr>
        <w:pStyle w:val="927"/>
        <w:numPr>
          <w:ilvl w:val="0"/>
          <w:numId w:val="8"/>
        </w:numPr>
        <w:pBdr/>
        <w:spacing/>
        <w:ind/>
        <w:rPr/>
      </w:pPr>
      <w:r>
        <w:t xml:space="preserve">une orchestration cron MVP des paiements API ;</w:t>
      </w:r>
      <w:r/>
    </w:p>
    <w:p>
      <w:pPr>
        <w:pStyle w:val="927"/>
        <w:numPr>
          <w:ilvl w:val="0"/>
          <w:numId w:val="8"/>
        </w:numPr>
        <w:pBdr/>
        <w:spacing/>
        <w:ind/>
        <w:rPr/>
      </w:pPr>
      <w:r>
        <w:t xml:space="preserve">une navigation HelloAsso plus structuree entre consultation, paiement et configuration.</w:t>
      </w:r>
      <w:r/>
    </w:p>
    <w:p>
      <w:pPr>
        <w:pStyle w:val="926"/>
        <w:pBdr/>
        <w:spacing/>
        <w:ind/>
        <w:rPr/>
      </w:pPr>
      <w:r>
        <w:t xml:space="preserve">Ces validations ne signifient pas que le projet est termin</w:t>
      </w:r>
      <w:r>
        <w:rPr>
          <w:lang w:val="fr-FR"/>
        </w:rPr>
        <w:t xml:space="preserve">é</w:t>
      </w:r>
      <w:r>
        <w:t xml:space="preserve">. Elles montrent en revanche qu’une partie du besoin HelloAsso du p</w:t>
      </w:r>
      <w:r>
        <w:rPr>
          <w:lang w:val="fr-FR"/>
        </w:rPr>
        <w:t xml:space="preserve">é</w:t>
      </w:r>
      <w:r>
        <w:t xml:space="preserve">rimetre LGZ / RGL est d</w:t>
      </w:r>
      <w:r>
        <w:rPr>
          <w:lang w:val="fr-FR"/>
        </w:rPr>
        <w:t xml:space="preserve">é</w:t>
      </w:r>
      <w:r>
        <w:t xml:space="preserve">j</w:t>
      </w:r>
      <w:r>
        <w:rPr>
          <w:lang w:val="fr-FR"/>
        </w:rPr>
        <w:t xml:space="preserve">à</w:t>
      </w:r>
      <w:r>
        <w:t xml:space="preserve"> sortie du simple cadrage et entre dans un usage r</w:t>
      </w:r>
      <w:r>
        <w:rPr>
          <w:lang w:val="fr-FR"/>
        </w:rPr>
        <w:t xml:space="preserve">é</w:t>
      </w:r>
      <w:r>
        <w:t xml:space="preserve">el de back-office Odoo.</w:t>
      </w:r>
      <w:bookmarkEnd w:id="13"/>
      <w:r/>
      <w:bookmarkEnd w:id="14"/>
      <w:r/>
      <w:r/>
    </w:p>
    <w:p w14:paraId="5B51DFFB">
      <w:pPr>
        <w:pStyle w:val="925"/>
        <w:pBdr/>
        <w:spacing/>
        <w:ind/>
        <w:rPr/>
      </w:pPr>
      <w:r/>
      <w:r/>
    </w:p>
    <w:p>
      <w:pPr>
        <w:pStyle w:val="938"/>
        <w:pBdr/>
        <w:spacing/>
        <w:ind/>
        <w:rPr/>
      </w:pPr>
      <w:r/>
      <w:bookmarkStart w:id="15" w:name="constats-retenus"/>
      <w:r>
        <w:t xml:space="preserve">5. Constats retenus</w:t>
      </w:r>
      <w:r/>
    </w:p>
    <w:p>
      <w:pPr>
        <w:pStyle w:val="926"/>
        <w:pBdr/>
        <w:spacing/>
        <w:ind/>
        <w:rPr/>
      </w:pPr>
      <w:r>
        <w:t xml:space="preserve">Les premiers </w:t>
      </w:r>
      <w:r>
        <w:rPr>
          <w:lang w:val="fr-FR"/>
        </w:rPr>
        <w:t xml:space="preserve">é</w:t>
      </w:r>
      <w:r>
        <w:t xml:space="preserve">l</w:t>
      </w:r>
      <w:r>
        <w:rPr>
          <w:lang w:val="fr-FR"/>
        </w:rPr>
        <w:t xml:space="preserve">é</w:t>
      </w:r>
      <w:r>
        <w:t xml:space="preserve">ments recueillis conduisent </w:t>
      </w:r>
      <w:r>
        <w:rPr>
          <w:lang w:val="fr-FR"/>
        </w:rPr>
        <w:t xml:space="preserve">à</w:t>
      </w:r>
      <w:r>
        <w:t xml:space="preserve"> retenir les constats suivants :</w:t>
      </w:r>
      <w:r/>
    </w:p>
    <w:p>
      <w:pPr>
        <w:pStyle w:val="927"/>
        <w:numPr>
          <w:ilvl w:val="0"/>
          <w:numId w:val="9"/>
        </w:numPr>
        <w:pBdr/>
        <w:spacing/>
        <w:ind/>
        <w:rPr/>
      </w:pPr>
      <w:r>
        <w:t xml:space="preserve">LGZ et RGL ont des activites distinctes ;</w:t>
      </w:r>
      <w:r/>
    </w:p>
    <w:p>
      <w:pPr>
        <w:pStyle w:val="927"/>
        <w:numPr>
          <w:ilvl w:val="0"/>
          <w:numId w:val="9"/>
        </w:numPr>
        <w:pBdr/>
        <w:spacing/>
        <w:ind/>
        <w:rPr/>
      </w:pPr>
      <w:r>
        <w:t xml:space="preserve">leurs fonctionnements peuvent se croiser sur certains sujets ;</w:t>
      </w:r>
      <w:r/>
    </w:p>
    <w:p>
      <w:pPr>
        <w:pStyle w:val="927"/>
        <w:numPr>
          <w:ilvl w:val="0"/>
          <w:numId w:val="9"/>
        </w:numPr>
        <w:pBdr/>
        <w:spacing/>
        <w:ind/>
        <w:rPr/>
      </w:pPr>
      <w:r>
        <w:t xml:space="preserve">leurs besoins de gestion ne sont pas identiques ;</w:t>
      </w:r>
      <w:r/>
    </w:p>
    <w:p>
      <w:pPr>
        <w:pStyle w:val="927"/>
        <w:numPr>
          <w:ilvl w:val="0"/>
          <w:numId w:val="9"/>
        </w:numPr>
        <w:pBdr/>
        <w:spacing/>
        <w:ind/>
        <w:rPr/>
      </w:pPr>
      <w:r>
        <w:t xml:space="preserve">certaines ressources sont deja mutualisees, notamment les locaux et une partie de l’environnement de travail ;</w:t>
      </w:r>
      <w:r/>
    </w:p>
    <w:p>
      <w:pPr>
        <w:pStyle w:val="927"/>
        <w:numPr>
          <w:ilvl w:val="0"/>
          <w:numId w:val="9"/>
        </w:numPr>
        <w:pBdr/>
        <w:spacing/>
        <w:ind/>
        <w:rPr/>
      </w:pPr>
      <w:r>
        <w:t xml:space="preserve">chacune conserve toutefois son autonomie, notamment sur les plans administratif et comptable ;</w:t>
      </w:r>
      <w:r/>
    </w:p>
    <w:p>
      <w:pPr>
        <w:pStyle w:val="927"/>
        <w:numPr>
          <w:ilvl w:val="0"/>
          <w:numId w:val="9"/>
        </w:numPr>
        <w:pBdr/>
        <w:spacing/>
        <w:ind/>
        <w:rPr/>
      </w:pPr>
      <w:r>
        <w:t xml:space="preserve">CCC doit etre traite comme un sujet specifique, rattache a LGZ, et non comme une structure strictement equivalente a LGZ ou RGL.</w:t>
      </w:r>
      <w:r/>
    </w:p>
    <w:p>
      <w:pPr>
        <w:pStyle w:val="926"/>
        <w:pBdr/>
        <w:spacing/>
        <w:ind/>
        <w:rPr/>
      </w:pPr>
      <w:r>
        <w:t xml:space="preserve">Le projet doit donc tenir ensemble deux exigences :</w:t>
      </w:r>
      <w:r/>
    </w:p>
    <w:p>
      <w:pPr>
        <w:pStyle w:val="927"/>
        <w:numPr>
          <w:ilvl w:val="0"/>
          <w:numId w:val="10"/>
        </w:numPr>
        <w:pBdr/>
        <w:spacing/>
        <w:ind/>
        <w:rPr/>
      </w:pPr>
      <w:r>
        <w:t xml:space="preserve">separer clairement les gestions ;</w:t>
      </w:r>
      <w:r/>
    </w:p>
    <w:p>
      <w:pPr>
        <w:pStyle w:val="927"/>
        <w:numPr>
          <w:ilvl w:val="0"/>
          <w:numId w:val="10"/>
        </w:numPr>
        <w:pBdr/>
        <w:spacing/>
        <w:ind/>
        <w:rPr/>
      </w:pPr>
      <w:r>
        <w:t xml:space="preserve">permettre un socle commun lorsque cela est utile.</w:t>
      </w:r>
      <w:bookmarkEnd w:id="15"/>
      <w:r/>
      <w:r/>
    </w:p>
    <w:p>
      <w:pPr>
        <w:pStyle w:val="938"/>
        <w:pBdr/>
        <w:spacing/>
        <w:ind/>
        <w:rPr/>
      </w:pPr>
      <w:r/>
      <w:bookmarkStart w:id="19" w:name="lecture-retenue-du-projet"/>
      <w:r>
        <w:t xml:space="preserve">6. Lecture retenue du projet</w:t>
      </w:r>
      <w:r/>
    </w:p>
    <w:p>
      <w:pPr>
        <w:pStyle w:val="939"/>
        <w:pBdr/>
        <w:spacing/>
        <w:ind/>
        <w:rPr/>
      </w:pPr>
      <w:r/>
      <w:bookmarkStart w:id="16" w:name="les-grandlieuzarts"/>
      <w:r>
        <w:t xml:space="preserve">6.1. Les Grandlieu’Zarts</w:t>
      </w:r>
      <w:r/>
    </w:p>
    <w:p>
      <w:pPr>
        <w:pStyle w:val="926"/>
        <w:pBdr/>
        <w:spacing/>
        <w:ind/>
        <w:rPr/>
      </w:pPr>
      <w:r>
        <w:t xml:space="preserve">Pour LGZ, le projet concerne notamment :</w:t>
      </w:r>
      <w:r/>
    </w:p>
    <w:p>
      <w:pPr>
        <w:pStyle w:val="927"/>
        <w:numPr>
          <w:ilvl w:val="0"/>
          <w:numId w:val="11"/>
        </w:numPr>
        <w:pBdr/>
        <w:spacing/>
        <w:ind/>
        <w:rPr/>
      </w:pPr>
      <w:r>
        <w:t xml:space="preserve">les usages de gestion ;</w:t>
      </w:r>
      <w:r/>
    </w:p>
    <w:p>
      <w:pPr>
        <w:pStyle w:val="927"/>
        <w:numPr>
          <w:ilvl w:val="0"/>
          <w:numId w:val="11"/>
        </w:numPr>
        <w:pBdr/>
        <w:spacing/>
        <w:ind/>
        <w:rPr/>
      </w:pPr>
      <w:r>
        <w:t xml:space="preserve">le suivi des contacts, partenaires, adherents et parties prenantes ;</w:t>
      </w:r>
      <w:r/>
    </w:p>
    <w:p>
      <w:pPr>
        <w:pStyle w:val="927"/>
        <w:numPr>
          <w:ilvl w:val="0"/>
          <w:numId w:val="11"/>
        </w:numPr>
        <w:pBdr/>
        <w:spacing/>
        <w:ind/>
        <w:rPr/>
      </w:pPr>
      <w:r>
        <w:t xml:space="preserve">la coordination operationnelle ;</w:t>
      </w:r>
      <w:r/>
    </w:p>
    <w:p>
      <w:pPr>
        <w:pStyle w:val="927"/>
        <w:numPr>
          <w:ilvl w:val="0"/>
          <w:numId w:val="11"/>
        </w:numPr>
        <w:pBdr/>
        <w:spacing/>
        <w:ind/>
        <w:rPr/>
      </w:pPr>
      <w:r>
        <w:t xml:space="preserve">l’organisation documentaire de gestion ;</w:t>
      </w:r>
      <w:r/>
    </w:p>
    <w:p>
      <w:pPr>
        <w:pStyle w:val="927"/>
        <w:numPr>
          <w:ilvl w:val="0"/>
          <w:numId w:val="11"/>
        </w:numPr>
        <w:pBdr/>
        <w:spacing/>
        <w:ind/>
        <w:rPr/>
      </w:pPr>
      <w:r>
        <w:t xml:space="preserve">certains flux de fonctionnement ;</w:t>
      </w:r>
      <w:r/>
    </w:p>
    <w:p>
      <w:pPr>
        <w:pStyle w:val="927"/>
        <w:numPr>
          <w:ilvl w:val="0"/>
          <w:numId w:val="11"/>
        </w:numPr>
        <w:pBdr/>
        <w:spacing/>
        <w:ind/>
        <w:rPr/>
      </w:pPr>
      <w:r>
        <w:t xml:space="preserve">et le sous-perimetre HelloAsso deja identifie comme besoin reel.</w:t>
      </w:r>
      <w:bookmarkEnd w:id="16"/>
      <w:r/>
      <w:r/>
    </w:p>
    <w:p>
      <w:pPr>
        <w:pStyle w:val="939"/>
        <w:pBdr/>
        <w:spacing/>
        <w:ind/>
        <w:rPr/>
      </w:pPr>
      <w:r/>
      <w:bookmarkStart w:id="17" w:name="radio-grandlieu"/>
      <w:r>
        <w:t xml:space="preserve">6.2. Radio Grandlieu</w:t>
      </w:r>
      <w:r/>
    </w:p>
    <w:p>
      <w:pPr>
        <w:pStyle w:val="926"/>
        <w:pBdr/>
        <w:spacing/>
        <w:ind/>
        <w:rPr/>
      </w:pPr>
      <w:r>
        <w:t xml:space="preserve">Pour RGL, le projet concerne notamment :</w:t>
      </w:r>
      <w:r/>
    </w:p>
    <w:p>
      <w:pPr>
        <w:pStyle w:val="927"/>
        <w:numPr>
          <w:ilvl w:val="0"/>
          <w:numId w:val="12"/>
        </w:numPr>
        <w:pBdr/>
        <w:spacing/>
        <w:ind/>
        <w:rPr/>
      </w:pPr>
      <w:r>
        <w:t xml:space="preserve">la structuration operationnelle ;</w:t>
      </w:r>
      <w:r/>
    </w:p>
    <w:p>
      <w:pPr>
        <w:pStyle w:val="927"/>
        <w:numPr>
          <w:ilvl w:val="0"/>
          <w:numId w:val="12"/>
        </w:numPr>
        <w:pBdr/>
        <w:spacing/>
        <w:ind/>
        <w:rPr/>
      </w:pPr>
      <w:r>
        <w:t xml:space="preserve">le suivi de projet ;</w:t>
      </w:r>
      <w:r/>
    </w:p>
    <w:p>
      <w:pPr>
        <w:pStyle w:val="927"/>
        <w:numPr>
          <w:ilvl w:val="0"/>
          <w:numId w:val="12"/>
        </w:numPr>
        <w:pBdr/>
        <w:spacing/>
        <w:ind/>
        <w:rPr/>
      </w:pPr>
      <w:r>
        <w:t xml:space="preserve">le suivi de facturation ;</w:t>
      </w:r>
      <w:r/>
    </w:p>
    <w:p>
      <w:pPr>
        <w:pStyle w:val="927"/>
        <w:numPr>
          <w:ilvl w:val="0"/>
          <w:numId w:val="12"/>
        </w:numPr>
        <w:pBdr/>
        <w:spacing/>
        <w:ind/>
        <w:rPr/>
      </w:pPr>
      <w:r>
        <w:t xml:space="preserve">et la mise en place d’un cadre de gestion plus lisible.</w:t>
      </w:r>
      <w:bookmarkEnd w:id="17"/>
      <w:r/>
      <w:r/>
    </w:p>
    <w:p>
      <w:pPr>
        <w:pStyle w:val="939"/>
        <w:pBdr/>
        <w:spacing/>
        <w:ind/>
        <w:rPr/>
      </w:pPr>
      <w:r/>
      <w:bookmarkStart w:id="18" w:name="cric-crac-cafe"/>
      <w:r>
        <w:t xml:space="preserve">6.3. Cric Crac Cafe</w:t>
      </w:r>
      <w:r/>
    </w:p>
    <w:p>
      <w:pPr>
        <w:pStyle w:val="926"/>
        <w:pBdr/>
        <w:spacing/>
        <w:ind/>
        <w:rPr/>
      </w:pPr>
      <w:r>
        <w:t xml:space="preserve">Cric Crac Cafe, rattache a LGZ, elargit le perimetre du projet.</w:t>
      </w:r>
      <w:r/>
    </w:p>
    <w:p>
      <w:pPr>
        <w:pStyle w:val="925"/>
        <w:pBdr/>
        <w:spacing/>
        <w:ind/>
        <w:rPr/>
      </w:pPr>
      <w:r>
        <w:t xml:space="preserve">Ce sous-perimetre fait apparaitre des besoins propres, notamment autour :</w:t>
      </w:r>
      <w:r/>
    </w:p>
    <w:p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de la caisse ;</w:t>
      </w:r>
      <w:r/>
    </w:p>
    <w:p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des ventes et encaissements ;</w:t>
      </w:r>
      <w:r/>
    </w:p>
    <w:p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des articles ;</w:t>
      </w:r>
      <w:r/>
    </w:p>
    <w:p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des achats et fournisseurs ;</w:t>
      </w:r>
      <w:r/>
    </w:p>
    <w:p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du suivi d’exploitation ;</w:t>
      </w:r>
      <w:r/>
    </w:p>
    <w:p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du terminal de paiement ;</w:t>
      </w:r>
      <w:r/>
    </w:p>
    <w:p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et, le cas echeant, des stocks ou du suivi matiere.</w:t>
      </w:r>
      <w:r/>
    </w:p>
    <w:p>
      <w:pPr>
        <w:pStyle w:val="926"/>
        <w:pBdr/>
        <w:spacing/>
        <w:ind/>
        <w:rPr/>
      </w:pPr>
      <w:r>
        <w:t xml:space="preserve">Le sujet CCC constitue donc un lot specifique, avec ses propres enjeux fonctionnels et sa propre temporalite.</w:t>
      </w:r>
      <w:bookmarkEnd w:id="18"/>
      <w:r/>
      <w:bookmarkEnd w:id="19"/>
      <w:r/>
      <w:r/>
    </w:p>
    <w:p w14:paraId="187A5F0D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8"/>
        <w:pBdr/>
        <w:spacing/>
        <w:ind/>
        <w:rPr>
          <w:highlight w:val="none"/>
        </w:rPr>
      </w:pPr>
      <w:r/>
      <w:bookmarkStart w:id="23" w:name="outils-et-ecosysteme-existants"/>
      <w:r>
        <w:t xml:space="preserve">7. Outils et ecosysteme existants</w:t>
      </w:r>
      <w:r>
        <w:rPr>
          <w:highlight w:val="none"/>
        </w:rPr>
      </w:r>
    </w:p>
    <w:p>
      <w:pPr>
        <w:pStyle w:val="926"/>
        <w:pBdr/>
        <w:spacing/>
        <w:ind/>
        <w:rPr/>
      </w:pPr>
      <w:r>
        <w:t xml:space="preserve">Pour LGZ, plusieurs outils occupent deja une place reelle.</w:t>
      </w:r>
      <w:r/>
    </w:p>
    <w:p>
      <w:pPr>
        <w:pStyle w:val="939"/>
        <w:pBdr/>
        <w:spacing/>
        <w:ind/>
        <w:rPr/>
      </w:pPr>
      <w:r/>
      <w:bookmarkStart w:id="20" w:name="pennylane"/>
      <w:r>
        <w:t xml:space="preserve">7.1. Pennylane</w:t>
      </w:r>
      <w:r/>
    </w:p>
    <w:p>
      <w:pPr>
        <w:pStyle w:val="926"/>
        <w:pBdr/>
        <w:spacing/>
        <w:ind/>
        <w:rPr/>
      </w:pPr>
      <w:r>
        <w:t xml:space="preserve">Pennylane est utilise principalement comme espace de depot documentaire a destination du cabinet comptable.</w:t>
      </w:r>
      <w:bookmarkEnd w:id="20"/>
      <w:r/>
      <w:r/>
    </w:p>
    <w:p>
      <w:pPr>
        <w:pStyle w:val="939"/>
        <w:pBdr/>
        <w:spacing/>
        <w:ind/>
        <w:rPr/>
      </w:pPr>
      <w:r/>
      <w:bookmarkStart w:id="21" w:name="helloasso"/>
      <w:r>
        <w:t xml:space="preserve">7.2. HelloAsso</w:t>
      </w:r>
      <w:r/>
    </w:p>
    <w:p>
      <w:pPr>
        <w:pStyle w:val="926"/>
        <w:pBdr/>
        <w:spacing/>
        <w:ind/>
        <w:rPr/>
      </w:pPr>
      <w:r>
        <w:t xml:space="preserve">HelloAsso couvre un besoin fonctionnel important pour LGZ et RGL autour :</w:t>
      </w:r>
      <w:r/>
    </w:p>
    <w:p>
      <w:pPr>
        <w:pStyle w:val="927"/>
        <w:numPr>
          <w:ilvl w:val="0"/>
          <w:numId w:val="14"/>
        </w:numPr>
        <w:pBdr/>
        <w:spacing/>
        <w:ind/>
        <w:rPr/>
      </w:pPr>
      <w:r>
        <w:t xml:space="preserve">des adh</w:t>
      </w:r>
      <w:r>
        <w:rPr>
          <w:lang w:val="fr-FR"/>
        </w:rPr>
        <w:t xml:space="preserve">é</w:t>
      </w:r>
      <w:r>
        <w:t xml:space="preserve">sions ;</w:t>
      </w:r>
      <w:r/>
    </w:p>
    <w:p>
      <w:pPr>
        <w:pStyle w:val="927"/>
        <w:numPr>
          <w:ilvl w:val="0"/>
          <w:numId w:val="14"/>
        </w:numPr>
        <w:pBdr/>
        <w:spacing/>
        <w:ind/>
        <w:rPr/>
      </w:pPr>
      <w:r>
        <w:t xml:space="preserve">de la billetterie et des </w:t>
      </w:r>
      <w:r>
        <w:rPr>
          <w:lang w:val="fr-FR"/>
        </w:rPr>
        <w:t xml:space="preserve">é</w:t>
      </w:r>
      <w:r>
        <w:t xml:space="preserve">v</w:t>
      </w:r>
      <w:r>
        <w:rPr>
          <w:lang w:val="fr-FR"/>
        </w:rPr>
        <w:t xml:space="preserve">è</w:t>
      </w:r>
      <w:r>
        <w:t xml:space="preserve">nements ;</w:t>
      </w:r>
      <w:r/>
    </w:p>
    <w:p>
      <w:pPr>
        <w:pStyle w:val="927"/>
        <w:numPr>
          <w:ilvl w:val="0"/>
          <w:numId w:val="14"/>
        </w:numPr>
        <w:pBdr/>
        <w:spacing/>
        <w:ind/>
        <w:rPr/>
      </w:pPr>
      <w:r>
        <w:t xml:space="preserve">des paiements en ligne associes a ces flux ;</w:t>
      </w:r>
      <w:r/>
    </w:p>
    <w:p>
      <w:pPr>
        <w:pStyle w:val="927"/>
        <w:numPr>
          <w:ilvl w:val="0"/>
          <w:numId w:val="14"/>
        </w:numPr>
        <w:pBdr/>
        <w:spacing/>
        <w:ind/>
        <w:rPr/>
      </w:pPr>
      <w:r>
        <w:t xml:space="preserve">et plus largement de certains encaissements lies a la vie associative.</w:t>
      </w:r>
      <w:r/>
    </w:p>
    <w:p>
      <w:pPr>
        <w:pStyle w:val="926"/>
        <w:pBdr/>
        <w:spacing/>
        <w:ind/>
        <w:rPr/>
      </w:pPr>
      <w:r>
        <w:t xml:space="preserve">Le projet Odoo n’a pas vocation a remplacer HelloAsso comme plateforme publique de collecte, d’inscription ou de billetterie.</w:t>
      </w:r>
      <w:r/>
    </w:p>
    <w:p>
      <w:pPr>
        <w:pStyle w:val="925"/>
        <w:pBdr/>
        <w:spacing/>
        <w:ind/>
        <w:rPr/>
      </w:pPr>
      <w:r>
        <w:t xml:space="preserve">En revanche, il a vocation a :</w:t>
      </w:r>
      <w:r/>
    </w:p>
    <w:p>
      <w:pPr>
        <w:pStyle w:val="927"/>
        <w:numPr>
          <w:ilvl w:val="0"/>
          <w:numId w:val="15"/>
        </w:numPr>
        <w:pBdr/>
        <w:spacing/>
        <w:ind/>
        <w:rPr/>
      </w:pPr>
      <w:r>
        <w:t xml:space="preserve">relire dans Odoo les flux utiles issus de HelloAsso ;</w:t>
      </w:r>
      <w:r/>
    </w:p>
    <w:p>
      <w:pPr>
        <w:pStyle w:val="927"/>
        <w:numPr>
          <w:ilvl w:val="0"/>
          <w:numId w:val="15"/>
        </w:numPr>
        <w:pBdr/>
        <w:spacing/>
        <w:ind/>
        <w:rPr/>
      </w:pPr>
      <w:r>
        <w:t xml:space="preserve">les structurer dans un cadre de gestion interne ;</w:t>
      </w:r>
      <w:r/>
    </w:p>
    <w:p>
      <w:pPr>
        <w:pStyle w:val="927"/>
        <w:numPr>
          <w:ilvl w:val="0"/>
          <w:numId w:val="15"/>
        </w:numPr>
        <w:pBdr/>
        <w:spacing/>
        <w:ind/>
        <w:rPr/>
      </w:pPr>
      <w:r>
        <w:t xml:space="preserve">les rattacher clairement a la bonne societe ;</w:t>
      </w:r>
      <w:r/>
    </w:p>
    <w:p>
      <w:pPr>
        <w:pStyle w:val="927"/>
        <w:numPr>
          <w:ilvl w:val="0"/>
          <w:numId w:val="15"/>
        </w:numPr>
        <w:pBdr/>
        <w:spacing/>
        <w:ind/>
        <w:rPr/>
      </w:pPr>
      <w:r>
        <w:t xml:space="preserve">les rendre consultables et exploitables dans Odoo ;</w:t>
      </w:r>
      <w:r/>
    </w:p>
    <w:p>
      <w:pPr>
        <w:pStyle w:val="927"/>
        <w:numPr>
          <w:ilvl w:val="0"/>
          <w:numId w:val="15"/>
        </w:numPr>
        <w:pBdr/>
        <w:spacing/>
        <w:ind/>
        <w:rPr/>
      </w:pPr>
      <w:r>
        <w:t xml:space="preserve">et fiabiliser le suivi interne sans ressaisie.</w:t>
      </w:r>
      <w:r/>
    </w:p>
    <w:p>
      <w:pPr>
        <w:pStyle w:val="926"/>
        <w:pBdr/>
        <w:spacing/>
        <w:ind/>
        <w:rPr/>
      </w:pPr>
      <w:r>
        <w:t xml:space="preserve">Dans cette logique, HelloAsso doit etre compris comme un sous-perimetre fonctionnel identifie du projet, commun a LGZ et RGL, deja partiellement structure dans Odoo et deja valide sur le lab pour plusieurs usages.</w:t>
      </w:r>
      <w:bookmarkEnd w:id="21"/>
      <w:r/>
      <w:r/>
    </w:p>
    <w:p w14:paraId="1D4510BC">
      <w:pPr>
        <w:pStyle w:val="925"/>
        <w:pBdr/>
        <w:spacing/>
        <w:ind/>
        <w:rPr/>
      </w:pPr>
      <w:r/>
      <w:r/>
    </w:p>
    <w:p>
      <w:pPr>
        <w:pStyle w:val="939"/>
        <w:pBdr/>
        <w:spacing/>
        <w:ind/>
        <w:rPr/>
      </w:pPr>
      <w:r/>
      <w:bookmarkStart w:id="22" w:name="whatsapp"/>
      <w:r>
        <w:t xml:space="preserve">7.3. WhatsApp</w:t>
      </w:r>
      <w:r/>
    </w:p>
    <w:p>
      <w:pPr>
        <w:pStyle w:val="926"/>
        <w:pBdr/>
        <w:spacing/>
        <w:ind/>
        <w:rPr/>
      </w:pPr>
      <w:r>
        <w:t xml:space="preserve">WhatsApp occupe une place importante dans la communication operationnelle, notamment pour les echanges rapides, la mobilisation autour des evenements et l’animation du quotidien.</w:t>
      </w:r>
      <w:r/>
    </w:p>
    <w:p>
      <w:pPr>
        <w:pStyle w:val="925"/>
        <w:pBdr/>
        <w:spacing/>
        <w:ind/>
        <w:rPr/>
      </w:pPr>
      <w:r>
        <w:t xml:space="preserve">Pour RGL, le besoin parait aujourd’hui plus directement lie a la structuration des projets et au suivi de facturation.</w:t>
      </w:r>
      <w:bookmarkEnd w:id="22"/>
      <w:r/>
      <w:bookmarkEnd w:id="23"/>
      <w:r/>
      <w:r/>
    </w:p>
    <w:p w14:paraId="0FB7BB15"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24" w:name="base-fonctionnelle-retenue"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8"/>
        <w:pBdr/>
        <w:spacing/>
        <w:ind/>
        <w:rPr>
          <w:highlight w:val="none"/>
        </w:rPr>
      </w:pPr>
      <w:r>
        <w:t xml:space="preserve">8. Base fonctionnelle retenue</w:t>
      </w:r>
      <w:r>
        <w:rPr>
          <w:highlight w:val="none"/>
        </w:rPr>
      </w:r>
    </w:p>
    <w:p>
      <w:pPr>
        <w:pStyle w:val="926"/>
        <w:pBdr/>
        <w:spacing/>
        <w:ind/>
        <w:rPr/>
      </w:pPr>
      <w:r>
        <w:t xml:space="preserve">La base fonctionnelle retenue comprend notamment :</w:t>
      </w:r>
      <w:r/>
    </w:p>
    <w:p>
      <w:pPr>
        <w:pStyle w:val="927"/>
        <w:numPr>
          <w:ilvl w:val="0"/>
          <w:numId w:val="16"/>
        </w:numPr>
        <w:pBdr/>
        <w:spacing/>
        <w:ind/>
        <w:rPr/>
      </w:pPr>
      <w:r>
        <w:t xml:space="preserve">la gestion de la relation ;</w:t>
      </w:r>
      <w:r/>
    </w:p>
    <w:p>
      <w:pPr>
        <w:pStyle w:val="927"/>
        <w:numPr>
          <w:ilvl w:val="0"/>
          <w:numId w:val="16"/>
        </w:numPr>
        <w:pBdr/>
        <w:spacing/>
        <w:ind/>
        <w:rPr/>
      </w:pPr>
      <w:r>
        <w:t xml:space="preserve">la facturation ;</w:t>
      </w:r>
      <w:r/>
    </w:p>
    <w:p>
      <w:pPr>
        <w:pStyle w:val="927"/>
        <w:numPr>
          <w:ilvl w:val="0"/>
          <w:numId w:val="16"/>
        </w:numPr>
        <w:pBdr/>
        <w:spacing/>
        <w:ind/>
        <w:rPr/>
      </w:pPr>
      <w:r>
        <w:t xml:space="preserve">le point de vente pour les usages lies a Cric Crac Cafe ;</w:t>
      </w:r>
      <w:r/>
    </w:p>
    <w:p>
      <w:pPr>
        <w:pStyle w:val="927"/>
        <w:numPr>
          <w:ilvl w:val="0"/>
          <w:numId w:val="16"/>
        </w:numPr>
        <w:pBdr/>
        <w:spacing/>
        <w:ind/>
        <w:rPr/>
      </w:pPr>
      <w:r>
        <w:t xml:space="preserve">la gestion documentaire de gestion ;</w:t>
      </w:r>
      <w:r/>
    </w:p>
    <w:p>
      <w:pPr>
        <w:pStyle w:val="927"/>
        <w:numPr>
          <w:ilvl w:val="0"/>
          <w:numId w:val="16"/>
        </w:numPr>
        <w:pBdr/>
        <w:spacing/>
        <w:ind/>
        <w:rPr/>
      </w:pPr>
      <w:r>
        <w:t xml:space="preserve">le suivi de projet ;</w:t>
      </w:r>
      <w:r/>
    </w:p>
    <w:p>
      <w:pPr>
        <w:pStyle w:val="927"/>
        <w:numPr>
          <w:ilvl w:val="0"/>
          <w:numId w:val="16"/>
        </w:numPr>
        <w:pBdr/>
        <w:spacing/>
        <w:ind/>
        <w:rPr/>
      </w:pPr>
      <w:r>
        <w:t xml:space="preserve">les achats ;</w:t>
      </w:r>
      <w:r/>
    </w:p>
    <w:p>
      <w:pPr>
        <w:pStyle w:val="927"/>
        <w:numPr>
          <w:ilvl w:val="0"/>
          <w:numId w:val="16"/>
        </w:numPr>
        <w:pBdr/>
        <w:spacing/>
        <w:ind/>
        <w:rPr/>
      </w:pPr>
      <w:r>
        <w:t xml:space="preserve">et, pour LGZ et RGL, la lecture structuree dans Odoo des flux utiles issus de HelloAsso, en particulier autour :</w:t>
      </w:r>
      <w:r/>
    </w:p>
    <w:p>
      <w:pPr>
        <w:pStyle w:val="927"/>
        <w:numPr>
          <w:ilvl w:val="1"/>
          <w:numId w:val="17"/>
        </w:numPr>
        <w:pBdr/>
        <w:spacing/>
        <w:ind/>
        <w:rPr/>
      </w:pPr>
      <w:r>
        <w:t xml:space="preserve">des adherents ;</w:t>
      </w:r>
      <w:r/>
    </w:p>
    <w:p>
      <w:pPr>
        <w:pStyle w:val="927"/>
        <w:numPr>
          <w:ilvl w:val="1"/>
          <w:numId w:val="17"/>
        </w:numPr>
        <w:pBdr/>
        <w:spacing/>
        <w:ind/>
        <w:rPr/>
      </w:pPr>
      <w:r>
        <w:t xml:space="preserve">des evenements / billetteries ;</w:t>
      </w:r>
      <w:r/>
    </w:p>
    <w:p>
      <w:pPr>
        <w:pStyle w:val="927"/>
        <w:numPr>
          <w:ilvl w:val="1"/>
          <w:numId w:val="17"/>
        </w:numPr>
        <w:pBdr/>
        <w:spacing/>
        <w:ind/>
        <w:rPr/>
      </w:pPr>
      <w:r>
        <w:t xml:space="preserve">des commandes ;</w:t>
      </w:r>
      <w:r/>
    </w:p>
    <w:p>
      <w:pPr>
        <w:pStyle w:val="927"/>
        <w:numPr>
          <w:ilvl w:val="1"/>
          <w:numId w:val="17"/>
        </w:numPr>
        <w:pBdr/>
        <w:spacing/>
        <w:ind/>
        <w:rPr/>
      </w:pPr>
      <w:r>
        <w:t xml:space="preserve">et des paiements.</w:t>
      </w:r>
      <w:r/>
    </w:p>
    <w:p>
      <w:pPr>
        <w:pStyle w:val="926"/>
        <w:pBdr/>
        <w:spacing/>
        <w:ind/>
        <w:rPr/>
      </w:pPr>
      <w:r>
        <w:t xml:space="preserve">Cette base constitue le socle initial propose pour la mise en oeuvre.</w:t>
      </w:r>
      <w:r/>
    </w:p>
    <w:p w14:paraId="6726575C">
      <w:pPr>
        <w:pStyle w:val="925"/>
        <w:pBdr/>
        <w:spacing/>
        <w:ind/>
        <w:rPr/>
      </w:pPr>
      <w:r/>
      <w:bookmarkEnd w:id="24"/>
      <w:r/>
      <w:r/>
    </w:p>
    <w:p>
      <w:pPr>
        <w:pStyle w:val="938"/>
        <w:pBdr/>
        <w:spacing/>
        <w:ind/>
        <w:rPr/>
      </w:pPr>
      <w:r/>
      <w:bookmarkStart w:id="26" w:name="decoupage-du-projet-en-lots"/>
      <w:r>
        <w:t xml:space="preserve">9. D</w:t>
      </w:r>
      <w:r>
        <w:rPr>
          <w:lang w:val="fr-FR"/>
        </w:rPr>
        <w:t xml:space="preserve">é</w:t>
      </w:r>
      <w:r>
        <w:t xml:space="preserve">coupage du projet en lots</w:t>
      </w:r>
      <w:r/>
    </w:p>
    <w:p w14:paraId="1C1E427B">
      <w:pPr>
        <w:pStyle w:val="925"/>
        <w:pBdr/>
        <w:spacing/>
        <w:ind/>
        <w:rPr/>
      </w:pPr>
      <w:r/>
      <w:r/>
    </w:p>
    <w:tbl>
      <w:tblPr>
        <w:tblStyle w:val="959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Lot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Modules / perimetre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Entites concernees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Objectif</w:t>
            </w:r>
            <w:r/>
          </w:p>
        </w:tc>
      </w:tr>
      <w:tr>
        <w:trPr/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b/>
                <w:bCs/>
              </w:rPr>
              <w:t xml:space="preserve">Lot 1 - Socle commun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rStyle w:val="968"/>
              </w:rPr>
              <w:t xml:space="preserve">contacts</w:t>
            </w:r>
            <w:r>
              <w:t xml:space="preserve">,</w:t>
            </w:r>
            <w:r>
              <w:t xml:space="preserve"> </w:t>
            </w:r>
            <w:r>
              <w:rPr>
                <w:rStyle w:val="968"/>
              </w:rPr>
              <w:t xml:space="preserve">crm</w:t>
            </w:r>
            <w:r>
              <w:t xml:space="preserve">,</w:t>
            </w:r>
            <w:r>
              <w:t xml:space="preserve"> </w:t>
            </w:r>
            <w:r>
              <w:rPr>
                <w:rStyle w:val="968"/>
              </w:rPr>
              <w:t xml:space="preserve">account</w:t>
            </w:r>
            <w:r>
              <w:t xml:space="preserve">, socle multi-societes, configuration generale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LGZ + RGL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Structuration commune, separation des gestions</w:t>
            </w:r>
            <w:r/>
          </w:p>
        </w:tc>
      </w:tr>
      <w:tr>
        <w:trPr/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b/>
                <w:bCs/>
              </w:rPr>
              <w:t xml:space="preserve">Lot 2 - Operations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rStyle w:val="968"/>
              </w:rPr>
              <w:t xml:space="preserve">project</w:t>
            </w:r>
            <w:r>
              <w:t xml:space="preserve">,</w:t>
            </w:r>
            <w:r>
              <w:t xml:space="preserve"> </w:t>
            </w:r>
            <w:r>
              <w:rPr>
                <w:rStyle w:val="968"/>
              </w:rPr>
              <w:t xml:space="preserve">hr_timesheet</w:t>
            </w:r>
            <w:r>
              <w:t xml:space="preserve">,</w:t>
            </w:r>
            <w:r>
              <w:t xml:space="preserve"> </w:t>
            </w:r>
            <w:r>
              <w:rPr>
                <w:rStyle w:val="968"/>
              </w:rPr>
              <w:t xml:space="preserve">purchase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RGL (+ LGZ)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Suivi de projet, temps et achats</w:t>
            </w:r>
            <w:r/>
          </w:p>
        </w:tc>
      </w:tr>
      <w:tr>
        <w:trPr/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b/>
                <w:bCs/>
              </w:rPr>
              <w:t xml:space="preserve">Lot 3 - CCC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rStyle w:val="968"/>
              </w:rPr>
              <w:t xml:space="preserve">point_of_sale</w:t>
            </w:r>
            <w:r>
              <w:t xml:space="preserve">,</w:t>
            </w:r>
            <w:r>
              <w:t xml:space="preserve"> </w:t>
            </w:r>
            <w:r>
              <w:rPr>
                <w:rStyle w:val="968"/>
              </w:rPr>
              <w:t xml:space="preserve">stock</w:t>
            </w:r>
            <w:r>
              <w:t xml:space="preserve">,</w:t>
            </w:r>
            <w:r>
              <w:t xml:space="preserve"> </w:t>
            </w:r>
            <w:r>
              <w:rPr>
                <w:rStyle w:val="968"/>
              </w:rPr>
              <w:t xml:space="preserve">product</w:t>
            </w:r>
            <w:r>
              <w:t xml:space="preserve">, exploitation CCC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CCC / LGZ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Caisse, encaissement, suivi d’exploitation</w:t>
            </w:r>
            <w:r/>
          </w:p>
        </w:tc>
      </w:tr>
      <w:tr>
        <w:trPr/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rPr>
                <w:b/>
                <w:bCs/>
              </w:rPr>
              <w:t xml:space="preserve">Lot 4 - HelloAsso et enrichissements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connecteurs HelloAsso, reporting, automatismes, modules OCA utiles, integrations externes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LGZ + RGL, puis extension selon arbitrages</w:t>
            </w:r>
            <w:r/>
          </w:p>
        </w:tc>
        <w:tc>
          <w:tcPr>
            <w:tcBorders/>
          </w:tcPr>
          <w:p>
            <w:pPr>
              <w:pStyle w:val="927"/>
              <w:pBdr/>
              <w:spacing/>
              <w:ind/>
              <w:rPr/>
            </w:pPr>
            <w:r>
              <w:t xml:space="preserve">Structurer les flux externes utiles, en particulier adherents, billetteries, commandes et paiements</w:t>
            </w:r>
            <w:r/>
          </w:p>
        </w:tc>
      </w:tr>
    </w:tbl>
    <w:p>
      <w:pPr>
        <w:pStyle w:val="939"/>
        <w:pBdr/>
        <w:spacing/>
        <w:ind/>
        <w:rPr/>
      </w:pPr>
      <w:r/>
      <w:bookmarkStart w:id="25" w:name="comment-lire-le-lot-helloasso"/>
      <w:r>
        <w:t xml:space="preserve">9.1. Comment lire le lot HelloAsso</w:t>
      </w:r>
      <w:r/>
    </w:p>
    <w:p>
      <w:pPr>
        <w:pStyle w:val="926"/>
        <w:pBdr/>
        <w:spacing/>
        <w:ind/>
        <w:rPr/>
      </w:pPr>
      <w:r>
        <w:t xml:space="preserve">Le sous-p</w:t>
      </w:r>
      <w:r>
        <w:rPr>
          <w:lang w:val="fr-FR"/>
        </w:rPr>
        <w:t xml:space="preserve">é</w:t>
      </w:r>
      <w:r>
        <w:t xml:space="preserve">rimetre HelloAsso ne doit pas </w:t>
      </w:r>
      <w:r>
        <w:t xml:space="preserve">ê</w:t>
      </w:r>
      <w:r>
        <w:t xml:space="preserve">tre lu comme un sujet annexe.</w:t>
      </w:r>
      <w:r/>
    </w:p>
    <w:p>
      <w:pPr>
        <w:pStyle w:val="925"/>
        <w:pBdr/>
        <w:spacing/>
        <w:ind/>
        <w:rPr/>
      </w:pPr>
      <w:r>
        <w:t xml:space="preserve">Pour LGZ, il couvre d</w:t>
      </w:r>
      <w:r>
        <w:rPr>
          <w:lang w:val="fr-FR"/>
        </w:rPr>
        <w:t xml:space="preserve">é</w:t>
      </w:r>
      <w:r>
        <w:t xml:space="preserve">j</w:t>
      </w:r>
      <w:r>
        <w:rPr>
          <w:lang w:val="fr-FR"/>
        </w:rPr>
        <w:t xml:space="preserve">à</w:t>
      </w:r>
      <w:r>
        <w:t xml:space="preserve"> un besoin fonctionnel concret et v</w:t>
      </w:r>
      <w:r>
        <w:rPr>
          <w:lang w:val="fr-FR"/>
        </w:rPr>
        <w:t xml:space="preserve">é</w:t>
      </w:r>
      <w:r>
        <w:t xml:space="preserve">rifie sur le lab.</w:t>
      </w:r>
      <w:r/>
    </w:p>
    <w:p>
      <w:pPr>
        <w:pStyle w:val="925"/>
        <w:pBdr/>
        <w:spacing/>
        <w:ind/>
        <w:rPr/>
      </w:pPr>
      <w:r>
        <w:t xml:space="preserve">Il constitue aujourd’hui un bon exemple de mise en oeuvre progressive du projet :</w:t>
      </w:r>
      <w:r/>
    </w:p>
    <w:p>
      <w:pPr>
        <w:pStyle w:val="927"/>
        <w:numPr>
          <w:ilvl w:val="0"/>
          <w:numId w:val="18"/>
        </w:numPr>
        <w:pBdr/>
        <w:spacing/>
        <w:ind/>
        <w:rPr/>
      </w:pPr>
      <w:r>
        <w:t xml:space="preserve">flux public conserve dans l’outil d’origine ;</w:t>
      </w:r>
      <w:r/>
    </w:p>
    <w:p>
      <w:pPr>
        <w:pStyle w:val="927"/>
        <w:numPr>
          <w:ilvl w:val="0"/>
          <w:numId w:val="18"/>
        </w:numPr>
        <w:pBdr/>
        <w:spacing/>
        <w:ind/>
        <w:rPr/>
      </w:pPr>
      <w:r>
        <w:t xml:space="preserve">lecture interne structuree dans Odoo ;</w:t>
      </w:r>
      <w:r/>
    </w:p>
    <w:p>
      <w:pPr>
        <w:pStyle w:val="927"/>
        <w:numPr>
          <w:ilvl w:val="0"/>
          <w:numId w:val="18"/>
        </w:numPr>
        <w:pBdr/>
        <w:spacing/>
        <w:ind/>
        <w:rPr/>
      </w:pPr>
      <w:r>
        <w:t xml:space="preserve">progression par MVP successifs ;</w:t>
      </w:r>
      <w:r/>
    </w:p>
    <w:p>
      <w:pPr>
        <w:pStyle w:val="927"/>
        <w:numPr>
          <w:ilvl w:val="0"/>
          <w:numId w:val="18"/>
        </w:numPr>
        <w:pBdr/>
        <w:spacing/>
        <w:ind/>
        <w:rPr/>
      </w:pPr>
      <w:r>
        <w:t xml:space="preserve">et automatisation ensuite seulement lorsque le besoin est stabilise.</w:t>
      </w:r>
      <w:bookmarkEnd w:id="25"/>
      <w:r/>
      <w:bookmarkEnd w:id="26"/>
      <w:r/>
      <w:r/>
    </w:p>
    <w:p w14:paraId="1DF742CD">
      <w:pPr>
        <w:pStyle w:val="927"/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38"/>
        <w:pBdr/>
        <w:spacing/>
        <w:ind/>
        <w:rPr/>
      </w:pPr>
      <w:r/>
      <w:bookmarkStart w:id="27" w:name="cadre-methodologique-de-mise-en-oeuvre"/>
      <w:r>
        <w:t xml:space="preserve">10. Cadre m</w:t>
      </w:r>
      <w:r>
        <w:rPr>
          <w:lang w:val="fr-FR"/>
        </w:rPr>
        <w:t xml:space="preserve">é</w:t>
      </w:r>
      <w:r>
        <w:t xml:space="preserve">thodologique de mise en oeuvre</w:t>
      </w:r>
      <w:r/>
    </w:p>
    <w:p>
      <w:pPr>
        <w:pStyle w:val="926"/>
        <w:pBdr/>
        <w:spacing/>
        <w:ind/>
        <w:rPr/>
      </w:pPr>
      <w:r>
        <w:t xml:space="preserve">La mise en oeuvre du projet est conduite selon une approche agile, fondee sur des iterations successives.</w:t>
      </w:r>
      <w:r/>
    </w:p>
    <w:p>
      <w:pPr>
        <w:pStyle w:val="925"/>
        <w:pBdr/>
        <w:spacing/>
        <w:ind/>
        <w:rPr/>
      </w:pPr>
      <w:r>
        <w:t xml:space="preserve">Elle repose sur :</w:t>
      </w:r>
      <w:r/>
    </w:p>
    <w:p>
      <w:pPr>
        <w:pStyle w:val="927"/>
        <w:numPr>
          <w:ilvl w:val="0"/>
          <w:numId w:val="19"/>
        </w:numPr>
        <w:pBdr/>
        <w:spacing/>
        <w:ind/>
        <w:rPr/>
      </w:pPr>
      <w:r>
        <w:t xml:space="preserve">la mise en place d’un premier perimetre utile ;</w:t>
      </w:r>
      <w:r/>
    </w:p>
    <w:p>
      <w:pPr>
        <w:pStyle w:val="927"/>
        <w:numPr>
          <w:ilvl w:val="0"/>
          <w:numId w:val="19"/>
        </w:numPr>
        <w:pBdr/>
        <w:spacing/>
        <w:ind/>
        <w:rPr/>
      </w:pPr>
      <w:r>
        <w:t xml:space="preserve">l’observation des usages reels ;</w:t>
      </w:r>
      <w:r/>
    </w:p>
    <w:p>
      <w:pPr>
        <w:pStyle w:val="927"/>
        <w:numPr>
          <w:ilvl w:val="0"/>
          <w:numId w:val="19"/>
        </w:numPr>
        <w:pBdr/>
        <w:spacing/>
        <w:ind/>
        <w:rPr/>
      </w:pPr>
      <w:r>
        <w:t xml:space="preserve">des arbitrages successifs ;</w:t>
      </w:r>
      <w:r/>
    </w:p>
    <w:p>
      <w:pPr>
        <w:pStyle w:val="927"/>
        <w:numPr>
          <w:ilvl w:val="0"/>
          <w:numId w:val="19"/>
        </w:numPr>
        <w:pBdr/>
        <w:spacing/>
        <w:ind/>
        <w:rPr/>
      </w:pPr>
      <w:r>
        <w:t xml:space="preserve">l’enrichissement progressif du socle fonctionnel ;</w:t>
      </w:r>
      <w:r/>
    </w:p>
    <w:p>
      <w:pPr>
        <w:pStyle w:val="927"/>
        <w:numPr>
          <w:ilvl w:val="0"/>
          <w:numId w:val="19"/>
        </w:numPr>
        <w:pBdr/>
        <w:spacing/>
        <w:ind/>
        <w:rPr/>
      </w:pPr>
      <w:r>
        <w:t xml:space="preserve">la prise en compte des contraintes propres a chaque structure ;</w:t>
      </w:r>
      <w:r/>
    </w:p>
    <w:p>
      <w:pPr>
        <w:pStyle w:val="927"/>
        <w:numPr>
          <w:ilvl w:val="0"/>
          <w:numId w:val="19"/>
        </w:numPr>
        <w:pBdr/>
        <w:spacing/>
        <w:ind/>
        <w:rPr/>
      </w:pPr>
      <w:r>
        <w:t xml:space="preserve">et une logique de formation continue au fil de la mise en oeuvre.</w:t>
      </w:r>
      <w:r/>
    </w:p>
    <w:p>
      <w:pPr>
        <w:pStyle w:val="926"/>
        <w:pBdr/>
        <w:spacing/>
        <w:ind/>
        <w:rPr/>
      </w:pPr>
      <w:r>
        <w:t xml:space="preserve">Le projet est ainsi conduit dans une logique de construction progressive, au plus pres du terrain.</w:t>
      </w:r>
      <w:bookmarkEnd w:id="27"/>
      <w:r/>
      <w:r/>
    </w:p>
    <w:p w14:paraId="379DF86C"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28" w:name="cadre-dintervention"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8"/>
        <w:pBdr/>
        <w:spacing/>
        <w:ind/>
        <w:rPr>
          <w:highlight w:val="none"/>
        </w:rPr>
      </w:pPr>
      <w:r>
        <w:t xml:space="preserve">11. Cadre d’intervention</w:t>
      </w:r>
      <w:r>
        <w:rPr>
          <w:highlight w:val="none"/>
        </w:rPr>
      </w:r>
    </w:p>
    <w:p>
      <w:pPr>
        <w:pStyle w:val="926"/>
        <w:pBdr/>
        <w:spacing/>
        <w:ind/>
        <w:rPr/>
      </w:pPr>
      <w:r>
        <w:t xml:space="preserve">L’accompagnement du projet est porte dans une logique d’assistance </w:t>
      </w:r>
      <w:r>
        <w:rPr>
          <w:lang w:val="fr-FR"/>
        </w:rPr>
        <w:t xml:space="preserve">à</w:t>
      </w:r>
      <w:r>
        <w:t xml:space="preserve"> ma</w:t>
      </w:r>
      <w:r>
        <w:t xml:space="preserve">î</w:t>
      </w:r>
      <w:r>
        <w:t xml:space="preserve">trise d’ouvrage (AMOA).</w:t>
      </w:r>
      <w:r/>
    </w:p>
    <w:p>
      <w:pPr>
        <w:pStyle w:val="925"/>
        <w:pBdr/>
        <w:spacing/>
        <w:ind/>
        <w:rPr/>
      </w:pPr>
      <w:r>
        <w:t xml:space="preserve">Il couvre :</w:t>
      </w:r>
      <w:r/>
    </w:p>
    <w:p>
      <w:pPr>
        <w:pStyle w:val="927"/>
        <w:numPr>
          <w:ilvl w:val="0"/>
          <w:numId w:val="20"/>
        </w:numPr>
        <w:pBdr/>
        <w:spacing/>
        <w:ind/>
        <w:rPr/>
      </w:pPr>
      <w:r>
        <w:t xml:space="preserve">le cadrage ;</w:t>
      </w:r>
      <w:r/>
    </w:p>
    <w:p>
      <w:pPr>
        <w:pStyle w:val="927"/>
        <w:numPr>
          <w:ilvl w:val="0"/>
          <w:numId w:val="20"/>
        </w:numPr>
        <w:pBdr/>
        <w:spacing/>
        <w:ind/>
        <w:rPr/>
      </w:pPr>
      <w:r>
        <w:t xml:space="preserve">l’organisation du perimetre ;</w:t>
      </w:r>
      <w:r/>
    </w:p>
    <w:p>
      <w:pPr>
        <w:pStyle w:val="927"/>
        <w:numPr>
          <w:ilvl w:val="0"/>
          <w:numId w:val="20"/>
        </w:numPr>
        <w:pBdr/>
        <w:spacing/>
        <w:ind/>
        <w:rPr/>
      </w:pPr>
      <w:r>
        <w:t xml:space="preserve">la mise en oeuvre initiale ;</w:t>
      </w:r>
      <w:r/>
    </w:p>
    <w:p>
      <w:pPr>
        <w:pStyle w:val="927"/>
        <w:numPr>
          <w:ilvl w:val="0"/>
          <w:numId w:val="20"/>
        </w:numPr>
        <w:pBdr/>
        <w:spacing/>
        <w:ind/>
        <w:rPr/>
      </w:pPr>
      <w:r>
        <w:t xml:space="preserve">les ajustements de demarrage ;</w:t>
      </w:r>
      <w:r/>
    </w:p>
    <w:p>
      <w:pPr>
        <w:pStyle w:val="927"/>
        <w:numPr>
          <w:ilvl w:val="0"/>
          <w:numId w:val="20"/>
        </w:numPr>
        <w:pBdr/>
        <w:spacing/>
        <w:ind/>
        <w:rPr/>
      </w:pPr>
      <w:r>
        <w:t xml:space="preserve">le travail d’arbitrage ;</w:t>
      </w:r>
      <w:r/>
    </w:p>
    <w:p>
      <w:pPr>
        <w:pStyle w:val="927"/>
        <w:numPr>
          <w:ilvl w:val="0"/>
          <w:numId w:val="20"/>
        </w:numPr>
        <w:pBdr/>
        <w:spacing/>
        <w:ind/>
        <w:rPr/>
      </w:pPr>
      <w:r>
        <w:t xml:space="preserve">et le suivi de coherence du projet.</w:t>
      </w:r>
      <w:r/>
    </w:p>
    <w:p>
      <w:pPr>
        <w:pStyle w:val="926"/>
        <w:pBdr/>
        <w:spacing/>
        <w:ind/>
        <w:rPr/>
      </w:pPr>
      <w:r>
        <w:t xml:space="preserve">Dans le cadre du demarrage du projet, un temps d’AMOA est consacre a son accompagnement sur une premiere sequence de 6 semaines, a raison d’une moyenne de 5 heures par semaine, soit 30 heures au total.</w:t>
      </w:r>
      <w:r/>
    </w:p>
    <w:p>
      <w:pPr>
        <w:pStyle w:val="925"/>
        <w:pBdr/>
        <w:spacing/>
        <w:ind/>
        <w:rPr/>
      </w:pPr>
      <w:r>
        <w:t xml:space="preserve">Cet engagement est apporte a titre benevole par Doreviateam pour l’amorcage du projet.</w:t>
      </w:r>
      <w:bookmarkEnd w:id="28"/>
      <w:r/>
      <w:r/>
    </w:p>
    <w:p w14:paraId="7487E4BD"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31" w:name="cadre-economique-et-technique"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8"/>
        <w:pBdr/>
        <w:spacing/>
        <w:ind/>
        <w:rPr>
          <w:highlight w:val="none"/>
        </w:rPr>
      </w:pPr>
      <w:r>
        <w:t xml:space="preserve">12. Cadre </w:t>
      </w:r>
      <w:r>
        <w:rPr>
          <w:lang w:val="fr-FR"/>
        </w:rPr>
        <w:t xml:space="preserve">é</w:t>
      </w:r>
      <w:r>
        <w:t xml:space="preserve">conomique et technique</w:t>
      </w:r>
      <w:r>
        <w:rPr>
          <w:highlight w:val="none"/>
        </w:rPr>
      </w:r>
    </w:p>
    <w:p>
      <w:pPr>
        <w:pStyle w:val="926"/>
        <w:pBdr/>
        <w:spacing/>
        <w:ind/>
        <w:rPr/>
      </w:pPr>
      <w:r>
        <w:t xml:space="preserve">Le modele retenu distingue une phase projet et une prise en charge technique r</w:t>
      </w:r>
      <w:r>
        <w:rPr>
          <w:lang w:val="fr-FR"/>
        </w:rPr>
        <w:t xml:space="preserve">é</w:t>
      </w:r>
      <w:r>
        <w:t xml:space="preserve">currente.</w:t>
      </w:r>
      <w:r/>
    </w:p>
    <w:p>
      <w:pPr>
        <w:pStyle w:val="939"/>
        <w:pBdr/>
        <w:spacing/>
        <w:ind/>
        <w:rPr/>
      </w:pPr>
      <w:r/>
      <w:bookmarkStart w:id="29" w:name="phase-projet"/>
      <w:r>
        <w:t xml:space="preserve">12.1. Phase projet</w:t>
      </w:r>
      <w:r/>
    </w:p>
    <w:p>
      <w:pPr>
        <w:pStyle w:val="926"/>
        <w:pBdr/>
        <w:spacing/>
        <w:ind/>
        <w:rPr/>
      </w:pPr>
      <w:r>
        <w:t xml:space="preserve">La phase projet couvre :</w:t>
      </w:r>
      <w:r/>
    </w:p>
    <w:p>
      <w:pPr>
        <w:pStyle w:val="927"/>
        <w:numPr>
          <w:ilvl w:val="0"/>
          <w:numId w:val="21"/>
        </w:numPr>
        <w:pBdr/>
        <w:spacing/>
        <w:ind/>
        <w:rPr/>
      </w:pPr>
      <w:r>
        <w:t xml:space="preserve">le cadrage ;</w:t>
      </w:r>
      <w:r/>
    </w:p>
    <w:p>
      <w:pPr>
        <w:pStyle w:val="927"/>
        <w:numPr>
          <w:ilvl w:val="0"/>
          <w:numId w:val="21"/>
        </w:numPr>
        <w:pBdr/>
        <w:spacing/>
        <w:ind/>
        <w:rPr/>
      </w:pPr>
      <w:r>
        <w:t xml:space="preserve">le parametrage initial ;</w:t>
      </w:r>
      <w:r/>
    </w:p>
    <w:p>
      <w:pPr>
        <w:pStyle w:val="927"/>
        <w:numPr>
          <w:ilvl w:val="0"/>
          <w:numId w:val="21"/>
        </w:numPr>
        <w:pBdr/>
        <w:spacing/>
        <w:ind/>
        <w:rPr/>
      </w:pPr>
      <w:r>
        <w:t xml:space="preserve">l’organisation fonctionnelle ;</w:t>
      </w:r>
      <w:r/>
    </w:p>
    <w:p>
      <w:pPr>
        <w:pStyle w:val="927"/>
        <w:numPr>
          <w:ilvl w:val="0"/>
          <w:numId w:val="21"/>
        </w:numPr>
        <w:pBdr/>
        <w:spacing/>
        <w:ind/>
        <w:rPr/>
      </w:pPr>
      <w:r>
        <w:t xml:space="preserve">l’accompagnement au demarrage ;</w:t>
      </w:r>
      <w:r/>
    </w:p>
    <w:p>
      <w:pPr>
        <w:pStyle w:val="927"/>
        <w:numPr>
          <w:ilvl w:val="0"/>
          <w:numId w:val="21"/>
        </w:numPr>
        <w:pBdr/>
        <w:spacing/>
        <w:ind/>
        <w:rPr/>
      </w:pPr>
      <w:r>
        <w:t xml:space="preserve">les ajustements lies a la mise en oeuvre ;</w:t>
      </w:r>
      <w:r/>
    </w:p>
    <w:p>
      <w:pPr>
        <w:pStyle w:val="927"/>
        <w:numPr>
          <w:ilvl w:val="0"/>
          <w:numId w:val="21"/>
        </w:numPr>
        <w:pBdr/>
        <w:spacing/>
        <w:ind/>
        <w:rPr/>
      </w:pPr>
      <w:r>
        <w:t xml:space="preserve">et les enrichissements retenus a l’issue des premiers arbitrages.</w:t>
      </w:r>
      <w:bookmarkEnd w:id="29"/>
      <w:r/>
      <w:r/>
    </w:p>
    <w:p>
      <w:pPr>
        <w:pStyle w:val="939"/>
        <w:pBdr/>
        <w:spacing/>
        <w:ind/>
        <w:rPr/>
      </w:pPr>
      <w:r/>
      <w:bookmarkStart w:id="30" w:name="prise-en-charge-technique-recurrente"/>
      <w:r>
        <w:t xml:space="preserve">12.2. Prise en charge technique recurrente</w:t>
      </w:r>
      <w:r/>
    </w:p>
    <w:p>
      <w:pPr>
        <w:pStyle w:val="926"/>
        <w:pBdr/>
        <w:spacing/>
        <w:ind/>
        <w:rPr/>
      </w:pPr>
      <w:r>
        <w:t xml:space="preserve">La prise en charge technique recurrente repose sur une contribution de 17 EUR par mois et par association, versee a Doreviateam.</w:t>
      </w:r>
      <w:r/>
    </w:p>
    <w:p>
      <w:pPr>
        <w:pStyle w:val="925"/>
        <w:pBdr/>
        <w:spacing/>
        <w:ind/>
        <w:rPr/>
      </w:pPr>
      <w:r>
        <w:t xml:space="preserve">Elle couvre :</w:t>
      </w:r>
      <w:r/>
    </w:p>
    <w:p>
      <w:pPr>
        <w:pStyle w:val="927"/>
        <w:numPr>
          <w:ilvl w:val="0"/>
          <w:numId w:val="22"/>
        </w:numPr>
        <w:pBdr/>
        <w:spacing/>
        <w:ind/>
        <w:rPr/>
      </w:pPr>
      <w:r>
        <w:t xml:space="preserve">l’hebergement ;</w:t>
      </w:r>
      <w:r/>
    </w:p>
    <w:p>
      <w:pPr>
        <w:pStyle w:val="927"/>
        <w:numPr>
          <w:ilvl w:val="0"/>
          <w:numId w:val="22"/>
        </w:numPr>
        <w:pBdr/>
        <w:spacing/>
        <w:ind/>
        <w:rPr/>
      </w:pPr>
      <w:r>
        <w:t xml:space="preserve">la maintenance courante ;</w:t>
      </w:r>
      <w:r/>
    </w:p>
    <w:p>
      <w:pPr>
        <w:pStyle w:val="927"/>
        <w:numPr>
          <w:ilvl w:val="0"/>
          <w:numId w:val="22"/>
        </w:numPr>
        <w:pBdr/>
        <w:spacing/>
        <w:ind/>
        <w:rPr/>
      </w:pPr>
      <w:r>
        <w:t xml:space="preserve">l’administration technique de base ;</w:t>
      </w:r>
      <w:r/>
    </w:p>
    <w:p>
      <w:pPr>
        <w:pStyle w:val="927"/>
        <w:numPr>
          <w:ilvl w:val="0"/>
          <w:numId w:val="22"/>
        </w:numPr>
        <w:pBdr/>
        <w:spacing/>
        <w:ind/>
        <w:rPr/>
      </w:pPr>
      <w:r>
        <w:t xml:space="preserve">et la continuite generale de fonctionnement.</w:t>
      </w:r>
      <w:r/>
    </w:p>
    <w:p>
      <w:pPr>
        <w:pStyle w:val="926"/>
        <w:pBdr/>
        <w:spacing/>
        <w:ind/>
        <w:rPr/>
      </w:pPr>
      <w:r>
        <w:t xml:space="preserve">Pour deux associations, cela represente 34 EUR par mois, soit 408 EUR par an.</w:t>
      </w:r>
      <w:r/>
    </w:p>
    <w:p w14:paraId="0F152298">
      <w:pPr>
        <w:pStyle w:val="925"/>
        <w:pBdr/>
        <w:spacing/>
        <w:ind/>
        <w:rPr/>
      </w:pPr>
      <w:r/>
      <w:bookmarkEnd w:id="30"/>
      <w:r/>
      <w:bookmarkEnd w:id="31"/>
      <w:r/>
      <w:r/>
    </w:p>
    <w:p>
      <w:pPr>
        <w:pStyle w:val="938"/>
        <w:pBdr/>
        <w:spacing/>
        <w:ind/>
        <w:rPr/>
      </w:pPr>
      <w:r/>
      <w:bookmarkStart w:id="32" w:name="point-particulier-documentaire"/>
      <w:r>
        <w:t xml:space="preserve">13. Point particulier : documentaire</w:t>
      </w:r>
      <w:r/>
    </w:p>
    <w:p>
      <w:pPr>
        <w:pStyle w:val="926"/>
        <w:pBdr/>
        <w:spacing/>
        <w:ind/>
        <w:rPr/>
      </w:pPr>
      <w:r>
        <w:t xml:space="preserve">Le projet comporte un enjeu documentaire important, compte tenu du volume de documents, PDF, photographies, videos et contenus lies aux activites.</w:t>
      </w:r>
      <w:r/>
    </w:p>
    <w:p>
      <w:pPr>
        <w:pStyle w:val="925"/>
        <w:pBdr/>
        <w:spacing/>
        <w:ind/>
        <w:rPr/>
      </w:pPr>
      <w:r>
        <w:t xml:space="preserve">Odoo a vocation a couvrir les usages documentaires directement lies a la gestion.</w:t>
      </w:r>
      <w:r/>
    </w:p>
    <w:p>
      <w:pPr>
        <w:pStyle w:val="925"/>
        <w:pBdr/>
        <w:spacing/>
        <w:ind/>
        <w:rPr/>
      </w:pPr>
      <w:r>
        <w:t xml:space="preserve">Un espace documentaire partage complementaire pourra etre mis en place dans la suite du projet, selon les arbitrages arretes.</w:t>
      </w:r>
      <w:bookmarkEnd w:id="32"/>
      <w:r/>
      <w:r/>
    </w:p>
    <w:p w14:paraId="34A8709E"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33" w:name="points-dattention-de-pilotage"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8"/>
        <w:pBdr/>
        <w:spacing/>
        <w:ind/>
        <w:rPr>
          <w:highlight w:val="none"/>
        </w:rPr>
      </w:pPr>
      <w:r>
        <w:t xml:space="preserve">14. Points d’attention de pilotage</w:t>
      </w:r>
      <w:r>
        <w:rPr>
          <w:highlight w:val="none"/>
        </w:rPr>
      </w:r>
    </w:p>
    <w:p>
      <w:pPr>
        <w:pStyle w:val="926"/>
        <w:pBdr/>
        <w:spacing/>
        <w:ind/>
        <w:rPr/>
      </w:pPr>
      <w:r>
        <w:t xml:space="preserve">La poursuite du projet suppose une vigilance particuliere sur les points suivants :</w:t>
      </w:r>
      <w:r/>
    </w:p>
    <w:p>
      <w:pPr>
        <w:pStyle w:val="927"/>
        <w:numPr>
          <w:ilvl w:val="0"/>
          <w:numId w:val="23"/>
        </w:numPr>
        <w:pBdr/>
        <w:spacing/>
        <w:ind/>
        <w:rPr/>
      </w:pPr>
      <w:r>
        <w:t xml:space="preserve">maintenir une lecture claire entre LGZ, RGL et CCC, sans confondre rapprochement des usages et fusion de gestion ;</w:t>
      </w:r>
      <w:r/>
    </w:p>
    <w:p>
      <w:pPr>
        <w:pStyle w:val="927"/>
        <w:numPr>
          <w:ilvl w:val="0"/>
          <w:numId w:val="23"/>
        </w:numPr>
        <w:pBdr/>
        <w:spacing/>
        <w:ind/>
        <w:rPr/>
      </w:pPr>
      <w:r>
        <w:t xml:space="preserve">garder un perimetre de mise en oeuvre progressif, afin d’eviter une extension trop rapide du projet ;</w:t>
      </w:r>
      <w:r/>
    </w:p>
    <w:p>
      <w:pPr>
        <w:pStyle w:val="927"/>
        <w:numPr>
          <w:ilvl w:val="0"/>
          <w:numId w:val="23"/>
        </w:numPr>
        <w:pBdr/>
        <w:spacing/>
        <w:ind/>
        <w:rPr/>
      </w:pPr>
      <w:r>
        <w:t xml:space="preserve">clarifier le role respectif des outils deja en place, en particulier HelloAsso, Pennylane et les outils de communication du quotidien ;</w:t>
      </w:r>
      <w:r/>
    </w:p>
    <w:p>
      <w:pPr>
        <w:pStyle w:val="927"/>
        <w:numPr>
          <w:ilvl w:val="0"/>
          <w:numId w:val="23"/>
        </w:numPr>
        <w:pBdr/>
        <w:spacing/>
        <w:ind/>
        <w:rPr/>
      </w:pPr>
      <w:r>
        <w:t xml:space="preserve">preserver une separation lisible des responsabilites, des donnees et des circuits de validation ;</w:t>
      </w:r>
      <w:r/>
    </w:p>
    <w:p>
      <w:pPr>
        <w:pStyle w:val="927"/>
        <w:numPr>
          <w:ilvl w:val="0"/>
          <w:numId w:val="23"/>
        </w:numPr>
        <w:pBdr/>
        <w:spacing/>
        <w:ind/>
        <w:rPr/>
      </w:pPr>
      <w:r>
        <w:t xml:space="preserve">traiter Cric Crac Cafe comme un sujet specifique, avec son propre rythme de mise en oeuvre ;</w:t>
      </w:r>
      <w:r/>
    </w:p>
    <w:p>
      <w:pPr>
        <w:pStyle w:val="927"/>
        <w:numPr>
          <w:ilvl w:val="0"/>
          <w:numId w:val="23"/>
        </w:numPr>
        <w:pBdr/>
        <w:spacing/>
        <w:ind/>
        <w:rPr/>
      </w:pPr>
      <w:r>
        <w:t xml:space="preserve">capitaliser sur les elements deja valides sur le lab, sans considerer trop vite qu’ils valent generalisation complete a tous les usages ;</w:t>
      </w:r>
      <w:r/>
    </w:p>
    <w:p>
      <w:pPr>
        <w:pStyle w:val="927"/>
        <w:numPr>
          <w:ilvl w:val="0"/>
          <w:numId w:val="23"/>
        </w:numPr>
        <w:pBdr/>
        <w:spacing/>
        <w:ind/>
        <w:rPr/>
      </w:pPr>
      <w:r>
        <w:t xml:space="preserve">conserver une logique d’arbitrage successif, afin de ne pas figer prematurement des choix qui doivent encore etre observes dans l’usage reel.</w:t>
      </w:r>
      <w:bookmarkEnd w:id="33"/>
      <w:r/>
      <w:r/>
    </w:p>
    <w:p>
      <w:pPr>
        <w:pStyle w:val="938"/>
        <w:pBdr/>
        <w:spacing/>
        <w:ind/>
        <w:rPr/>
      </w:pPr>
      <w:r/>
      <w:bookmarkStart w:id="34" w:name="points-soumis-a-decision"/>
      <w:r>
        <w:t xml:space="preserve">15. Points soumis a decision</w:t>
      </w:r>
      <w:r/>
    </w:p>
    <w:p>
      <w:pPr>
        <w:pStyle w:val="926"/>
        <w:pBdr/>
        <w:spacing/>
        <w:ind/>
        <w:rPr/>
      </w:pPr>
      <w:r>
        <w:t xml:space="preserve">Il est propos</w:t>
      </w:r>
      <w:r>
        <w:rPr>
          <w:lang w:val="fr-FR"/>
        </w:rPr>
        <w:t xml:space="preserve">é</w:t>
      </w:r>
      <w:r>
        <w:t xml:space="preserve"> au comite de direction de se prononcer sur :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le cadrage general du projet Odoo ;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son perimetre autour de LGZ, RGL et CCC ;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la lecture retenue distinguant LGZ et RGL, avec CCC comme sous-perimetre rattache a LGZ ;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la base fonctionnelle initiale proposee ;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le decoupage du projet en lots ;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la place de HelloAsso comme sous-perimetre fonctionnel utile du projet LGZ / RGL ;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le cadre methodologique de mise en oeuvre ;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le principe d’une mise en oeuvre progressive par iterations successives ;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la poursuite du projet sur la base d’une phase projet chiffree ;</w:t>
      </w:r>
      <w:r/>
    </w:p>
    <w:p>
      <w:pPr>
        <w:pStyle w:val="927"/>
        <w:numPr>
          <w:ilvl w:val="0"/>
          <w:numId w:val="24"/>
        </w:numPr>
        <w:pBdr/>
        <w:spacing/>
        <w:ind/>
        <w:rPr/>
      </w:pPr>
      <w:r>
        <w:t xml:space="preserve">le cadre technique recurrent reposant sur une contribution mensuelle par association.</w:t>
      </w:r>
      <w:bookmarkEnd w:id="34"/>
      <w:r/>
      <w:r/>
    </w:p>
    <w:p w14:paraId="307F2017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8"/>
        <w:pBdr/>
        <w:spacing/>
        <w:ind/>
        <w:rPr>
          <w:highlight w:val="none"/>
        </w:rPr>
      </w:pPr>
      <w:r/>
      <w:bookmarkStart w:id="35" w:name="conclusion"/>
      <w:r>
        <w:t xml:space="preserve">16. Conclusion</w:t>
      </w:r>
      <w:r>
        <w:rPr>
          <w:highlight w:val="none"/>
        </w:rPr>
      </w:r>
    </w:p>
    <w:p>
      <w:pPr>
        <w:pStyle w:val="926"/>
        <w:pBdr/>
        <w:spacing/>
        <w:ind/>
        <w:rPr/>
      </w:pPr>
      <w:r>
        <w:t xml:space="preserve">Le projet Odoo concerne la structuration d’ensemble de LGZ, RGL et CCC, avec une lecture clarifi</w:t>
      </w:r>
      <w:r>
        <w:rPr>
          <w:lang w:val="fr-FR"/>
        </w:rPr>
        <w:t xml:space="preserve">é</w:t>
      </w:r>
      <w:r>
        <w:t xml:space="preserve">e :</w:t>
      </w:r>
      <w:r/>
    </w:p>
    <w:p>
      <w:pPr>
        <w:pStyle w:val="927"/>
        <w:numPr>
          <w:ilvl w:val="0"/>
          <w:numId w:val="25"/>
        </w:numPr>
        <w:pBdr/>
        <w:spacing/>
        <w:ind/>
        <w:rPr/>
      </w:pPr>
      <w:r>
        <w:t xml:space="preserve">LGZ et RGL comme deux structures distinctes ;</w:t>
      </w:r>
      <w:r/>
    </w:p>
    <w:p>
      <w:pPr>
        <w:pStyle w:val="927"/>
        <w:numPr>
          <w:ilvl w:val="0"/>
          <w:numId w:val="25"/>
        </w:numPr>
        <w:pBdr/>
        <w:spacing/>
        <w:ind/>
        <w:rPr/>
      </w:pPr>
      <w:r>
        <w:t xml:space="preserve">CCC comme sous-perimetre specifique rattache a LGZ ;</w:t>
      </w:r>
      <w:r/>
    </w:p>
    <w:p>
      <w:pPr>
        <w:pStyle w:val="927"/>
        <w:numPr>
          <w:ilvl w:val="0"/>
          <w:numId w:val="25"/>
        </w:numPr>
        <w:pBdr/>
        <w:spacing/>
        <w:ind/>
        <w:rPr/>
      </w:pPr>
      <w:r>
        <w:t xml:space="preserve">et HelloAsso comme un besoin fonctionnel deja reel pour LGZ et RGL, deja partiellement traduit et valide dans Odoo.</w:t>
      </w:r>
      <w:r/>
    </w:p>
    <w:p>
      <w:pPr>
        <w:pStyle w:val="926"/>
        <w:pBdr/>
        <w:spacing/>
        <w:ind/>
        <w:rPr/>
      </w:pPr>
      <w:r>
        <w:t xml:space="preserve">La pr</w:t>
      </w:r>
      <w:r>
        <w:rPr>
          <w:lang w:val="fr-FR"/>
        </w:rPr>
        <w:t xml:space="preserve">é</w:t>
      </w:r>
      <w:r>
        <w:t xml:space="preserve">sente note a pour objet de fixer le cadre general dans lequel le projet peut se poursuivre.</w:t>
      </w:r>
      <w:r/>
    </w:p>
    <w:p>
      <w:pPr>
        <w:pStyle w:val="925"/>
        <w:pBdr/>
        <w:spacing/>
        <w:ind/>
        <w:rPr/>
      </w:pPr>
      <w:r>
        <w:t xml:space="preserve">Il est propose au comite de direction d’en valider :</w:t>
      </w:r>
      <w:r/>
    </w:p>
    <w:p>
      <w:pPr>
        <w:pStyle w:val="927"/>
        <w:numPr>
          <w:ilvl w:val="0"/>
          <w:numId w:val="26"/>
        </w:numPr>
        <w:pBdr/>
        <w:spacing/>
        <w:ind/>
        <w:rPr/>
      </w:pPr>
      <w:r>
        <w:t xml:space="preserve">le principe ;</w:t>
      </w:r>
      <w:r/>
    </w:p>
    <w:p>
      <w:pPr>
        <w:pStyle w:val="927"/>
        <w:numPr>
          <w:ilvl w:val="0"/>
          <w:numId w:val="26"/>
        </w:numPr>
        <w:pBdr/>
        <w:spacing/>
        <w:ind/>
        <w:rPr/>
      </w:pPr>
      <w:r>
        <w:t xml:space="preserve">le perimetre ;</w:t>
      </w:r>
      <w:r/>
    </w:p>
    <w:p>
      <w:pPr>
        <w:pStyle w:val="927"/>
        <w:numPr>
          <w:ilvl w:val="0"/>
          <w:numId w:val="26"/>
        </w:numPr>
        <w:pBdr/>
        <w:spacing/>
        <w:ind/>
        <w:rPr/>
      </w:pPr>
      <w:r>
        <w:t xml:space="preserve">la lecture retenue ;</w:t>
      </w:r>
      <w:r/>
    </w:p>
    <w:p>
      <w:pPr>
        <w:pStyle w:val="927"/>
        <w:numPr>
          <w:ilvl w:val="0"/>
          <w:numId w:val="26"/>
        </w:numPr>
        <w:pBdr/>
        <w:spacing/>
        <w:ind/>
        <w:rPr/>
      </w:pPr>
      <w:r>
        <w:t xml:space="preserve">la methode de mise en oeuvre ;</w:t>
      </w:r>
      <w:r/>
    </w:p>
    <w:p>
      <w:pPr>
        <w:pStyle w:val="927"/>
        <w:numPr>
          <w:ilvl w:val="0"/>
          <w:numId w:val="26"/>
        </w:numPr>
        <w:pBdr/>
        <w:spacing/>
        <w:ind/>
        <w:rPr/>
      </w:pPr>
      <w:r>
        <w:t xml:space="preserve">et les modalites generales d’accompagnement.</w:t>
      </w:r>
      <w:bookmarkEnd w:id="35"/>
      <w:r/>
      <w:r/>
    </w:p>
    <w:p w14:paraId="63D7E9CE"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37" w:name="lien-interne-de-reference"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38"/>
        <w:pBdr/>
        <w:spacing/>
        <w:ind/>
        <w:rPr>
          <w:highlight w:val="none"/>
        </w:rPr>
      </w:pPr>
      <w:r>
        <w:t xml:space="preserve">Lien interne de r</w:t>
      </w:r>
      <w:r>
        <w:rPr>
          <w:lang w:val="fr-FR"/>
        </w:rPr>
        <w:t xml:space="preserve">é</w:t>
      </w:r>
      <w:r>
        <w:t xml:space="preserve">f</w:t>
      </w:r>
      <w:r>
        <w:rPr>
          <w:lang w:val="fr-FR"/>
        </w:rPr>
        <w:t xml:space="preserve">é</w:t>
      </w:r>
      <w:r>
        <w:t xml:space="preserve">rence</w:t>
      </w:r>
      <w:r>
        <w:rPr>
          <w:highlight w:val="none"/>
        </w:rPr>
      </w:r>
    </w:p>
    <w:p>
      <w:pPr>
        <w:pStyle w:val="927"/>
        <w:numPr>
          <w:ilvl w:val="0"/>
          <w:numId w:val="27"/>
        </w:numPr>
        <w:pBdr/>
        <w:spacing/>
        <w:ind/>
        <w:rPr/>
      </w:pPr>
      <w:r/>
      <w:hyperlink r:id="rId11" w:tooltip="https://glz-rgl.doreviateam.com" w:history="1">
        <w:r>
          <w:rPr>
            <w:rStyle w:val="971"/>
          </w:rPr>
          <w:t xml:space="preserve">Lab LGZ-RGL</w:t>
        </w:r>
      </w:hyperlink>
      <w:r/>
      <w:bookmarkEnd w:id="37"/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C384A6">
    <w:pPr>
      <w:pStyle w:val="90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679FBC">
    <w:pPr>
      <w:pStyle w:val="937"/>
      <w:pBdr/>
      <w:spacing/>
      <w:ind/>
      <w:jc w:val="center"/>
      <w:rPr/>
    </w:pPr>
    <w:r>
      <w:t xml:space="preserve">Note de cadrage — Projet Odoo</w:t>
    </w:r>
    <w:r/>
  </w:p>
  <w:p w14:paraId="07A737C4">
    <w:pPr>
      <w:pStyle w:val="938"/>
      <w:pBdr/>
      <w:spacing/>
      <w:ind/>
      <w:jc w:val="center"/>
      <w:rPr/>
    </w:pPr>
    <w:r>
      <w:t xml:space="preserve">Les Grandlieu’Zarts, Radio Grandlieu et Cric Crac Cafe</w:t>
    </w:r>
    <w:r/>
  </w:p>
  <w:p w14:paraId="026BF7E8">
    <w:pPr>
      <w:pStyle w:val="925"/>
      <w:pBdr/>
      <w:spacing/>
      <w:ind/>
      <w:rPr/>
    </w:pPr>
    <w:r/>
    <w:r/>
  </w:p>
  <w:p w14:paraId="0C6FDF75">
    <w:pPr>
      <w:pStyle w:val="90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Table Grid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Table Grid Light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1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2"/>
    <w:basedOn w:val="7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1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2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3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4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5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6"/>
    <w:basedOn w:val="7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1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2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3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4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5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6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1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2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3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4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5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6"/>
    <w:basedOn w:val="7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1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2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3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4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5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6"/>
    <w:basedOn w:val="7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Quote"/>
    <w:basedOn w:val="924"/>
    <w:next w:val="924"/>
    <w:link w:val="8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2">
    <w:name w:val="Quote Char"/>
    <w:basedOn w:val="958"/>
    <w:link w:val="89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3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94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4"/>
    <w:next w:val="924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58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58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4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958"/>
    <w:link w:val="904"/>
    <w:uiPriority w:val="99"/>
    <w:pPr>
      <w:pBdr/>
      <w:spacing/>
      <w:ind/>
    </w:pPr>
  </w:style>
  <w:style w:type="paragraph" w:styleId="906">
    <w:name w:val="Footer"/>
    <w:basedOn w:val="924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958"/>
    <w:link w:val="906"/>
    <w:uiPriority w:val="99"/>
    <w:pPr>
      <w:pBdr/>
      <w:spacing/>
      <w:ind/>
    </w:pPr>
  </w:style>
  <w:style w:type="character" w:styleId="908">
    <w:name w:val="Footnote Text Char"/>
    <w:basedOn w:val="958"/>
    <w:link w:val="956"/>
    <w:uiPriority w:val="99"/>
    <w:semiHidden/>
    <w:pPr>
      <w:pBdr/>
      <w:spacing/>
      <w:ind/>
    </w:pPr>
    <w:rPr>
      <w:sz w:val="20"/>
      <w:szCs w:val="20"/>
    </w:rPr>
  </w:style>
  <w:style w:type="paragraph" w:styleId="909">
    <w:name w:val="endnote text"/>
    <w:basedOn w:val="924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95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58"/>
    <w:uiPriority w:val="99"/>
    <w:semiHidden/>
    <w:pPr>
      <w:pBdr/>
      <w:spacing/>
      <w:ind/>
    </w:pPr>
    <w:rPr>
      <w:color w:val="666666"/>
    </w:r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paragraph" w:styleId="925">
    <w:name w:val="Body Text"/>
    <w:basedOn w:val="924"/>
    <w:link w:val="967"/>
    <w:qFormat/>
    <w:pPr>
      <w:pBdr/>
      <w:spacing w:after="180" w:before="180"/>
      <w:ind/>
    </w:pPr>
  </w:style>
  <w:style w:type="paragraph" w:styleId="926" w:customStyle="1">
    <w:name w:val="First Paragraph"/>
    <w:basedOn w:val="925"/>
    <w:next w:val="925"/>
    <w:qFormat/>
    <w:pPr>
      <w:pBdr/>
      <w:spacing/>
      <w:ind/>
    </w:pPr>
  </w:style>
  <w:style w:type="paragraph" w:styleId="927" w:customStyle="1">
    <w:name w:val="Compact"/>
    <w:basedOn w:val="925"/>
    <w:qFormat/>
    <w:pPr>
      <w:pBdr/>
      <w:spacing w:after="36" w:before="36"/>
      <w:ind/>
    </w:pPr>
  </w:style>
  <w:style w:type="paragraph" w:styleId="928">
    <w:name w:val="Title"/>
    <w:basedOn w:val="924"/>
    <w:next w:val="925"/>
    <w:link w:val="929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929" w:customStyle="1">
    <w:name w:val="Title Char"/>
    <w:basedOn w:val="958"/>
    <w:link w:val="928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930">
    <w:name w:val="Subtitle"/>
    <w:basedOn w:val="928"/>
    <w:next w:val="925"/>
    <w:link w:val="93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931" w:customStyle="1">
    <w:name w:val="Subtitle Char"/>
    <w:basedOn w:val="958"/>
    <w:link w:val="93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32" w:customStyle="1">
    <w:name w:val="Author"/>
    <w:basedOn w:val="928"/>
    <w:next w:val="92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933">
    <w:name w:val="Date"/>
    <w:basedOn w:val="928"/>
    <w:next w:val="92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934" w:customStyle="1">
    <w:name w:val="Abstract Title"/>
    <w:basedOn w:val="924"/>
    <w:next w:val="93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935" w:customStyle="1">
    <w:name w:val="Abstract"/>
    <w:basedOn w:val="924"/>
    <w:next w:val="92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936">
    <w:name w:val="Bibliography"/>
    <w:basedOn w:val="924"/>
    <w:next w:val="936"/>
    <w:qFormat/>
    <w:pPr>
      <w:pBdr/>
      <w:spacing/>
      <w:ind/>
    </w:pPr>
  </w:style>
  <w:style w:type="paragraph" w:styleId="937">
    <w:name w:val="Heading 1"/>
    <w:basedOn w:val="924"/>
    <w:next w:val="925"/>
    <w:link w:val="9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38">
    <w:name w:val="Heading 2"/>
    <w:basedOn w:val="924"/>
    <w:next w:val="925"/>
    <w:link w:val="94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39">
    <w:name w:val="Heading 3"/>
    <w:basedOn w:val="924"/>
    <w:next w:val="925"/>
    <w:link w:val="94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40">
    <w:name w:val="Heading 4"/>
    <w:basedOn w:val="924"/>
    <w:next w:val="925"/>
    <w:link w:val="94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41">
    <w:name w:val="Heading 5"/>
    <w:basedOn w:val="924"/>
    <w:next w:val="925"/>
    <w:link w:val="95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42">
    <w:name w:val="Heading 6"/>
    <w:basedOn w:val="924"/>
    <w:next w:val="925"/>
    <w:link w:val="95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43">
    <w:name w:val="Heading 7"/>
    <w:basedOn w:val="924"/>
    <w:next w:val="925"/>
    <w:link w:val="95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44">
    <w:name w:val="Heading 8"/>
    <w:basedOn w:val="924"/>
    <w:next w:val="925"/>
    <w:link w:val="95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5">
    <w:name w:val="Heading 9"/>
    <w:basedOn w:val="924"/>
    <w:next w:val="925"/>
    <w:link w:val="95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6" w:customStyle="1">
    <w:name w:val="Heading 1 Char"/>
    <w:basedOn w:val="958"/>
    <w:link w:val="93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47" w:customStyle="1">
    <w:name w:val="Heading 2 Char"/>
    <w:basedOn w:val="958"/>
    <w:link w:val="9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48" w:customStyle="1">
    <w:name w:val="Heading 3 Char"/>
    <w:basedOn w:val="958"/>
    <w:link w:val="93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49" w:customStyle="1">
    <w:name w:val="Heading 4 Char"/>
    <w:basedOn w:val="958"/>
    <w:link w:val="94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0" w:customStyle="1">
    <w:name w:val="Heading 5 Char"/>
    <w:basedOn w:val="958"/>
    <w:link w:val="94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1" w:customStyle="1">
    <w:name w:val="Heading 6 Char"/>
    <w:basedOn w:val="958"/>
    <w:link w:val="94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2" w:customStyle="1">
    <w:name w:val="Heading 7 Char"/>
    <w:basedOn w:val="958"/>
    <w:link w:val="94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3" w:customStyle="1">
    <w:name w:val="Heading 8 Char"/>
    <w:basedOn w:val="958"/>
    <w:link w:val="94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4" w:customStyle="1">
    <w:name w:val="Heading 9 Char"/>
    <w:basedOn w:val="958"/>
    <w:link w:val="94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5">
    <w:name w:val="Block Text"/>
    <w:basedOn w:val="925"/>
    <w:next w:val="925"/>
    <w:uiPriority w:val="9"/>
    <w:unhideWhenUsed/>
    <w:qFormat/>
    <w:pPr>
      <w:pBdr/>
      <w:spacing w:after="100" w:before="100"/>
      <w:ind w:right="480" w:firstLine="0" w:left="480"/>
    </w:pPr>
  </w:style>
  <w:style w:type="paragraph" w:styleId="956">
    <w:name w:val="footnote text"/>
    <w:basedOn w:val="924"/>
    <w:next w:val="956"/>
    <w:uiPriority w:val="9"/>
    <w:unhideWhenUsed/>
    <w:qFormat/>
    <w:pPr>
      <w:pBdr/>
      <w:spacing/>
      <w:ind/>
    </w:pPr>
  </w:style>
  <w:style w:type="paragraph" w:styleId="957">
    <w:name w:val="Footnote Block Text"/>
    <w:basedOn w:val="956"/>
    <w:next w:val="956"/>
    <w:uiPriority w:val="9"/>
    <w:unhideWhenUsed/>
    <w:qFormat/>
    <w:pPr>
      <w:pBdr/>
      <w:spacing w:after="100" w:before="100"/>
      <w:ind w:right="480" w:firstLine="0" w:left="480"/>
    </w:pPr>
  </w:style>
  <w:style w:type="character" w:styleId="958" w:default="1">
    <w:name w:val="Default Paragraph Font"/>
    <w:semiHidden/>
    <w:unhideWhenUsed/>
    <w:pPr>
      <w:pBdr/>
      <w:spacing/>
      <w:ind/>
    </w:pPr>
  </w:style>
  <w:style w:type="table" w:styleId="95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0" w:customStyle="1">
    <w:name w:val="Definition Term"/>
    <w:basedOn w:val="924"/>
    <w:next w:val="961"/>
    <w:pPr>
      <w:keepNext w:val="true"/>
      <w:keepLines w:val="true"/>
      <w:pBdr/>
      <w:spacing w:after="0"/>
      <w:ind/>
    </w:pPr>
    <w:rPr>
      <w:b/>
    </w:rPr>
  </w:style>
  <w:style w:type="paragraph" w:styleId="961" w:customStyle="1">
    <w:name w:val="Definition"/>
    <w:basedOn w:val="924"/>
    <w:pPr>
      <w:pBdr/>
      <w:spacing/>
      <w:ind/>
    </w:pPr>
  </w:style>
  <w:style w:type="paragraph" w:styleId="962">
    <w:name w:val="Caption"/>
    <w:basedOn w:val="924"/>
    <w:link w:val="967"/>
    <w:pPr>
      <w:pBdr/>
      <w:spacing w:after="120" w:before="0"/>
      <w:ind/>
    </w:pPr>
    <w:rPr>
      <w:i/>
    </w:rPr>
  </w:style>
  <w:style w:type="paragraph" w:styleId="963" w:customStyle="1">
    <w:name w:val="Table Caption"/>
    <w:basedOn w:val="962"/>
    <w:pPr>
      <w:keepNext w:val="true"/>
      <w:pBdr/>
      <w:spacing/>
      <w:ind/>
    </w:pPr>
  </w:style>
  <w:style w:type="paragraph" w:styleId="964" w:customStyle="1">
    <w:name w:val="Image Caption"/>
    <w:basedOn w:val="962"/>
    <w:pPr>
      <w:pBdr/>
      <w:spacing/>
      <w:ind/>
    </w:pPr>
  </w:style>
  <w:style w:type="paragraph" w:styleId="965" w:customStyle="1">
    <w:name w:val="Figure"/>
    <w:basedOn w:val="924"/>
    <w:pPr>
      <w:pBdr/>
      <w:spacing/>
      <w:ind/>
    </w:pPr>
  </w:style>
  <w:style w:type="paragraph" w:styleId="966" w:customStyle="1">
    <w:name w:val="Captioned Figure"/>
    <w:basedOn w:val="965"/>
    <w:pPr>
      <w:keepNext w:val="true"/>
      <w:pBdr/>
      <w:spacing/>
      <w:ind/>
    </w:pPr>
  </w:style>
  <w:style w:type="character" w:styleId="967" w:customStyle="1">
    <w:name w:val="Body Text Char"/>
    <w:basedOn w:val="958"/>
    <w:link w:val="925"/>
    <w:pPr>
      <w:pBdr/>
      <w:spacing/>
      <w:ind/>
    </w:pPr>
  </w:style>
  <w:style w:type="character" w:styleId="968" w:customStyle="1">
    <w:name w:val="Verbatim Char"/>
    <w:basedOn w:val="967"/>
    <w:pPr>
      <w:pBdr/>
      <w:spacing/>
      <w:ind/>
    </w:pPr>
    <w:rPr>
      <w:rFonts w:ascii="Consolas" w:hAnsi="Consolas"/>
      <w:sz w:val="22"/>
    </w:rPr>
  </w:style>
  <w:style w:type="character" w:styleId="969" w:customStyle="1">
    <w:name w:val="Section Number"/>
    <w:basedOn w:val="967"/>
    <w:pPr>
      <w:pBdr/>
      <w:spacing/>
      <w:ind/>
    </w:pPr>
  </w:style>
  <w:style w:type="character" w:styleId="970">
    <w:name w:val="footnote reference"/>
    <w:basedOn w:val="967"/>
    <w:pPr>
      <w:pBdr/>
      <w:spacing/>
      <w:ind/>
    </w:pPr>
    <w:rPr>
      <w:vertAlign w:val="superscript"/>
    </w:rPr>
  </w:style>
  <w:style w:type="character" w:styleId="971">
    <w:name w:val="Hyperlink"/>
    <w:basedOn w:val="967"/>
    <w:pPr>
      <w:pBdr/>
      <w:spacing/>
      <w:ind/>
    </w:pPr>
    <w:rPr>
      <w:color w:val="4f81bd" w:themeColor="accent1"/>
    </w:rPr>
  </w:style>
  <w:style w:type="paragraph" w:styleId="972">
    <w:name w:val="TOC Heading"/>
    <w:basedOn w:val="937"/>
    <w:next w:val="92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73" w:customStyle="1">
    <w:name w:val="Source Code"/>
    <w:basedOn w:val="924"/>
    <w:link w:val="968"/>
    <w:pPr>
      <w:pBdr/>
      <w:spacing/>
      <w:ind/>
    </w:pPr>
  </w:style>
  <w:style w:type="character" w:styleId="974" w:customStyle="1">
    <w:name w:val="KeywordTok"/>
    <w:basedOn w:val="968"/>
    <w:pPr>
      <w:pBdr/>
      <w:spacing/>
      <w:ind/>
    </w:pPr>
    <w:rPr>
      <w:b/>
      <w:color w:val="007020"/>
    </w:rPr>
  </w:style>
  <w:style w:type="character" w:styleId="975" w:customStyle="1">
    <w:name w:val="DataTypeTok"/>
    <w:basedOn w:val="968"/>
    <w:pPr>
      <w:pBdr/>
      <w:spacing/>
      <w:ind/>
    </w:pPr>
    <w:rPr>
      <w:color w:val="902000"/>
    </w:rPr>
  </w:style>
  <w:style w:type="character" w:styleId="976" w:customStyle="1">
    <w:name w:val="DecValTok"/>
    <w:basedOn w:val="968"/>
    <w:pPr>
      <w:pBdr/>
      <w:spacing/>
      <w:ind/>
    </w:pPr>
    <w:rPr>
      <w:color w:val="40a070"/>
    </w:rPr>
  </w:style>
  <w:style w:type="character" w:styleId="977" w:customStyle="1">
    <w:name w:val="BaseNTok"/>
    <w:basedOn w:val="968"/>
    <w:pPr>
      <w:pBdr/>
      <w:spacing/>
      <w:ind/>
    </w:pPr>
    <w:rPr>
      <w:color w:val="40a070"/>
    </w:rPr>
  </w:style>
  <w:style w:type="character" w:styleId="978" w:customStyle="1">
    <w:name w:val="FloatTok"/>
    <w:basedOn w:val="968"/>
    <w:pPr>
      <w:pBdr/>
      <w:spacing/>
      <w:ind/>
    </w:pPr>
    <w:rPr>
      <w:color w:val="40a070"/>
    </w:rPr>
  </w:style>
  <w:style w:type="character" w:styleId="979" w:customStyle="1">
    <w:name w:val="ConstantTok"/>
    <w:basedOn w:val="968"/>
    <w:pPr>
      <w:pBdr/>
      <w:spacing/>
      <w:ind/>
    </w:pPr>
    <w:rPr>
      <w:color w:val="880000"/>
    </w:rPr>
  </w:style>
  <w:style w:type="character" w:styleId="980" w:customStyle="1">
    <w:name w:val="CharTok"/>
    <w:basedOn w:val="968"/>
    <w:pPr>
      <w:pBdr/>
      <w:spacing/>
      <w:ind/>
    </w:pPr>
    <w:rPr>
      <w:color w:val="4070a0"/>
    </w:rPr>
  </w:style>
  <w:style w:type="character" w:styleId="981" w:customStyle="1">
    <w:name w:val="SpecialCharTok"/>
    <w:basedOn w:val="968"/>
    <w:pPr>
      <w:pBdr/>
      <w:spacing/>
      <w:ind/>
    </w:pPr>
    <w:rPr>
      <w:color w:val="4070a0"/>
    </w:rPr>
  </w:style>
  <w:style w:type="character" w:styleId="982" w:customStyle="1">
    <w:name w:val="StringTok"/>
    <w:basedOn w:val="968"/>
    <w:pPr>
      <w:pBdr/>
      <w:spacing/>
      <w:ind/>
    </w:pPr>
    <w:rPr>
      <w:color w:val="4070a0"/>
    </w:rPr>
  </w:style>
  <w:style w:type="character" w:styleId="983" w:customStyle="1">
    <w:name w:val="VerbatimStringTok"/>
    <w:basedOn w:val="968"/>
    <w:pPr>
      <w:pBdr/>
      <w:spacing/>
      <w:ind/>
    </w:pPr>
    <w:rPr>
      <w:color w:val="4070a0"/>
    </w:rPr>
  </w:style>
  <w:style w:type="character" w:styleId="984" w:customStyle="1">
    <w:name w:val="SpecialStringTok"/>
    <w:basedOn w:val="968"/>
    <w:pPr>
      <w:pBdr/>
      <w:spacing/>
      <w:ind/>
    </w:pPr>
    <w:rPr>
      <w:color w:val="bb6688"/>
    </w:rPr>
  </w:style>
  <w:style w:type="character" w:styleId="985" w:customStyle="1">
    <w:name w:val="ImportTok"/>
    <w:basedOn w:val="968"/>
    <w:pPr>
      <w:pBdr/>
      <w:spacing/>
      <w:ind/>
    </w:pPr>
    <w:rPr>
      <w:b/>
      <w:color w:val="008000"/>
    </w:rPr>
  </w:style>
  <w:style w:type="character" w:styleId="986" w:customStyle="1">
    <w:name w:val="CommentTok"/>
    <w:basedOn w:val="968"/>
    <w:pPr>
      <w:pBdr/>
      <w:spacing/>
      <w:ind/>
    </w:pPr>
    <w:rPr>
      <w:i/>
      <w:color w:val="60a0b0"/>
    </w:rPr>
  </w:style>
  <w:style w:type="character" w:styleId="987" w:customStyle="1">
    <w:name w:val="DocumentationTok"/>
    <w:basedOn w:val="968"/>
    <w:pPr>
      <w:pBdr/>
      <w:spacing/>
      <w:ind/>
    </w:pPr>
    <w:rPr>
      <w:i/>
      <w:color w:val="ba2121"/>
    </w:rPr>
  </w:style>
  <w:style w:type="character" w:styleId="988" w:customStyle="1">
    <w:name w:val="AnnotationTok"/>
    <w:basedOn w:val="968"/>
    <w:pPr>
      <w:pBdr/>
      <w:spacing/>
      <w:ind/>
    </w:pPr>
    <w:rPr>
      <w:b/>
      <w:i/>
      <w:color w:val="60a0b0"/>
    </w:rPr>
  </w:style>
  <w:style w:type="character" w:styleId="989" w:customStyle="1">
    <w:name w:val="CommentVarTok"/>
    <w:basedOn w:val="968"/>
    <w:pPr>
      <w:pBdr/>
      <w:spacing/>
      <w:ind/>
    </w:pPr>
    <w:rPr>
      <w:b/>
      <w:i/>
      <w:color w:val="60a0b0"/>
    </w:rPr>
  </w:style>
  <w:style w:type="character" w:styleId="990" w:customStyle="1">
    <w:name w:val="OtherTok"/>
    <w:basedOn w:val="968"/>
    <w:pPr>
      <w:pBdr/>
      <w:spacing/>
      <w:ind/>
    </w:pPr>
    <w:rPr>
      <w:color w:val="007020"/>
    </w:rPr>
  </w:style>
  <w:style w:type="character" w:styleId="991" w:customStyle="1">
    <w:name w:val="FunctionTok"/>
    <w:basedOn w:val="968"/>
    <w:pPr>
      <w:pBdr/>
      <w:spacing/>
      <w:ind/>
    </w:pPr>
    <w:rPr>
      <w:color w:val="06287e"/>
    </w:rPr>
  </w:style>
  <w:style w:type="character" w:styleId="992" w:customStyle="1">
    <w:name w:val="VariableTok"/>
    <w:basedOn w:val="968"/>
    <w:pPr>
      <w:pBdr/>
      <w:spacing/>
      <w:ind/>
    </w:pPr>
    <w:rPr>
      <w:color w:val="19177c"/>
    </w:rPr>
  </w:style>
  <w:style w:type="character" w:styleId="993" w:customStyle="1">
    <w:name w:val="ControlFlowTok"/>
    <w:basedOn w:val="968"/>
    <w:pPr>
      <w:pBdr/>
      <w:spacing/>
      <w:ind/>
    </w:pPr>
    <w:rPr>
      <w:b/>
      <w:color w:val="007020"/>
    </w:rPr>
  </w:style>
  <w:style w:type="character" w:styleId="994" w:customStyle="1">
    <w:name w:val="OperatorTok"/>
    <w:basedOn w:val="968"/>
    <w:pPr>
      <w:pBdr/>
      <w:spacing/>
      <w:ind/>
    </w:pPr>
    <w:rPr>
      <w:color w:val="666666"/>
    </w:rPr>
  </w:style>
  <w:style w:type="character" w:styleId="995" w:customStyle="1">
    <w:name w:val="BuiltInTok"/>
    <w:basedOn w:val="968"/>
    <w:pPr>
      <w:pBdr/>
      <w:spacing/>
      <w:ind/>
    </w:pPr>
    <w:rPr>
      <w:color w:val="008000"/>
    </w:rPr>
  </w:style>
  <w:style w:type="character" w:styleId="996" w:customStyle="1">
    <w:name w:val="ExtensionTok"/>
    <w:basedOn w:val="968"/>
    <w:pPr>
      <w:pBdr/>
      <w:spacing/>
      <w:ind/>
    </w:pPr>
  </w:style>
  <w:style w:type="character" w:styleId="997" w:customStyle="1">
    <w:name w:val="PreprocessorTok"/>
    <w:basedOn w:val="968"/>
    <w:pPr>
      <w:pBdr/>
      <w:spacing/>
      <w:ind/>
    </w:pPr>
    <w:rPr>
      <w:color w:val="bc7a00"/>
    </w:rPr>
  </w:style>
  <w:style w:type="character" w:styleId="998" w:customStyle="1">
    <w:name w:val="AttributeTok"/>
    <w:basedOn w:val="968"/>
    <w:pPr>
      <w:pBdr/>
      <w:spacing/>
      <w:ind/>
    </w:pPr>
    <w:rPr>
      <w:color w:val="7d9029"/>
    </w:rPr>
  </w:style>
  <w:style w:type="character" w:styleId="999" w:customStyle="1">
    <w:name w:val="RegionMarkerTok"/>
    <w:basedOn w:val="968"/>
    <w:pPr>
      <w:pBdr/>
      <w:spacing/>
      <w:ind/>
    </w:pPr>
  </w:style>
  <w:style w:type="character" w:styleId="1000" w:customStyle="1">
    <w:name w:val="InformationTok"/>
    <w:basedOn w:val="968"/>
    <w:pPr>
      <w:pBdr/>
      <w:spacing/>
      <w:ind/>
    </w:pPr>
    <w:rPr>
      <w:b/>
      <w:i/>
      <w:color w:val="60a0b0"/>
    </w:rPr>
  </w:style>
  <w:style w:type="character" w:styleId="1001" w:customStyle="1">
    <w:name w:val="WarningTok"/>
    <w:basedOn w:val="968"/>
    <w:pPr>
      <w:pBdr/>
      <w:spacing/>
      <w:ind/>
    </w:pPr>
    <w:rPr>
      <w:b/>
      <w:i/>
      <w:color w:val="60a0b0"/>
    </w:rPr>
  </w:style>
  <w:style w:type="character" w:styleId="1002" w:customStyle="1">
    <w:name w:val="AlertTok"/>
    <w:basedOn w:val="968"/>
    <w:pPr>
      <w:pBdr/>
      <w:spacing/>
      <w:ind/>
    </w:pPr>
    <w:rPr>
      <w:b/>
      <w:color w:val="ff0000"/>
    </w:rPr>
  </w:style>
  <w:style w:type="character" w:styleId="1003" w:customStyle="1">
    <w:name w:val="ErrorTok"/>
    <w:basedOn w:val="968"/>
    <w:pPr>
      <w:pBdr/>
      <w:spacing/>
      <w:ind/>
    </w:pPr>
    <w:rPr>
      <w:b/>
      <w:color w:val="ff0000"/>
    </w:rPr>
  </w:style>
  <w:style w:type="character" w:styleId="1004" w:customStyle="1">
    <w:name w:val="NormalTok"/>
    <w:basedOn w:val="96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glz-rgl.doreviateam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</cp:revision>
  <dcterms:created xsi:type="dcterms:W3CDTF">2026-04-07T11:22:48Z</dcterms:created>
  <dcterms:modified xsi:type="dcterms:W3CDTF">2026-04-07T11:50:04Z</dcterms:modified>
</cp:coreProperties>
</file>