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3C4F74">
      <w:pPr>
        <w:pStyle w:val="712"/>
        <w:pBdr/>
        <w:spacing/>
        <w:ind/>
        <w:rPr/>
      </w:pPr>
      <w:r/>
      <w:r/>
    </w:p>
    <w:tbl>
      <w:tblPr>
        <w:tblStyle w:val="746"/>
        <w:tblW w:w="0" w:type="auto"/>
        <w:tblBorders/>
        <w:tblLook w:val="0000" w:firstRow="0" w:lastRow="0" w:firstColumn="0" w:lastColumn="0" w:noHBand="0" w:noVBand="0"/>
      </w:tblPr>
      <w:tblGrid>
        <w:gridCol w:w="3960"/>
        <w:gridCol w:w="3960"/>
      </w:tblGrid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Version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2.2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Date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Avril 2026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Statut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Version révisée de travail, alignée sur le lab LGZ-RGL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Objet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Validation du cadre de poursuite du projet Odoo</w:t>
            </w:r>
            <w:bookmarkEnd w:id="9"/>
            <w:r/>
          </w:p>
        </w:tc>
      </w:tr>
    </w:tbl>
    <w:p w14:paraId="45E129D4">
      <w:pPr>
        <w:pStyle w:val="725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F39E70">
      <w:pPr>
        <w:pStyle w:val="725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10" w:name="coordonnées-de-référence"/>
      <w:r>
        <w:rPr>
          <w:b/>
          <w:bCs/>
        </w:rPr>
        <w:t xml:space="preserve">Coordonnées de référence</w:t>
      </w:r>
      <w:r/>
    </w:p>
    <w:tbl>
      <w:tblPr>
        <w:tblStyle w:val="746"/>
        <w:tblW w:w="5000" w:type="pct"/>
        <w:tblBorders/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Structure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Dorevia Team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Email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contact@doreviateam.com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Téléphone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+33 6 89 01 70 09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Adresse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2B Route des épinais, 44860 Saint-Aignan-Grandlieu, France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TVA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FR50481904969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SIRET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48190496900021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Site web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https://suite.doreviateam.com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0"/>
      <w:r/>
    </w:p>
    <w:p w14:paraId="336B4DAC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11" w:name="objet-de-la-note"/>
      <w:r>
        <w:rPr>
          <w:b/>
          <w:bCs/>
        </w:rPr>
        <w:t xml:space="preserve">1. Objet de la note</w:t>
      </w:r>
      <w:r/>
    </w:p>
    <w:p>
      <w:pPr>
        <w:pStyle w:val="713"/>
        <w:pBdr/>
        <w:spacing/>
        <w:ind/>
        <w:rPr/>
      </w:pPr>
      <w:r>
        <w:t xml:space="preserve">La présente note </w:t>
      </w:r>
      <w:r>
        <w:rPr>
          <w:lang w:val="fr-FR"/>
        </w:rPr>
        <w:t xml:space="preserve">a</w:t>
      </w:r>
      <w:r>
        <w:t xml:space="preserve"> pour objet de soumettre au comité de direction un cadrage révisé du projet Odoo concernant :</w:t>
      </w:r>
      <w:r/>
    </w:p>
    <w:p>
      <w:pPr>
        <w:pStyle w:val="714"/>
        <w:numPr>
          <w:ilvl w:val="0"/>
          <w:numId w:val="2"/>
        </w:numPr>
        <w:pBdr/>
        <w:spacing/>
        <w:ind/>
        <w:rPr/>
      </w:pPr>
      <w:r>
        <w:t xml:space="preserve">Les Grandlieu’Zarts (LGZ) ;</w:t>
      </w:r>
      <w:r/>
    </w:p>
    <w:p>
      <w:pPr>
        <w:pStyle w:val="714"/>
        <w:numPr>
          <w:ilvl w:val="0"/>
          <w:numId w:val="2"/>
        </w:numPr>
        <w:pBdr/>
        <w:spacing/>
        <w:ind/>
        <w:rPr/>
      </w:pPr>
      <w:r>
        <w:t xml:space="preserve">Radio Grandlieu (RGL) ;</w:t>
      </w:r>
      <w:r/>
    </w:p>
    <w:p>
      <w:pPr>
        <w:pStyle w:val="714"/>
        <w:numPr>
          <w:ilvl w:val="0"/>
          <w:numId w:val="2"/>
        </w:numPr>
        <w:pBdr/>
        <w:spacing/>
        <w:ind/>
        <w:rPr/>
      </w:pPr>
      <w:r>
        <w:t xml:space="preserve">Cric Crac Café (CCC).</w:t>
      </w:r>
      <w:r/>
    </w:p>
    <w:p>
      <w:pPr>
        <w:pStyle w:val="713"/>
        <w:pBdr/>
        <w:spacing/>
        <w:ind/>
        <w:rPr/>
      </w:pPr>
      <w:r>
        <w:t xml:space="preserve">Elle vise à permettre au comité de direction de se prononcer sur :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le périmètre général du projet ;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la lecture retenue entre LGZ, RGL et CCC ;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la base fonctionnelle initiale ;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le découpage du projet en lots ;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le cadre méthodologique de mise en œuvre ;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le cadre économique et technique ;</w:t>
      </w:r>
      <w:r/>
    </w:p>
    <w:p>
      <w:pPr>
        <w:pStyle w:val="714"/>
        <w:numPr>
          <w:ilvl w:val="0"/>
          <w:numId w:val="3"/>
        </w:numPr>
        <w:pBdr/>
        <w:spacing/>
        <w:ind/>
        <w:rPr/>
      </w:pPr>
      <w:r>
        <w:t xml:space="preserve">et les conditions de poursuite du projet.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"/>
      <w:r/>
    </w:p>
    <w:p>
      <w:pPr>
        <w:pStyle w:val="725"/>
        <w:pBdr/>
        <w:spacing/>
        <w:ind/>
        <w:rPr/>
      </w:pPr>
      <w:r/>
      <w:bookmarkStart w:id="12" w:name="contexte-général"/>
      <w:r>
        <w:rPr>
          <w:b/>
          <w:bCs/>
        </w:rPr>
        <w:t xml:space="preserve">2. Contexte général</w:t>
      </w:r>
      <w:r/>
    </w:p>
    <w:p>
      <w:pPr>
        <w:pStyle w:val="713"/>
        <w:pBdr/>
        <w:spacing/>
        <w:ind/>
        <w:rPr/>
      </w:pPr>
      <w:r>
        <w:t xml:space="preserve">Le projet concerne deux associations hébergées dans les mêmes locaux : Les Grandlieu’Zarts (LGZ) et Radio Grandlieu (RGL).</w:t>
      </w:r>
      <w:r/>
    </w:p>
    <w:p>
      <w:pPr>
        <w:pStyle w:val="712"/>
        <w:pBdr/>
        <w:spacing/>
        <w:ind/>
        <w:rPr/>
      </w:pPr>
      <w:r>
        <w:t xml:space="preserve">À cet ensemble s’ajoute Cric Crac Café (CCC), qui ne doit pas être lu comme une troisième structure autonome au même niveau que LGZ et RGL, mais comme une activité rattachée à LGZ, avec ses propres enjeux de gestion.</w:t>
      </w:r>
      <w:r/>
    </w:p>
    <w:p>
      <w:pPr>
        <w:pStyle w:val="712"/>
        <w:pBdr/>
        <w:spacing/>
        <w:ind/>
        <w:rPr/>
      </w:pPr>
      <w:r>
        <w:t xml:space="preserve">Le projet doit donc être compris comme une démarche de structuration portant :</w:t>
      </w:r>
      <w:r/>
    </w:p>
    <w:p>
      <w:pPr>
        <w:pStyle w:val="714"/>
        <w:numPr>
          <w:ilvl w:val="0"/>
          <w:numId w:val="4"/>
        </w:numPr>
        <w:pBdr/>
        <w:spacing/>
        <w:ind/>
        <w:rPr/>
      </w:pPr>
      <w:r>
        <w:t xml:space="preserve">sur deux structures juridiquement distinctes, LGZ et RGL ;</w:t>
      </w:r>
      <w:r/>
    </w:p>
    <w:p>
      <w:pPr>
        <w:pStyle w:val="714"/>
        <w:numPr>
          <w:ilvl w:val="0"/>
          <w:numId w:val="4"/>
        </w:numPr>
        <w:pBdr/>
        <w:spacing/>
        <w:ind/>
        <w:rPr/>
      </w:pPr>
      <w:r>
        <w:t xml:space="preserve">dans un environnement partagé ;</w:t>
      </w:r>
      <w:r/>
    </w:p>
    <w:p>
      <w:pPr>
        <w:pStyle w:val="714"/>
        <w:numPr>
          <w:ilvl w:val="0"/>
          <w:numId w:val="4"/>
        </w:numPr>
        <w:pBdr/>
        <w:spacing/>
        <w:ind/>
        <w:rPr/>
      </w:pPr>
      <w:r>
        <w:t xml:space="preserve">avec certains besoins communs ;</w:t>
      </w:r>
      <w:r/>
    </w:p>
    <w:p>
      <w:pPr>
        <w:pStyle w:val="714"/>
        <w:numPr>
          <w:ilvl w:val="0"/>
          <w:numId w:val="4"/>
        </w:numPr>
        <w:pBdr/>
        <w:spacing/>
        <w:ind/>
        <w:rPr/>
      </w:pPr>
      <w:r/>
      <w:r/>
      <w:r>
        <w:t xml:space="preserve">avec un sous-périmètre spécifique CCC rattaché à LGZ.</w:t>
      </w:r>
      <w:r/>
    </w:p>
    <w:p>
      <w:pPr>
        <w:pStyle w:val="713"/>
        <w:pBdr/>
        <w:spacing/>
        <w:ind/>
        <w:rPr/>
      </w:pPr>
      <w:r>
        <w:t xml:space="preserve">L’objectif n’est pas de fusionner les gestions, mais de mettre en place un cadre Odoo capable de :</w:t>
      </w:r>
      <w:r/>
    </w:p>
    <w:p>
      <w:pPr>
        <w:pStyle w:val="714"/>
        <w:numPr>
          <w:ilvl w:val="0"/>
          <w:numId w:val="5"/>
        </w:numPr>
        <w:pBdr/>
        <w:spacing/>
        <w:ind/>
        <w:rPr/>
      </w:pPr>
      <w:r>
        <w:t xml:space="preserve">séparer clairement ce qui doit l’être ;</w:t>
      </w:r>
      <w:r/>
    </w:p>
    <w:p>
      <w:pPr>
        <w:pStyle w:val="714"/>
        <w:numPr>
          <w:ilvl w:val="0"/>
          <w:numId w:val="5"/>
        </w:numPr>
        <w:pBdr/>
        <w:spacing/>
        <w:ind/>
        <w:rPr/>
      </w:pPr>
      <w:r>
        <w:t xml:space="preserve">mutualiser ce qui peut l’être utilement ;</w:t>
      </w:r>
      <w:r/>
    </w:p>
    <w:p>
      <w:pPr>
        <w:pStyle w:val="714"/>
        <w:numPr>
          <w:ilvl w:val="0"/>
          <w:numId w:val="5"/>
        </w:numPr>
        <w:pBdr/>
        <w:spacing/>
        <w:ind/>
        <w:rPr/>
      </w:pPr>
      <w:r/>
      <w:r/>
      <w:r>
        <w:t xml:space="preserve">permettre une progression par étapes.</w:t>
      </w:r>
      <w:r/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26978465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"/>
      <w:r/>
    </w:p>
    <w:p w14:paraId="53CA5539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13" w:name="odoo-comme-socle-du-projet"/>
      <w:r>
        <w:rPr>
          <w:b/>
          <w:bCs/>
        </w:rPr>
        <w:t xml:space="preserve">3. Odoo comme socle du projet</w:t>
      </w:r>
      <w:r/>
    </w:p>
    <w:p>
      <w:pPr>
        <w:pStyle w:val="713"/>
        <w:pBdr/>
        <w:spacing/>
        <w:ind/>
        <w:rPr/>
      </w:pPr>
      <w:r>
        <w:t xml:space="preserve">Odoo est retenu comme socle de structuration progressive.</w:t>
      </w:r>
      <w:r/>
    </w:p>
    <w:p>
      <w:pPr>
        <w:pStyle w:val="712"/>
        <w:pBdr/>
        <w:spacing/>
        <w:ind/>
        <w:rPr/>
      </w:pPr>
      <w:r>
        <w:t xml:space="preserve">Le projet est développé sur la base d’</w:t>
      </w:r>
      <w:r>
        <w:rPr>
          <w:b/>
          <w:bCs/>
        </w:rPr>
        <w:t xml:space="preserve">Odoo 19 Community Edition</w:t>
      </w:r>
      <w:r>
        <w:t xml:space="preserve">, qui constitue le socle technique retenu à ce stade.</w:t>
      </w:r>
      <w:r/>
    </w:p>
    <w:p>
      <w:pPr>
        <w:pStyle w:val="712"/>
        <w:pBdr/>
        <w:spacing/>
        <w:ind/>
        <w:rPr/>
      </w:pPr>
      <w:r>
        <w:t xml:space="preserve">Les choix fonctionnels, techniques et de modules doivent donc être lus en cohérence avec ce cadre.</w:t>
      </w:r>
      <w:r/>
    </w:p>
    <w:p>
      <w:pPr>
        <w:pStyle w:val="712"/>
        <w:pBdr/>
        <w:spacing/>
        <w:ind/>
        <w:rPr/>
      </w:pPr>
      <w:r>
        <w:t xml:space="preserve">Dans le cadre du projet LGZ / RGL / CCC, Odoo n’est pas envisagé comme un basculement global immédiat, mais comme un environnement de travail interne capable de couvrir progressivement :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la relation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la gestion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la facturation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certains flux opérationnels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le documentaire de gestion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le suivi de projet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les achats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les ventes et encaissements pour CCC ;</w:t>
      </w:r>
      <w:r/>
    </w:p>
    <w:p>
      <w:pPr>
        <w:pStyle w:val="714"/>
        <w:numPr>
          <w:ilvl w:val="0"/>
          <w:numId w:val="6"/>
        </w:numPr>
        <w:pBdr/>
        <w:spacing/>
        <w:ind/>
        <w:rPr/>
      </w:pPr>
      <w:r>
        <w:t xml:space="preserve">ainsi que certains connecteurs ou flux externes utiles.</w:t>
      </w:r>
      <w:r/>
    </w:p>
    <w:p>
      <w:pPr>
        <w:pStyle w:val="713"/>
        <w:pBdr/>
        <w:spacing/>
        <w:ind/>
        <w:rPr/>
      </w:pPr>
      <w:r>
        <w:t xml:space="preserve">Le projet est donc pensé comme un socle évolutif, alimenté par des lots successifs.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3"/>
      <w:r/>
    </w:p>
    <w:p w14:paraId="62609EE8">
      <w:pPr>
        <w:pBdr/>
        <w:shd w:val="nil"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bookmarkStart w:id="15" w:name="travail-préalable-et-état-du-lab"/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4. Travail préalable et état du lab</w:t>
      </w:r>
      <w:r/>
    </w:p>
    <w:p>
      <w:pPr>
        <w:pStyle w:val="713"/>
        <w:pBdr/>
        <w:spacing/>
        <w:ind/>
        <w:rPr/>
      </w:pPr>
      <w:r>
        <w:t xml:space="preserve">Un premier travail d’identification et de traduction du besoin a déjà été mené</w:t>
      </w:r>
      <w:r>
        <w:rPr>
          <w:lang w:val="fr-FR"/>
        </w:rPr>
        <w:t xml:space="preserve">.</w:t>
      </w:r>
      <w:r/>
    </w:p>
    <w:p w14:paraId="1944B449">
      <w:pPr>
        <w:pStyle w:val="712"/>
        <w:numPr>
          <w:ilvl w:val="0"/>
          <w:numId w:val="28"/>
        </w:numPr>
        <w:pBdr/>
        <w:spacing/>
        <w:ind/>
        <w:rPr/>
      </w:pPr>
      <w:r>
        <w:rPr>
          <w:lang w:val="fr-FR"/>
        </w:rPr>
        <w:t xml:space="preserve">Le Lab est le support d’échange et d’arbitrage à la mise œuvre du projet : </w:t>
        <w:br/>
      </w:r>
      <w:r/>
      <w:r/>
      <w:hyperlink r:id="rId10" w:tooltip="https://glz-rgl.doreviateam.com" w:history="1">
        <w:r>
          <w:rPr>
            <w:rStyle w:val="758"/>
          </w:rPr>
          <w:t xml:space="preserve">https://glz-rgl.doreviateam.com</w:t>
        </w:r>
        <w:r>
          <w:rPr>
            <w:rStyle w:val="758"/>
            <w:lang w:val="fr-FR"/>
          </w:rPr>
        </w:r>
      </w:hyperlink>
      <w:r>
        <w:rPr>
          <w:lang w:val="fr-FR"/>
        </w:rPr>
        <w:t xml:space="preserve"> </w:t>
      </w:r>
      <w:r/>
    </w:p>
    <w:p>
      <w:pPr>
        <w:pStyle w:val="712"/>
        <w:pBdr/>
        <w:spacing/>
        <w:ind/>
        <w:rPr/>
      </w:pPr>
      <w:r>
        <w:t xml:space="preserve">Il a permis :</w:t>
      </w:r>
      <w:r/>
    </w:p>
    <w:p>
      <w:pPr>
        <w:pStyle w:val="714"/>
        <w:numPr>
          <w:ilvl w:val="0"/>
          <w:numId w:val="7"/>
        </w:numPr>
        <w:pBdr/>
        <w:spacing/>
        <w:ind/>
        <w:rPr/>
      </w:pPr>
      <w:r>
        <w:t xml:space="preserve">d’identifier les premiers besoins ;</w:t>
      </w:r>
      <w:r/>
    </w:p>
    <w:p>
      <w:pPr>
        <w:pStyle w:val="714"/>
        <w:numPr>
          <w:ilvl w:val="0"/>
          <w:numId w:val="7"/>
        </w:numPr>
        <w:pBdr/>
        <w:spacing/>
        <w:ind/>
        <w:rPr/>
      </w:pPr>
      <w:r>
        <w:t xml:space="preserve">de poser une lecture plus claire de LGZ, RGL et CCC ;</w:t>
      </w:r>
      <w:r/>
    </w:p>
    <w:p>
      <w:pPr>
        <w:pStyle w:val="714"/>
        <w:numPr>
          <w:ilvl w:val="0"/>
          <w:numId w:val="7"/>
        </w:numPr>
        <w:pBdr/>
        <w:spacing/>
        <w:ind/>
        <w:rPr/>
      </w:pPr>
      <w:r>
        <w:t xml:space="preserve">de distinguer les sujets communs et les sujets propres à chaque périmètre ;</w:t>
      </w:r>
      <w:r/>
    </w:p>
    <w:p>
      <w:pPr>
        <w:pStyle w:val="714"/>
        <w:numPr>
          <w:ilvl w:val="0"/>
          <w:numId w:val="7"/>
        </w:numPr>
        <w:pBdr/>
        <w:spacing/>
        <w:ind/>
        <w:rPr/>
      </w:pPr>
      <w:r>
        <w:t xml:space="preserve">d’amorcer une traduction fonctionnelle dans Odoo ;</w:t>
      </w:r>
      <w:r/>
    </w:p>
    <w:p>
      <w:pPr>
        <w:pStyle w:val="714"/>
        <w:numPr>
          <w:ilvl w:val="0"/>
          <w:numId w:val="7"/>
        </w:numPr>
        <w:pBdr/>
        <w:spacing/>
        <w:ind/>
        <w:rPr/>
      </w:pPr>
      <w:r/>
      <w:r>
        <w:t xml:space="preserve">de valider sur le lab plusieurs briques utiles du périmètre HelloAsso.</w:t>
      </w:r>
      <w:r/>
      <w:r/>
    </w:p>
    <w:p w14:paraId="2E5015D8">
      <w:pPr>
        <w:pStyle w:val="714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6"/>
        <w:pBdr/>
        <w:spacing/>
        <w:ind/>
        <w:rPr/>
      </w:pPr>
      <w:r/>
      <w:bookmarkStart w:id="14" w:name="ce-que-le-lab-lgz-rgl-confirme-déjà"/>
      <w:r>
        <w:rPr>
          <w:b/>
          <w:bCs/>
        </w:rPr>
        <w:t xml:space="preserve">4.1. Ce que le lab LGZ-RGL confirme déjà</w:t>
      </w:r>
      <w:r/>
    </w:p>
    <w:p>
      <w:pPr>
        <w:pStyle w:val="713"/>
        <w:pBdr/>
        <w:spacing/>
        <w:ind/>
        <w:rPr/>
      </w:pPr>
      <w:r>
        <w:t xml:space="preserve">Le lab LGZ-RGL confirme déjà plusieurs éléments concrets autour du sous-périmètre HelloAsso du projet.</w:t>
      </w:r>
      <w:r/>
    </w:p>
    <w:p>
      <w:pPr>
        <w:pStyle w:val="712"/>
        <w:pBdr/>
        <w:spacing/>
        <w:ind/>
        <w:rPr/>
      </w:pPr>
      <w:r/>
      <w:r/>
      <w:r>
        <w:t xml:space="preserve">Sont désormais opérationnels ou validés sur le lab :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une landing HelloAsso par société active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une lecture des contacts adhérents synchronisés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 inventaire des événements / billetteries HelloAsso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la lecture des commandes liées à ces campagnes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 objet dédié de paiement HelloAsso dans Odoo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 import CSV MVP des paiements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 import API MVP des paiements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une orchestration cron MVP des paiements API ;</w:t>
      </w:r>
      <w:r/>
    </w:p>
    <w:p>
      <w:pPr>
        <w:pStyle w:val="714"/>
        <w:numPr>
          <w:ilvl w:val="0"/>
          <w:numId w:val="8"/>
        </w:numPr>
        <w:pBdr/>
        <w:spacing/>
        <w:ind/>
        <w:rPr/>
      </w:pPr>
      <w:r>
        <w:t xml:space="preserve">une navigation HelloAsso plus structurée entre consultation, paiement et configuration.</w:t>
      </w:r>
      <w:r/>
    </w:p>
    <w:p>
      <w:pPr>
        <w:pStyle w:val="713"/>
        <w:pBdr/>
        <w:spacing/>
        <w:ind/>
        <w:rPr/>
      </w:pPr>
      <w:r>
        <w:t xml:space="preserve">Ces validations ne signifient pas que le projet est terminé. Elles montrent en revanche qu’une partie du besoin HelloAsso du périmètre LGZ / RGL est déjà sortie du simple cadrage et entre dans un usage réel de back-office Odoo.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4"/>
      <w:bookmarkEnd w:id="15"/>
      <w:r/>
    </w:p>
    <w:p w14:paraId="5BF222C2">
      <w:pPr>
        <w:pBdr/>
        <w:shd w:val="nil"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bookmarkStart w:id="16" w:name="constats-retenus"/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5. Constats retenus</w:t>
      </w:r>
      <w:r/>
    </w:p>
    <w:p>
      <w:pPr>
        <w:pStyle w:val="713"/>
        <w:pBdr/>
        <w:spacing/>
        <w:ind/>
        <w:rPr/>
      </w:pPr>
      <w:r>
        <w:t xml:space="preserve">Les premiers éléments recueillis conduisent à retenir les constats suivants :</w:t>
      </w:r>
      <w:r/>
    </w:p>
    <w:p>
      <w:pPr>
        <w:pStyle w:val="714"/>
        <w:numPr>
          <w:ilvl w:val="0"/>
          <w:numId w:val="9"/>
        </w:numPr>
        <w:pBdr/>
        <w:spacing/>
        <w:ind/>
        <w:rPr/>
      </w:pPr>
      <w:r>
        <w:t xml:space="preserve">LGZ et RGL ont des activités distinctes ;</w:t>
      </w:r>
      <w:r/>
    </w:p>
    <w:p>
      <w:pPr>
        <w:pStyle w:val="714"/>
        <w:numPr>
          <w:ilvl w:val="0"/>
          <w:numId w:val="9"/>
        </w:numPr>
        <w:pBdr/>
        <w:spacing/>
        <w:ind/>
        <w:rPr/>
      </w:pPr>
      <w:r>
        <w:t xml:space="preserve">leurs fonctionnements peuvent se croiser sur certains sujets ;</w:t>
      </w:r>
      <w:r/>
    </w:p>
    <w:p>
      <w:pPr>
        <w:pStyle w:val="714"/>
        <w:numPr>
          <w:ilvl w:val="0"/>
          <w:numId w:val="9"/>
        </w:numPr>
        <w:pBdr/>
        <w:spacing/>
        <w:ind/>
        <w:rPr/>
      </w:pPr>
      <w:r>
        <w:t xml:space="preserve">leurs besoins de gestion ne sont pas identiques ;</w:t>
      </w:r>
      <w:r/>
    </w:p>
    <w:p>
      <w:pPr>
        <w:pStyle w:val="714"/>
        <w:numPr>
          <w:ilvl w:val="0"/>
          <w:numId w:val="9"/>
        </w:numPr>
        <w:pBdr/>
        <w:spacing/>
        <w:ind/>
        <w:rPr/>
      </w:pPr>
      <w:r>
        <w:t xml:space="preserve">certaines ressources sont déjà mutualisées, notamment les locaux et une partie de l’environnement de travail ;</w:t>
      </w:r>
      <w:r/>
    </w:p>
    <w:p>
      <w:pPr>
        <w:pStyle w:val="714"/>
        <w:numPr>
          <w:ilvl w:val="0"/>
          <w:numId w:val="9"/>
        </w:numPr>
        <w:pBdr/>
        <w:spacing/>
        <w:ind/>
        <w:rPr/>
      </w:pPr>
      <w:r>
        <w:t xml:space="preserve">chacune conserve toutefois son autonomie, notamment sur les plans administratif et comptable ;</w:t>
      </w:r>
      <w:r/>
    </w:p>
    <w:p>
      <w:pPr>
        <w:pStyle w:val="714"/>
        <w:numPr>
          <w:ilvl w:val="0"/>
          <w:numId w:val="9"/>
        </w:numPr>
        <w:pBdr/>
        <w:spacing/>
        <w:ind/>
        <w:rPr/>
      </w:pPr>
      <w:r>
        <w:t xml:space="preserve">CCC doit être traité comme un sujet spécifique, rattaché à LGZ, et non comme une structure strictement équivalente à LGZ ou RGL.</w:t>
      </w:r>
      <w:r/>
    </w:p>
    <w:p>
      <w:pPr>
        <w:pStyle w:val="713"/>
        <w:pBdr/>
        <w:spacing/>
        <w:ind/>
        <w:rPr/>
      </w:pPr>
      <w:r>
        <w:t xml:space="preserve">Le projet doit donc tenir ensemble deux exigences :</w:t>
      </w:r>
      <w:r/>
    </w:p>
    <w:p>
      <w:pPr>
        <w:pStyle w:val="714"/>
        <w:numPr>
          <w:ilvl w:val="0"/>
          <w:numId w:val="10"/>
        </w:numPr>
        <w:pBdr/>
        <w:spacing/>
        <w:ind/>
        <w:rPr/>
      </w:pPr>
      <w:r>
        <w:t xml:space="preserve">séparer clairement les gestions ;</w:t>
      </w:r>
      <w:r/>
    </w:p>
    <w:p>
      <w:pPr>
        <w:pStyle w:val="714"/>
        <w:numPr>
          <w:ilvl w:val="0"/>
          <w:numId w:val="10"/>
        </w:numPr>
        <w:pBdr/>
        <w:spacing/>
        <w:ind/>
        <w:rPr/>
      </w:pPr>
      <w:r>
        <w:t xml:space="preserve">permettre un socle commun lorsque cela est utile.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6"/>
      <w:r/>
    </w:p>
    <w:p w14:paraId="79D4723A">
      <w:pPr>
        <w:pBdr/>
        <w:shd w:val="nil"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bookmarkStart w:id="20" w:name="lecture-retenue-du-projet"/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6. Lecture retenue du projet</w:t>
      </w:r>
      <w:r/>
    </w:p>
    <w:p>
      <w:pPr>
        <w:pStyle w:val="726"/>
        <w:pBdr/>
        <w:spacing/>
        <w:ind/>
        <w:rPr/>
      </w:pPr>
      <w:r/>
      <w:bookmarkStart w:id="17" w:name="les-grandlieuzarts"/>
      <w:r>
        <w:rPr>
          <w:b/>
          <w:bCs/>
        </w:rPr>
        <w:t xml:space="preserve">6.1. Les Grandlieu’Zarts</w:t>
      </w:r>
      <w:r/>
    </w:p>
    <w:p>
      <w:pPr>
        <w:pStyle w:val="713"/>
        <w:pBdr/>
        <w:spacing/>
        <w:ind/>
        <w:rPr/>
      </w:pPr>
      <w:r>
        <w:t xml:space="preserve">Pour LGZ, le projet concerne notamment :</w:t>
      </w:r>
      <w:r/>
    </w:p>
    <w:p>
      <w:pPr>
        <w:pStyle w:val="714"/>
        <w:numPr>
          <w:ilvl w:val="0"/>
          <w:numId w:val="11"/>
        </w:numPr>
        <w:pBdr/>
        <w:spacing/>
        <w:ind/>
        <w:rPr/>
      </w:pPr>
      <w:r>
        <w:t xml:space="preserve">les usages de gestion ;</w:t>
      </w:r>
      <w:r/>
    </w:p>
    <w:p>
      <w:pPr>
        <w:pStyle w:val="714"/>
        <w:numPr>
          <w:ilvl w:val="0"/>
          <w:numId w:val="11"/>
        </w:numPr>
        <w:pBdr/>
        <w:spacing/>
        <w:ind/>
        <w:rPr/>
      </w:pPr>
      <w:r>
        <w:t xml:space="preserve">le suivi des contacts, partenaires, adhérents et parties prenantes ;</w:t>
      </w:r>
      <w:r/>
    </w:p>
    <w:p>
      <w:pPr>
        <w:pStyle w:val="714"/>
        <w:numPr>
          <w:ilvl w:val="0"/>
          <w:numId w:val="11"/>
        </w:numPr>
        <w:pBdr/>
        <w:spacing/>
        <w:ind/>
        <w:rPr/>
      </w:pPr>
      <w:r>
        <w:t xml:space="preserve">la coordination opérationnelle ;</w:t>
      </w:r>
      <w:r/>
    </w:p>
    <w:p>
      <w:pPr>
        <w:pStyle w:val="714"/>
        <w:numPr>
          <w:ilvl w:val="0"/>
          <w:numId w:val="11"/>
        </w:numPr>
        <w:pBdr/>
        <w:spacing/>
        <w:ind/>
        <w:rPr/>
      </w:pPr>
      <w:r>
        <w:t xml:space="preserve">l’organisation documentaire de gestion ;</w:t>
      </w:r>
      <w:r/>
    </w:p>
    <w:p>
      <w:pPr>
        <w:pStyle w:val="714"/>
        <w:numPr>
          <w:ilvl w:val="0"/>
          <w:numId w:val="11"/>
        </w:numPr>
        <w:pBdr/>
        <w:spacing/>
        <w:ind/>
        <w:rPr/>
      </w:pPr>
      <w:r>
        <w:t xml:space="preserve">certains flux de fonctionnement ;</w:t>
      </w:r>
      <w:r/>
    </w:p>
    <w:p>
      <w:pPr>
        <w:pStyle w:val="714"/>
        <w:numPr>
          <w:ilvl w:val="0"/>
          <w:numId w:val="11"/>
        </w:numPr>
        <w:pBdr/>
        <w:spacing/>
        <w:ind/>
        <w:rPr/>
      </w:pPr>
      <w:r>
        <w:t xml:space="preserve">et le sous-périmètre HelloAsso déjà identifié comme besoin réel.</w:t>
      </w:r>
      <w:r/>
    </w:p>
    <w:p w14:paraId="13E63C84">
      <w:pPr>
        <w:pStyle w:val="714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bookmarkEnd w:id="17"/>
      <w:r>
        <w:rPr>
          <w:highlight w:val="none"/>
        </w:rPr>
      </w:r>
      <w:r>
        <w:rPr>
          <w:highlight w:val="none"/>
        </w:rPr>
      </w:r>
    </w:p>
    <w:p>
      <w:pPr>
        <w:pStyle w:val="726"/>
        <w:pBdr/>
        <w:spacing/>
        <w:ind/>
        <w:rPr/>
      </w:pPr>
      <w:r/>
      <w:bookmarkStart w:id="18" w:name="radio-grandlieu"/>
      <w:r>
        <w:rPr>
          <w:b/>
          <w:bCs/>
        </w:rPr>
        <w:t xml:space="preserve">6.2. Radio Grandlieu</w:t>
      </w:r>
      <w:r/>
    </w:p>
    <w:p>
      <w:pPr>
        <w:pStyle w:val="713"/>
        <w:pBdr/>
        <w:spacing/>
        <w:ind/>
        <w:rPr/>
      </w:pPr>
      <w:r>
        <w:t xml:space="preserve">Pour RGL, le projet concerne notamment :</w:t>
      </w:r>
      <w:r/>
    </w:p>
    <w:p>
      <w:pPr>
        <w:pStyle w:val="714"/>
        <w:numPr>
          <w:ilvl w:val="0"/>
          <w:numId w:val="12"/>
        </w:numPr>
        <w:pBdr/>
        <w:spacing/>
        <w:ind/>
        <w:rPr/>
      </w:pPr>
      <w:r>
        <w:t xml:space="preserve">la structuration opérationnelle ;</w:t>
      </w:r>
      <w:r/>
    </w:p>
    <w:p>
      <w:pPr>
        <w:pStyle w:val="714"/>
        <w:numPr>
          <w:ilvl w:val="0"/>
          <w:numId w:val="12"/>
        </w:numPr>
        <w:pBdr/>
        <w:spacing/>
        <w:ind/>
        <w:rPr/>
      </w:pPr>
      <w:r>
        <w:t xml:space="preserve">le suivi de projet ;</w:t>
      </w:r>
      <w:r/>
    </w:p>
    <w:p>
      <w:pPr>
        <w:pStyle w:val="714"/>
        <w:numPr>
          <w:ilvl w:val="0"/>
          <w:numId w:val="12"/>
        </w:numPr>
        <w:pBdr/>
        <w:spacing/>
        <w:ind/>
        <w:rPr/>
      </w:pPr>
      <w:r>
        <w:t xml:space="preserve">le suivi de facturation ;</w:t>
      </w:r>
      <w:r/>
    </w:p>
    <w:p>
      <w:pPr>
        <w:pStyle w:val="714"/>
        <w:numPr>
          <w:ilvl w:val="0"/>
          <w:numId w:val="12"/>
        </w:numPr>
        <w:pBdr/>
        <w:spacing/>
        <w:ind/>
        <w:rPr/>
      </w:pPr>
      <w:r>
        <w:t xml:space="preserve">et la mise en place d’un cadre de gestion plus lisible.</w:t>
      </w:r>
      <w:r/>
    </w:p>
    <w:p w14:paraId="51855DB9">
      <w:pPr>
        <w:pStyle w:val="714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bookmarkEnd w:id="18"/>
      <w:r>
        <w:rPr>
          <w:highlight w:val="none"/>
        </w:rPr>
      </w:r>
      <w:r>
        <w:rPr>
          <w:highlight w:val="none"/>
        </w:rPr>
      </w:r>
    </w:p>
    <w:p>
      <w:pPr>
        <w:pStyle w:val="726"/>
        <w:pBdr/>
        <w:spacing/>
        <w:ind/>
        <w:rPr/>
      </w:pPr>
      <w:r/>
      <w:bookmarkStart w:id="19" w:name="cric-crac-café"/>
      <w:r>
        <w:rPr>
          <w:b/>
          <w:bCs/>
        </w:rPr>
        <w:t xml:space="preserve">6.3. Cric Crac Café</w:t>
      </w:r>
      <w:r/>
    </w:p>
    <w:p>
      <w:pPr>
        <w:pStyle w:val="713"/>
        <w:pBdr/>
        <w:spacing/>
        <w:ind/>
        <w:rPr/>
      </w:pPr>
      <w:r>
        <w:t xml:space="preserve">Cric Crac Café, rattaché à LGZ, élargit le périmètre du projet.</w:t>
      </w:r>
      <w:r/>
    </w:p>
    <w:p>
      <w:pPr>
        <w:pStyle w:val="712"/>
        <w:pBdr/>
        <w:spacing/>
        <w:ind/>
        <w:rPr/>
      </w:pPr>
      <w:r>
        <w:t xml:space="preserve">Ce sous-périmètre fait apparaître des besoins propres, notamment autour :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de la caisse ;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des ventes et encaissements ;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des articles ;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des achats et fournisseurs ;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du suivi d’exploitation ;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du terminal de paiement ;</w:t>
      </w:r>
      <w:r/>
    </w:p>
    <w:p>
      <w:pPr>
        <w:pStyle w:val="714"/>
        <w:numPr>
          <w:ilvl w:val="0"/>
          <w:numId w:val="13"/>
        </w:numPr>
        <w:pBdr/>
        <w:spacing/>
        <w:ind/>
        <w:rPr/>
      </w:pPr>
      <w:r>
        <w:t xml:space="preserve">et, le cas échéant, des stocks ou du suivi matière.</w:t>
      </w:r>
      <w:r/>
    </w:p>
    <w:p>
      <w:pPr>
        <w:pStyle w:val="713"/>
        <w:pBdr/>
        <w:spacing/>
        <w:ind/>
        <w:rPr/>
      </w:pPr>
      <w:r>
        <w:t xml:space="preserve">Le sujet CCC constitue donc un lot spécifique, avec ses propres enjeux fonctionnels et sa propre temporalité.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9"/>
      <w:bookmarkEnd w:id="20"/>
      <w:r/>
    </w:p>
    <w:p w14:paraId="72CD5FF4">
      <w:pPr>
        <w:pBdr/>
        <w:shd w:val="nil"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bookmarkStart w:id="24" w:name="outils-et-écosystème-existants"/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7. Outils et écosystème existants</w:t>
      </w:r>
      <w:r/>
    </w:p>
    <w:p>
      <w:pPr>
        <w:pStyle w:val="713"/>
        <w:pBdr/>
        <w:spacing/>
        <w:ind/>
        <w:rPr/>
      </w:pPr>
      <w:r>
        <w:t xml:space="preserve">Plusieurs outils occupent déjà une place réelle dans le fonctionnement courant de LGZ et RGL, avec des usages parfois communs et parfois différenciés selon les structures.</w:t>
      </w:r>
      <w:r/>
    </w:p>
    <w:p w14:paraId="006CB66E">
      <w:pPr>
        <w:pStyle w:val="712"/>
        <w:pBdr/>
        <w:spacing/>
        <w:ind/>
        <w:rPr/>
      </w:pPr>
      <w:r/>
      <w:r/>
      <w:r/>
    </w:p>
    <w:p>
      <w:pPr>
        <w:pStyle w:val="726"/>
        <w:pBdr/>
        <w:spacing/>
        <w:ind/>
        <w:rPr/>
      </w:pPr>
      <w:r/>
      <w:bookmarkStart w:id="21" w:name="pennylane"/>
      <w:r>
        <w:rPr>
          <w:b/>
          <w:bCs/>
        </w:rPr>
        <w:t xml:space="preserve">7.1. Pennylane</w:t>
      </w:r>
      <w:r/>
    </w:p>
    <w:p>
      <w:pPr>
        <w:pStyle w:val="713"/>
        <w:pBdr/>
        <w:spacing/>
        <w:ind/>
        <w:rPr/>
      </w:pPr>
      <w:r>
        <w:t xml:space="preserve">Pennylane est utilisé principalement comme espace de dépôt documentaire à destination du cabinet comptable.</w:t>
      </w:r>
      <w:bookmarkEnd w:id="21"/>
      <w:r/>
      <w:r/>
    </w:p>
    <w:p w14:paraId="0D614AB7">
      <w:pPr>
        <w:pStyle w:val="712"/>
        <w:pBdr/>
        <w:spacing/>
        <w:ind/>
        <w:rPr/>
      </w:pPr>
      <w:r/>
      <w:r/>
    </w:p>
    <w:p>
      <w:pPr>
        <w:pStyle w:val="726"/>
        <w:pBdr/>
        <w:spacing/>
        <w:ind/>
        <w:rPr/>
      </w:pPr>
      <w:r/>
      <w:bookmarkStart w:id="22" w:name="helloasso"/>
      <w:r>
        <w:rPr>
          <w:b/>
          <w:bCs/>
        </w:rPr>
        <w:t xml:space="preserve">7.2. HelloAsso</w:t>
      </w:r>
      <w:r/>
    </w:p>
    <w:p>
      <w:pPr>
        <w:pStyle w:val="713"/>
        <w:pBdr/>
        <w:spacing/>
        <w:ind/>
        <w:rPr/>
      </w:pPr>
      <w:r>
        <w:t xml:space="preserve">HelloAsso couvre un besoin fonctionnel important pour LGZ et RGL autour :</w:t>
      </w:r>
      <w:r/>
    </w:p>
    <w:p>
      <w:pPr>
        <w:pStyle w:val="714"/>
        <w:numPr>
          <w:ilvl w:val="0"/>
          <w:numId w:val="14"/>
        </w:numPr>
        <w:pBdr/>
        <w:spacing/>
        <w:ind/>
        <w:rPr/>
      </w:pPr>
      <w:r>
        <w:t xml:space="preserve">des adhésions ;</w:t>
      </w:r>
      <w:r/>
    </w:p>
    <w:p>
      <w:pPr>
        <w:pStyle w:val="714"/>
        <w:numPr>
          <w:ilvl w:val="0"/>
          <w:numId w:val="14"/>
        </w:numPr>
        <w:pBdr/>
        <w:spacing/>
        <w:ind/>
        <w:rPr/>
      </w:pPr>
      <w:r>
        <w:t xml:space="preserve">de la billetterie et des événements ;</w:t>
      </w:r>
      <w:r/>
    </w:p>
    <w:p>
      <w:pPr>
        <w:pStyle w:val="714"/>
        <w:numPr>
          <w:ilvl w:val="0"/>
          <w:numId w:val="14"/>
        </w:numPr>
        <w:pBdr/>
        <w:spacing/>
        <w:ind/>
        <w:rPr/>
      </w:pPr>
      <w:r>
        <w:t xml:space="preserve">des paiements en ligne associés à ces flux ;</w:t>
      </w:r>
      <w:r/>
    </w:p>
    <w:p>
      <w:pPr>
        <w:pStyle w:val="714"/>
        <w:numPr>
          <w:ilvl w:val="0"/>
          <w:numId w:val="14"/>
        </w:numPr>
        <w:pBdr/>
        <w:spacing/>
        <w:ind/>
        <w:rPr/>
      </w:pPr>
      <w:r>
        <w:t xml:space="preserve">et plus largement de certains encaissements liés à la vie associative.</w:t>
      </w:r>
      <w:r/>
    </w:p>
    <w:p>
      <w:pPr>
        <w:pStyle w:val="713"/>
        <w:pBdr/>
        <w:spacing/>
        <w:ind/>
        <w:rPr/>
      </w:pPr>
      <w:r>
        <w:t xml:space="preserve">Le projet Odoo n’a pas vocation à remplacer HelloAsso comme plateforme publique de collecte, d’inscription ou de billetterie.</w:t>
      </w:r>
      <w:r/>
    </w:p>
    <w:p>
      <w:pPr>
        <w:pStyle w:val="712"/>
        <w:pBdr/>
        <w:spacing/>
        <w:ind/>
        <w:rPr/>
      </w:pPr>
      <w:r>
        <w:t xml:space="preserve">En revanche, il a vocation à :</w:t>
      </w:r>
      <w:r/>
    </w:p>
    <w:p>
      <w:pPr>
        <w:pStyle w:val="714"/>
        <w:numPr>
          <w:ilvl w:val="0"/>
          <w:numId w:val="15"/>
        </w:numPr>
        <w:pBdr/>
        <w:spacing/>
        <w:ind/>
        <w:rPr/>
      </w:pPr>
      <w:r>
        <w:t xml:space="preserve">relire dans Odoo les flux utiles issus de HelloAsso ;</w:t>
      </w:r>
      <w:r/>
    </w:p>
    <w:p>
      <w:pPr>
        <w:pStyle w:val="714"/>
        <w:numPr>
          <w:ilvl w:val="0"/>
          <w:numId w:val="15"/>
        </w:numPr>
        <w:pBdr/>
        <w:spacing/>
        <w:ind/>
        <w:rPr/>
      </w:pPr>
      <w:r>
        <w:t xml:space="preserve">les structurer dans un cadre de gestion interne ;</w:t>
      </w:r>
      <w:r/>
    </w:p>
    <w:p>
      <w:pPr>
        <w:pStyle w:val="714"/>
        <w:numPr>
          <w:ilvl w:val="0"/>
          <w:numId w:val="15"/>
        </w:numPr>
        <w:pBdr/>
        <w:spacing/>
        <w:ind/>
        <w:rPr/>
      </w:pPr>
      <w:r>
        <w:t xml:space="preserve">les rattacher clairement à la bonne société ;</w:t>
      </w:r>
      <w:r/>
    </w:p>
    <w:p>
      <w:pPr>
        <w:pStyle w:val="714"/>
        <w:numPr>
          <w:ilvl w:val="0"/>
          <w:numId w:val="15"/>
        </w:numPr>
        <w:pBdr/>
        <w:spacing/>
        <w:ind/>
        <w:rPr/>
      </w:pPr>
      <w:r>
        <w:t xml:space="preserve">les rendre consultables et exploitables dans Odoo ;</w:t>
      </w:r>
      <w:r/>
    </w:p>
    <w:p>
      <w:pPr>
        <w:pStyle w:val="714"/>
        <w:numPr>
          <w:ilvl w:val="0"/>
          <w:numId w:val="15"/>
        </w:numPr>
        <w:pBdr/>
        <w:spacing/>
        <w:ind/>
        <w:rPr/>
      </w:pPr>
      <w:r>
        <w:t xml:space="preserve">et fiabiliser le suivi interne sans ressaisie.</w:t>
      </w:r>
      <w:r/>
    </w:p>
    <w:p>
      <w:pPr>
        <w:pStyle w:val="713"/>
        <w:pBdr/>
        <w:spacing/>
        <w:ind/>
        <w:rPr/>
      </w:pPr>
      <w:r>
        <w:t xml:space="preserve">Dans cette logique, HelloAsso doit être compris comme un sous-périmètre fonctionnel identifié du projet, commun à LGZ et RGL, déjà partiellement structuré dans Odoo et déjà validé sur le lab pour plusieurs usages.</w:t>
      </w:r>
      <w:bookmarkEnd w:id="22"/>
      <w:r/>
      <w:r/>
    </w:p>
    <w:p w14:paraId="3A0D1142">
      <w:pPr>
        <w:pStyle w:val="712"/>
        <w:pBdr/>
        <w:spacing/>
        <w:ind/>
        <w:rPr/>
      </w:pPr>
      <w:r/>
      <w:r/>
    </w:p>
    <w:p>
      <w:pPr>
        <w:pStyle w:val="726"/>
        <w:pBdr/>
        <w:spacing/>
        <w:ind/>
        <w:rPr/>
      </w:pPr>
      <w:r/>
      <w:bookmarkStart w:id="23" w:name="whatsapp"/>
      <w:r>
        <w:rPr>
          <w:b/>
          <w:bCs/>
        </w:rPr>
        <w:t xml:space="preserve">7.3. WhatsApp</w:t>
      </w:r>
      <w:r/>
    </w:p>
    <w:p>
      <w:pPr>
        <w:pStyle w:val="713"/>
        <w:pBdr/>
        <w:spacing/>
        <w:ind/>
        <w:rPr/>
      </w:pPr>
      <w:r/>
      <w:r/>
      <w:r>
        <w:t xml:space="preserve">WhatsApp occupe une place importante dans la communication opérationnelle, notamment pour les échanges rapides, la mobilisation autour des événements et l’animation du quotidien.</w:t>
      </w:r>
      <w:r>
        <w:rPr>
          <w:lang w:val="fr-FR"/>
        </w:rPr>
        <w:t xml:space="preserve"> Ce sujet fera l’objet d’un arbitrage spécifique lors de la mise en œuvre.</w:t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bookmarkEnd w:id="24"/>
      <w:r/>
    </w:p>
    <w:p w14:paraId="0BB80901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25" w:name="base-fonctionnelle-retenue"/>
      <w:r>
        <w:rPr>
          <w:b/>
          <w:bCs/>
        </w:rPr>
        <w:t xml:space="preserve">8. Base fonctionnelle retenue</w:t>
      </w:r>
      <w:r/>
    </w:p>
    <w:p>
      <w:pPr>
        <w:pStyle w:val="713"/>
        <w:pBdr/>
        <w:spacing/>
        <w:ind/>
        <w:rPr/>
      </w:pPr>
      <w:r>
        <w:t xml:space="preserve">La base fonctionnelle retenue comprend notamment :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/>
      <w:r/>
      <w:r>
        <w:t xml:space="preserve">la gestion de la relation</w:t>
      </w:r>
      <w:r>
        <w:rPr>
          <w:lang w:val="fr-FR"/>
        </w:rPr>
        <w:t xml:space="preserve"> avec les partenaires</w:t>
      </w:r>
      <w:r>
        <w:t xml:space="preserve"> ;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>
        <w:t xml:space="preserve">la facturation ;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>
        <w:t xml:space="preserve">le point de vente pour les usages liés à Cric Crac Café ;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>
        <w:t xml:space="preserve">la gestion documentaire de gestion ;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/>
      <w:r/>
      <w:r>
        <w:t xml:space="preserve">le suivi de projet ;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/>
      <w:r/>
      <w:r>
        <w:t xml:space="preserve">les achats ;</w:t>
      </w:r>
      <w:r/>
    </w:p>
    <w:p>
      <w:pPr>
        <w:pStyle w:val="714"/>
        <w:numPr>
          <w:ilvl w:val="0"/>
          <w:numId w:val="16"/>
        </w:numPr>
        <w:pBdr/>
        <w:spacing/>
        <w:ind/>
        <w:rPr/>
      </w:pPr>
      <w:r/>
      <w:r/>
      <w:r/>
      <w:r/>
      <w:r/>
      <w:r/>
      <w:r>
        <w:rPr>
          <w:lang w:val="fr-FR"/>
        </w:rPr>
        <w:t xml:space="preserve">p</w:t>
      </w:r>
      <w:r>
        <w:t xml:space="preserve">our LGZ et RGL, la lecture structurée dans Odoo des flux utiles issus de HelloAsso, en particulier autour des adhérents, des événements / billetteries, des commandes et des paiements.</w:t>
      </w:r>
      <w:r/>
    </w:p>
    <w:p>
      <w:pPr>
        <w:pStyle w:val="713"/>
        <w:pBdr/>
        <w:spacing/>
        <w:ind/>
        <w:rPr/>
      </w:pPr>
      <w:r>
        <w:t xml:space="preserve">Cette base constitue le socle initial proposé pour la mise en œuvre.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</w:p>
    <w:p w14:paraId="743C08DB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27" w:name="découpage-du-projet-en-lots"/>
      <w:r>
        <w:rPr>
          <w:b/>
          <w:bCs/>
        </w:rPr>
        <w:t xml:space="preserve">9. Découpage du projet en lots</w:t>
      </w:r>
      <w:r/>
      <w:r>
        <w:rPr>
          <w:b/>
          <w:bCs/>
        </w:rPr>
      </w:r>
      <w:r/>
    </w:p>
    <w:p>
      <w:pPr>
        <w:pStyle w:val="713"/>
        <w:pBdr/>
        <w:spacing/>
        <w:ind/>
        <w:rPr/>
      </w:pPr>
      <w:r/>
      <w:r/>
      <w:r>
        <w:t xml:space="preserve">Le découpage en lots permet de séquencer la mise en œuvre sans confondre </w:t>
      </w:r>
      <w:r>
        <w:rPr>
          <w:lang w:val="fr-FR"/>
        </w:rPr>
        <w:t xml:space="preserve">S</w:t>
      </w:r>
      <w:r>
        <w:t xml:space="preserve">ocle commun, </w:t>
      </w:r>
      <w:r>
        <w:rPr>
          <w:lang w:val="fr-FR"/>
        </w:rPr>
        <w:t xml:space="preserve">B</w:t>
      </w:r>
      <w:r>
        <w:t xml:space="preserve">esoins métier et </w:t>
      </w:r>
      <w:r>
        <w:rPr>
          <w:lang w:val="fr-FR"/>
        </w:rPr>
        <w:t xml:space="preserve">S</w:t>
      </w:r>
      <w:r>
        <w:t xml:space="preserve">ous-périmètres spécifiques.</w:t>
      </w:r>
      <w:r/>
    </w:p>
    <w:p w14:paraId="6CECA077">
      <w:pPr>
        <w:pStyle w:val="712"/>
        <w:pBdr/>
        <w:spacing/>
        <w:ind/>
        <w:rPr/>
      </w:pPr>
      <w:r/>
      <w:r/>
      <w:r/>
    </w:p>
    <w:tbl>
      <w:tblPr>
        <w:tblStyle w:val="746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Lot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Modules / périmètre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</w:r>
            <w:r/>
            <w:r>
              <w:rPr>
                <w:b/>
                <w:bCs/>
              </w:rPr>
              <w:t xml:space="preserve">Entités concernées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Objectif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Lot 1 — Socle commun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/>
            <w:r/>
            <w:r/>
            <w:r/>
            <w:r>
              <w:t xml:space="preserve">contacts, CRM, account, socle multi-sociétés, configuration générale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LGZ + RGL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Structuration commune, séparation des gestions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Lot 2 — Opérations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/>
            <w:r/>
            <w:r>
              <w:t xml:space="preserve">project, hr_timesheet, purchase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RGL en priorité, avec extension possible à LGZ selon les arbitrages de mise en œuvre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Suivi de projet, temps et achats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Lot 3 — CCC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point_of_sale, stock, product, exploitation CCC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CCC / LGZ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Caisse, encaissements, suivi d’exploitation</w:t>
            </w:r>
            <w:r/>
          </w:p>
        </w:tc>
      </w:tr>
      <w:tr>
        <w:trPr/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rPr>
                <w:b/>
                <w:bCs/>
              </w:rPr>
              <w:t xml:space="preserve">Lot 4 — HelloAsso et enrichissements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connecteurs HelloAsso, reporting, automatismes, modules OCA utiles, intégrations externes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LGZ + RGL, puis extension selon arbitrages</w:t>
            </w:r>
            <w:r/>
          </w:p>
        </w:tc>
        <w:tc>
          <w:tcPr>
            <w:tcBorders/>
          </w:tcPr>
          <w:p>
            <w:pPr>
              <w:pStyle w:val="714"/>
              <w:pBdr/>
              <w:spacing/>
              <w:ind/>
              <w:rPr/>
            </w:pPr>
            <w:r>
              <w:t xml:space="preserve">Structurer les flux externes utiles, en particulier adhérents, billetteries, commandes et paiements</w:t>
            </w:r>
            <w:r/>
          </w:p>
        </w:tc>
      </w:tr>
    </w:tbl>
    <w:p w14:paraId="43C230C0">
      <w:pPr>
        <w:pStyle w:val="726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bookmarkStart w:id="26" w:name="comment-lire-le-lot-helloasso"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6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9.1. </w:t>
      </w:r>
      <w:r>
        <w:rPr>
          <w:b/>
          <w:bCs/>
          <w:lang w:val="fr-FR"/>
        </w:rPr>
        <w:t xml:space="preserve">Précision concernant le </w:t>
      </w:r>
      <w:r>
        <w:rPr>
          <w:b/>
          <w:bCs/>
        </w:rPr>
        <w:t xml:space="preserve">lot HelloAsso</w:t>
      </w:r>
      <w:r/>
    </w:p>
    <w:p>
      <w:pPr>
        <w:pStyle w:val="713"/>
        <w:pBdr/>
        <w:spacing/>
        <w:ind/>
        <w:rPr/>
      </w:pPr>
      <w:r/>
      <w:r>
        <w:t xml:space="preserve">Le sous-périmètre HelloAsso ne doit pas être </w:t>
      </w:r>
      <w:r>
        <w:rPr>
          <w:lang w:val="fr-FR"/>
        </w:rPr>
        <w:t xml:space="preserve">compris</w:t>
      </w:r>
      <w:r>
        <w:t xml:space="preserve"> comme un sujet annexe.</w:t>
      </w:r>
      <w:r/>
    </w:p>
    <w:p>
      <w:pPr>
        <w:pStyle w:val="712"/>
        <w:pBdr/>
        <w:spacing/>
        <w:ind/>
        <w:rPr/>
      </w:pPr>
      <w:r>
        <w:t xml:space="preserve">Il couvre déjà un besoin fonctionnel concret pour LGZ et RGL, avec des validations déjà obtenues sur le lab.</w:t>
      </w:r>
      <w:r/>
    </w:p>
    <w:p>
      <w:pPr>
        <w:pStyle w:val="712"/>
        <w:pBdr/>
        <w:spacing/>
        <w:ind/>
        <w:rPr/>
      </w:pPr>
      <w:r>
        <w:t xml:space="preserve">Il constitue aujourd’hui un bon exemple de mise en œuvre progressive du projet :</w:t>
      </w:r>
      <w:r/>
    </w:p>
    <w:p>
      <w:pPr>
        <w:pStyle w:val="714"/>
        <w:numPr>
          <w:ilvl w:val="0"/>
          <w:numId w:val="17"/>
        </w:numPr>
        <w:pBdr/>
        <w:spacing/>
        <w:ind/>
        <w:rPr/>
      </w:pPr>
      <w:r>
        <w:t xml:space="preserve">flux public conservé dans l’outil d’origine ;</w:t>
      </w:r>
      <w:r/>
    </w:p>
    <w:p>
      <w:pPr>
        <w:pStyle w:val="714"/>
        <w:numPr>
          <w:ilvl w:val="0"/>
          <w:numId w:val="17"/>
        </w:numPr>
        <w:pBdr/>
        <w:spacing/>
        <w:ind/>
        <w:rPr/>
      </w:pPr>
      <w:r>
        <w:t xml:space="preserve">lecture interne structurée dans Odoo ;</w:t>
      </w:r>
      <w:r/>
    </w:p>
    <w:p>
      <w:pPr>
        <w:pStyle w:val="714"/>
        <w:numPr>
          <w:ilvl w:val="0"/>
          <w:numId w:val="17"/>
        </w:numPr>
        <w:pBdr/>
        <w:spacing/>
        <w:ind/>
        <w:rPr/>
      </w:pPr>
      <w:r>
        <w:t xml:space="preserve">progression par MVP successifs ;</w:t>
      </w:r>
      <w:r/>
    </w:p>
    <w:p>
      <w:pPr>
        <w:pStyle w:val="714"/>
        <w:numPr>
          <w:ilvl w:val="0"/>
          <w:numId w:val="17"/>
        </w:numPr>
        <w:pBdr/>
        <w:spacing/>
        <w:ind/>
        <w:rPr/>
      </w:pPr>
      <w:r>
        <w:t xml:space="preserve">et automatisation ensuite seulement lorsque le besoin est stabilisé.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bookmarkEnd w:id="27"/>
      <w:r/>
    </w:p>
    <w:p>
      <w:pPr>
        <w:pStyle w:val="725"/>
        <w:pBdr/>
        <w:spacing/>
        <w:ind/>
        <w:rPr/>
      </w:pPr>
      <w:r/>
      <w:bookmarkStart w:id="28" w:name="cadre-méthodologique-de-mise-en-œuvre"/>
      <w:r>
        <w:rPr>
          <w:b/>
          <w:bCs/>
        </w:rPr>
        <w:t xml:space="preserve">10. Cadre méthodologique de mise en œuvre</w:t>
      </w:r>
      <w:r/>
    </w:p>
    <w:p>
      <w:pPr>
        <w:pStyle w:val="713"/>
        <w:pBdr/>
        <w:spacing/>
        <w:ind/>
        <w:rPr/>
      </w:pPr>
      <w:r/>
      <w:r/>
      <w:r>
        <w:t xml:space="preserve">La mise en œuvre du projet est conduite selon une approche agile, fondée sur des itérations successives.</w:t>
      </w:r>
      <w:r/>
    </w:p>
    <w:p>
      <w:pPr>
        <w:pStyle w:val="712"/>
        <w:pBdr/>
        <w:spacing/>
        <w:ind/>
        <w:rPr/>
      </w:pPr>
      <w:r>
        <w:t xml:space="preserve">Elle repose sur :</w:t>
      </w:r>
      <w:r/>
    </w:p>
    <w:p>
      <w:pPr>
        <w:pStyle w:val="714"/>
        <w:numPr>
          <w:ilvl w:val="0"/>
          <w:numId w:val="18"/>
        </w:numPr>
        <w:pBdr/>
        <w:spacing/>
        <w:ind/>
        <w:rPr/>
      </w:pPr>
      <w:r>
        <w:t xml:space="preserve">la mise en place d’un premier périmètre utile ;</w:t>
      </w:r>
      <w:r/>
    </w:p>
    <w:p>
      <w:pPr>
        <w:pStyle w:val="714"/>
        <w:numPr>
          <w:ilvl w:val="0"/>
          <w:numId w:val="18"/>
        </w:numPr>
        <w:pBdr/>
        <w:spacing/>
        <w:ind/>
        <w:rPr/>
      </w:pPr>
      <w:r>
        <w:t xml:space="preserve">l’observation des usages réels ;</w:t>
      </w:r>
      <w:r/>
    </w:p>
    <w:p>
      <w:pPr>
        <w:pStyle w:val="714"/>
        <w:numPr>
          <w:ilvl w:val="0"/>
          <w:numId w:val="18"/>
        </w:numPr>
        <w:pBdr/>
        <w:spacing/>
        <w:ind/>
        <w:rPr/>
      </w:pPr>
      <w:r>
        <w:t xml:space="preserve">des arbitrages successifs ;</w:t>
      </w:r>
      <w:r/>
    </w:p>
    <w:p>
      <w:pPr>
        <w:pStyle w:val="714"/>
        <w:numPr>
          <w:ilvl w:val="0"/>
          <w:numId w:val="18"/>
        </w:numPr>
        <w:pBdr/>
        <w:spacing/>
        <w:ind/>
        <w:rPr/>
      </w:pPr>
      <w:r>
        <w:t xml:space="preserve">l’enrichissement progressif du socle fonctionnel ;</w:t>
      </w:r>
      <w:r/>
    </w:p>
    <w:p>
      <w:pPr>
        <w:pStyle w:val="714"/>
        <w:numPr>
          <w:ilvl w:val="0"/>
          <w:numId w:val="18"/>
        </w:numPr>
        <w:pBdr/>
        <w:spacing/>
        <w:ind/>
        <w:rPr/>
      </w:pPr>
      <w:r>
        <w:t xml:space="preserve">la prise en compte des contraintes propres à chaque structure ;</w:t>
      </w:r>
      <w:r/>
    </w:p>
    <w:p>
      <w:pPr>
        <w:pStyle w:val="714"/>
        <w:numPr>
          <w:ilvl w:val="0"/>
          <w:numId w:val="18"/>
        </w:numPr>
        <w:pBdr/>
        <w:spacing/>
        <w:ind/>
        <w:rPr/>
      </w:pPr>
      <w:r>
        <w:t xml:space="preserve">et une logique de formation continue au fil de la mise en œuvre.</w:t>
      </w:r>
      <w:r/>
    </w:p>
    <w:p>
      <w:pPr>
        <w:pStyle w:val="713"/>
        <w:pBdr/>
        <w:spacing/>
        <w:ind/>
        <w:rPr/>
      </w:pPr>
      <w:r>
        <w:t xml:space="preserve">Le projet est ainsi conduit dans une logique de construction progressive, au plus près du terrain.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</w:p>
    <w:p>
      <w:pPr>
        <w:pStyle w:val="725"/>
        <w:pBdr/>
        <w:spacing/>
        <w:ind/>
        <w:rPr/>
      </w:pPr>
      <w:r/>
      <w:bookmarkStart w:id="29" w:name="cadre-dintervention"/>
      <w:r>
        <w:rPr>
          <w:b/>
          <w:bCs/>
        </w:rPr>
        <w:t xml:space="preserve">11. Cadre d’intervention</w:t>
      </w:r>
      <w:r/>
    </w:p>
    <w:p>
      <w:pPr>
        <w:pStyle w:val="713"/>
        <w:pBdr/>
        <w:spacing/>
        <w:ind/>
        <w:rPr/>
      </w:pPr>
      <w:r>
        <w:t xml:space="preserve">L’accompagnement du projet est porté dans une logique d’assistance à maîtrise d’ouvrage (AMOA).</w:t>
      </w:r>
      <w:r/>
    </w:p>
    <w:p>
      <w:pPr>
        <w:pStyle w:val="712"/>
        <w:pBdr/>
        <w:spacing/>
        <w:ind/>
        <w:rPr/>
      </w:pPr>
      <w:r>
        <w:t xml:space="preserve">Il couvre :</w:t>
      </w:r>
      <w:r/>
    </w:p>
    <w:p>
      <w:pPr>
        <w:pStyle w:val="714"/>
        <w:numPr>
          <w:ilvl w:val="0"/>
          <w:numId w:val="19"/>
        </w:numPr>
        <w:pBdr/>
        <w:spacing/>
        <w:ind/>
        <w:rPr/>
      </w:pPr>
      <w:r>
        <w:t xml:space="preserve">le cadrage ;</w:t>
      </w:r>
      <w:r/>
    </w:p>
    <w:p>
      <w:pPr>
        <w:pStyle w:val="714"/>
        <w:numPr>
          <w:ilvl w:val="0"/>
          <w:numId w:val="19"/>
        </w:numPr>
        <w:pBdr/>
        <w:spacing/>
        <w:ind/>
        <w:rPr/>
      </w:pPr>
      <w:r>
        <w:t xml:space="preserve">l’organisation du périmètre ;</w:t>
      </w:r>
      <w:r/>
    </w:p>
    <w:p>
      <w:pPr>
        <w:pStyle w:val="714"/>
        <w:numPr>
          <w:ilvl w:val="0"/>
          <w:numId w:val="19"/>
        </w:numPr>
        <w:pBdr/>
        <w:spacing/>
        <w:ind/>
        <w:rPr/>
      </w:pPr>
      <w:r>
        <w:t xml:space="preserve">la mise en œuvre initiale ;</w:t>
      </w:r>
      <w:r/>
    </w:p>
    <w:p>
      <w:pPr>
        <w:pStyle w:val="714"/>
        <w:numPr>
          <w:ilvl w:val="0"/>
          <w:numId w:val="19"/>
        </w:numPr>
        <w:pBdr/>
        <w:spacing/>
        <w:ind/>
        <w:rPr/>
      </w:pPr>
      <w:r>
        <w:t xml:space="preserve">les ajustements de démarrage ;</w:t>
      </w:r>
      <w:r/>
    </w:p>
    <w:p>
      <w:pPr>
        <w:pStyle w:val="714"/>
        <w:numPr>
          <w:ilvl w:val="0"/>
          <w:numId w:val="19"/>
        </w:numPr>
        <w:pBdr/>
        <w:spacing/>
        <w:ind/>
        <w:rPr/>
      </w:pPr>
      <w:r>
        <w:t xml:space="preserve">le travail d’arbitrage ;</w:t>
      </w:r>
      <w:r/>
    </w:p>
    <w:p>
      <w:pPr>
        <w:pStyle w:val="714"/>
        <w:numPr>
          <w:ilvl w:val="0"/>
          <w:numId w:val="19"/>
        </w:numPr>
        <w:pBdr/>
        <w:spacing/>
        <w:ind/>
        <w:rPr/>
      </w:pPr>
      <w:r>
        <w:t xml:space="preserve">et le suivi de cohérence du projet.</w:t>
      </w:r>
      <w:r/>
    </w:p>
    <w:p>
      <w:pPr>
        <w:pStyle w:val="713"/>
        <w:pBdr/>
        <w:spacing/>
        <w:ind/>
        <w:rPr/>
      </w:pPr>
      <w:r/>
      <w:r/>
      <w:r>
        <w:t xml:space="preserve">Dans le cadre du démarrage du projet, un temps d’AMOA</w:t>
      </w:r>
      <w:r>
        <w:rPr>
          <w:lang w:val="fr-FR"/>
        </w:rPr>
        <w:t xml:space="preserve"> (assistance projet)</w:t>
      </w:r>
      <w:r>
        <w:t xml:space="preserve"> est consacré à son accompagnement sur une première séquence de 6 semaines, à raison d’une moyenne de 5 heures par semaine, soit 30 heures au total.</w:t>
      </w:r>
      <w:r/>
    </w:p>
    <w:p>
      <w:pPr>
        <w:pStyle w:val="712"/>
        <w:pBdr/>
        <w:spacing/>
        <w:ind/>
        <w:rPr/>
      </w:pPr>
      <w:r>
        <w:t xml:space="preserve">Cet engagement est apporté à titre bénévole par Doreviateam pour l’amorçage du projet.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</w:p>
    <w:p w14:paraId="309193AD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32" w:name="cadre-économique-et-technique"/>
      <w:r>
        <w:rPr>
          <w:b/>
          <w:bCs/>
        </w:rPr>
        <w:t xml:space="preserve">12. Cadre économique et technique</w:t>
      </w:r>
      <w:r/>
    </w:p>
    <w:p>
      <w:pPr>
        <w:pStyle w:val="713"/>
        <w:pBdr/>
        <w:spacing/>
        <w:ind/>
        <w:rPr/>
      </w:pPr>
      <w:r>
        <w:t xml:space="preserve">Le modèle retenu distingue :</w:t>
      </w:r>
      <w:r/>
    </w:p>
    <w:p>
      <w:pPr>
        <w:pStyle w:val="714"/>
        <w:numPr>
          <w:ilvl w:val="0"/>
          <w:numId w:val="20"/>
        </w:numPr>
        <w:pBdr/>
        <w:spacing/>
        <w:ind/>
        <w:rPr/>
      </w:pPr>
      <w:r>
        <w:t xml:space="preserve">une phase projet ;</w:t>
      </w:r>
      <w:r/>
    </w:p>
    <w:p>
      <w:pPr>
        <w:pStyle w:val="714"/>
        <w:numPr>
          <w:ilvl w:val="0"/>
          <w:numId w:val="20"/>
        </w:numPr>
        <w:pBdr/>
        <w:spacing/>
        <w:ind/>
        <w:rPr/>
      </w:pPr>
      <w:r>
        <w:t xml:space="preserve">et une prise en charge technique récurrente.</w:t>
      </w:r>
      <w:r/>
    </w:p>
    <w:p>
      <w:pPr>
        <w:pStyle w:val="726"/>
        <w:pBdr/>
        <w:spacing/>
        <w:ind/>
        <w:rPr/>
      </w:pPr>
      <w:r/>
      <w:bookmarkStart w:id="30" w:name="phase-projet"/>
      <w:r>
        <w:rPr>
          <w:b/>
          <w:bCs/>
        </w:rPr>
        <w:t xml:space="preserve">12.1. Phase projet</w:t>
      </w:r>
      <w:r/>
    </w:p>
    <w:p>
      <w:pPr>
        <w:pStyle w:val="713"/>
        <w:pBdr/>
        <w:spacing/>
        <w:ind/>
        <w:rPr/>
      </w:pPr>
      <w:r>
        <w:t xml:space="preserve">La phase projet couvre :</w:t>
      </w:r>
      <w:r/>
    </w:p>
    <w:p>
      <w:pPr>
        <w:pStyle w:val="714"/>
        <w:numPr>
          <w:ilvl w:val="0"/>
          <w:numId w:val="21"/>
        </w:numPr>
        <w:pBdr/>
        <w:spacing/>
        <w:ind/>
        <w:rPr/>
      </w:pPr>
      <w:r>
        <w:t xml:space="preserve">le cadrage ;</w:t>
      </w:r>
      <w:r/>
    </w:p>
    <w:p>
      <w:pPr>
        <w:pStyle w:val="714"/>
        <w:numPr>
          <w:ilvl w:val="0"/>
          <w:numId w:val="21"/>
        </w:numPr>
        <w:pBdr/>
        <w:spacing/>
        <w:ind/>
        <w:rPr/>
      </w:pPr>
      <w:r>
        <w:t xml:space="preserve">le paramétrage initial ;</w:t>
      </w:r>
      <w:r/>
    </w:p>
    <w:p>
      <w:pPr>
        <w:pStyle w:val="714"/>
        <w:numPr>
          <w:ilvl w:val="0"/>
          <w:numId w:val="21"/>
        </w:numPr>
        <w:pBdr/>
        <w:spacing/>
        <w:ind/>
        <w:rPr/>
      </w:pPr>
      <w:r>
        <w:t xml:space="preserve">l’organisation fonctionnelle ;</w:t>
      </w:r>
      <w:r/>
    </w:p>
    <w:p>
      <w:pPr>
        <w:pStyle w:val="714"/>
        <w:numPr>
          <w:ilvl w:val="0"/>
          <w:numId w:val="21"/>
        </w:numPr>
        <w:pBdr/>
        <w:spacing/>
        <w:ind/>
        <w:rPr/>
      </w:pPr>
      <w:r>
        <w:t xml:space="preserve">l’accompagnement au démarrage ;</w:t>
      </w:r>
      <w:r/>
    </w:p>
    <w:p>
      <w:pPr>
        <w:pStyle w:val="714"/>
        <w:numPr>
          <w:ilvl w:val="0"/>
          <w:numId w:val="21"/>
        </w:numPr>
        <w:pBdr/>
        <w:spacing/>
        <w:ind/>
        <w:rPr/>
      </w:pPr>
      <w:r>
        <w:t xml:space="preserve">les ajustements liés à la mise en œuvre ;</w:t>
      </w:r>
      <w:r/>
    </w:p>
    <w:p>
      <w:pPr>
        <w:pStyle w:val="714"/>
        <w:numPr>
          <w:ilvl w:val="0"/>
          <w:numId w:val="21"/>
        </w:numPr>
        <w:pBdr/>
        <w:spacing/>
        <w:ind/>
        <w:rPr/>
      </w:pPr>
      <w:r>
        <w:t xml:space="preserve">et les enrichissements retenus à l’issue des premiers arbitrages.</w:t>
      </w:r>
      <w:r/>
    </w:p>
    <w:p w14:paraId="34387342">
      <w:pPr>
        <w:pStyle w:val="71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End w:id="30"/>
      <w:r>
        <w:rPr>
          <w:highlight w:val="none"/>
        </w:rPr>
      </w:r>
      <w:r>
        <w:rPr>
          <w:highlight w:val="none"/>
        </w:rPr>
      </w:r>
    </w:p>
    <w:p>
      <w:pPr>
        <w:pStyle w:val="726"/>
        <w:pBdr/>
        <w:spacing/>
        <w:ind/>
        <w:rPr/>
      </w:pPr>
      <w:r/>
      <w:bookmarkStart w:id="31" w:name="prise-en-charge-technique-récurrente"/>
      <w:r>
        <w:rPr>
          <w:b/>
          <w:bCs/>
        </w:rPr>
        <w:t xml:space="preserve">12.2. Prise en charge technique récurrente</w:t>
      </w:r>
      <w:r/>
    </w:p>
    <w:p>
      <w:pPr>
        <w:pStyle w:val="713"/>
        <w:pBdr/>
        <w:spacing/>
        <w:ind/>
        <w:rPr/>
      </w:pPr>
      <w:r/>
      <w:r/>
      <w:r>
        <w:t xml:space="preserve">La prise en charge technique récurrente repose sur une contribution de</w:t>
      </w:r>
      <w:r>
        <w:t xml:space="preserve"> </w:t>
      </w:r>
      <w:r>
        <w:rPr>
          <w:b/>
          <w:bCs/>
        </w:rPr>
        <w:t xml:space="preserve">17 € par mois et par association</w:t>
      </w:r>
      <w:r>
        <w:t xml:space="preserve">, versée à Doreviateam.</w:t>
      </w:r>
      <w:r/>
    </w:p>
    <w:p>
      <w:pPr>
        <w:pStyle w:val="712"/>
        <w:pBdr/>
        <w:spacing/>
        <w:ind/>
        <w:rPr/>
      </w:pPr>
      <w:r>
        <w:t xml:space="preserve">Elle couvre :</w:t>
      </w:r>
      <w:r/>
    </w:p>
    <w:p>
      <w:pPr>
        <w:pStyle w:val="714"/>
        <w:numPr>
          <w:ilvl w:val="0"/>
          <w:numId w:val="22"/>
        </w:numPr>
        <w:pBdr/>
        <w:spacing/>
        <w:ind/>
        <w:rPr/>
      </w:pPr>
      <w:r>
        <w:t xml:space="preserve">l’hébergement ;</w:t>
      </w:r>
      <w:r/>
    </w:p>
    <w:p>
      <w:pPr>
        <w:pStyle w:val="714"/>
        <w:numPr>
          <w:ilvl w:val="0"/>
          <w:numId w:val="22"/>
        </w:numPr>
        <w:pBdr/>
        <w:spacing/>
        <w:ind/>
        <w:rPr/>
      </w:pPr>
      <w:r>
        <w:t xml:space="preserve">la maintenance courante ;</w:t>
      </w:r>
      <w:r/>
    </w:p>
    <w:p>
      <w:pPr>
        <w:pStyle w:val="714"/>
        <w:numPr>
          <w:ilvl w:val="0"/>
          <w:numId w:val="22"/>
        </w:numPr>
        <w:pBdr/>
        <w:spacing/>
        <w:ind/>
        <w:rPr/>
      </w:pPr>
      <w:r>
        <w:t xml:space="preserve">l’administration technique de base ;</w:t>
      </w:r>
      <w:r/>
    </w:p>
    <w:p>
      <w:pPr>
        <w:pStyle w:val="714"/>
        <w:numPr>
          <w:ilvl w:val="0"/>
          <w:numId w:val="22"/>
        </w:numPr>
        <w:pBdr/>
        <w:spacing/>
        <w:ind/>
        <w:rPr/>
      </w:pPr>
      <w:r>
        <w:t xml:space="preserve">et la continuité générale de fonctionnement.</w:t>
      </w:r>
      <w:r/>
    </w:p>
    <w:p>
      <w:pPr>
        <w:pStyle w:val="713"/>
        <w:pBdr/>
        <w:spacing/>
        <w:ind/>
        <w:rPr/>
      </w:pPr>
      <w:r>
        <w:t xml:space="preserve">Pour deux associations, cela représente</w:t>
      </w:r>
      <w:r>
        <w:t xml:space="preserve"> </w:t>
      </w:r>
      <w:r>
        <w:rPr>
          <w:b/>
          <w:bCs/>
        </w:rPr>
        <w:t xml:space="preserve">34 € par mois</w:t>
      </w:r>
      <w:r>
        <w:t xml:space="preserve">, soit</w:t>
      </w:r>
      <w:r>
        <w:t xml:space="preserve"> </w:t>
      </w:r>
      <w:r>
        <w:rPr>
          <w:b/>
          <w:bCs/>
        </w:rPr>
        <w:t xml:space="preserve">408 € par an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bookmarkEnd w:id="32"/>
      <w:r/>
    </w:p>
    <w:p>
      <w:pPr>
        <w:pStyle w:val="725"/>
        <w:pBdr/>
        <w:spacing/>
        <w:ind/>
        <w:rPr/>
      </w:pPr>
      <w:r/>
      <w:r/>
      <w:r/>
      <w:bookmarkStart w:id="33" w:name="point-particulier-documentaire"/>
      <w:r>
        <w:rPr>
          <w:b/>
          <w:bCs/>
        </w:rPr>
        <w:t xml:space="preserve">13. Point particulier : </w:t>
      </w:r>
      <w:r>
        <w:rPr>
          <w:b/>
          <w:bCs/>
          <w:lang w:val="fr-FR"/>
        </w:rPr>
        <w:t xml:space="preserve">Gestion </w:t>
      </w:r>
      <w:r>
        <w:rPr>
          <w:b/>
          <w:bCs/>
        </w:rPr>
        <w:t xml:space="preserve">documentaire</w:t>
      </w:r>
      <w:r/>
    </w:p>
    <w:p>
      <w:pPr>
        <w:pStyle w:val="713"/>
        <w:pBdr/>
        <w:spacing/>
        <w:ind/>
        <w:rPr/>
      </w:pPr>
      <w:r>
        <w:t xml:space="preserve">Le projet comporte un enjeu documentaire important, compte tenu du volume de documents, PDF, photographies, vidéos et contenus liés aux activités.</w:t>
      </w:r>
      <w:r/>
    </w:p>
    <w:p>
      <w:pPr>
        <w:pStyle w:val="712"/>
        <w:pBdr/>
        <w:spacing/>
        <w:ind/>
        <w:rPr/>
      </w:pPr>
      <w:r>
        <w:t xml:space="preserve">Odoo a vocation à couvrir les usages documentaires directement liés à la gestion.</w:t>
      </w:r>
      <w:r/>
    </w:p>
    <w:p>
      <w:pPr>
        <w:pStyle w:val="712"/>
        <w:pBdr/>
        <w:spacing/>
        <w:ind/>
        <w:rPr/>
      </w:pPr>
      <w:r>
        <w:t xml:space="preserve">Un espace documentaire partagé complémentaire pourra être mis en place dans la suite du projet, selon les arbitrages arrêtés.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</w:p>
    <w:p w14:paraId="7EEB1C74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34" w:name="points-dattention-de-pilotage"/>
      <w:r>
        <w:rPr>
          <w:b/>
          <w:bCs/>
        </w:rPr>
        <w:t xml:space="preserve">14. Points d’attention de pilotage</w:t>
      </w:r>
      <w:r/>
    </w:p>
    <w:p>
      <w:pPr>
        <w:pStyle w:val="713"/>
        <w:pBdr/>
        <w:spacing/>
        <w:ind/>
        <w:rPr/>
      </w:pPr>
      <w:r>
        <w:t xml:space="preserve">La poursuite du projet suppose une vigilance particulière sur les points suivants :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maintenir une lecture claire entre LGZ, RGL et CCC, sans confondre rapprochement des usages et fusion de gestion ;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garder un périmètre de mise en œuvre progressif, afin d’éviter une extension trop rapide du projet ;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clarifier le rôle respectif des outils déjà en place, en particulier HelloAsso, Pennylane et les outils de communication du quotidien ;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préserver une séparation lisible des responsabilités, des données et des circuits de validation ;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traiter Cric Crac Café comme un sujet spécifique, avec son propre rythme de mise en œuvre ;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capitaliser sur les éléments déjà validés sur le lab, sans considérer trop vite qu’ils valent généralisation complète à tous les usages ;</w:t>
      </w:r>
      <w:r/>
    </w:p>
    <w:p>
      <w:pPr>
        <w:pStyle w:val="714"/>
        <w:numPr>
          <w:ilvl w:val="0"/>
          <w:numId w:val="23"/>
        </w:numPr>
        <w:pBdr/>
        <w:spacing/>
        <w:ind/>
        <w:rPr/>
      </w:pPr>
      <w:r>
        <w:t xml:space="preserve">conserver une logique d’arbitrages successifs, afin de ne pas figer prématurément des choix qui doivent encore être observés dans l’usage réel.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4"/>
      <w:r/>
    </w:p>
    <w:p>
      <w:pPr>
        <w:pStyle w:val="725"/>
        <w:pBdr/>
        <w:spacing/>
        <w:ind/>
        <w:rPr/>
      </w:pPr>
      <w:r/>
      <w:bookmarkStart w:id="35" w:name="points-soumis-à-décision"/>
      <w:r>
        <w:rPr>
          <w:b/>
          <w:bCs/>
        </w:rPr>
        <w:t xml:space="preserve">15. Points soumis à décision</w:t>
      </w:r>
      <w:r/>
    </w:p>
    <w:p>
      <w:pPr>
        <w:pStyle w:val="713"/>
        <w:pBdr/>
        <w:spacing/>
        <w:ind/>
        <w:rPr/>
      </w:pPr>
      <w:r>
        <w:t xml:space="preserve">Il est proposé au comité de direction de se prononcer sur :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le cadrage général du projet Odoo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son périmètre autour de LGZ, RGL et CCC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la lecture retenue distinguant LGZ et RGL, avec CCC comme sous-périmètre rattaché à LGZ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la base fonctionnelle initiale proposée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le découpage du projet en lots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la place de HelloAsso comme sous-périmètre fonctionnel utile du projet LGZ / RGL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le cadre méthodologique de mise en œuvre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le principe d’une mise en œuvre progressive par itérations successives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la poursuite du projet sur la base d’une phase projet chiffrée ;</w:t>
      </w:r>
      <w:r/>
    </w:p>
    <w:p>
      <w:pPr>
        <w:pStyle w:val="714"/>
        <w:numPr>
          <w:ilvl w:val="0"/>
          <w:numId w:val="24"/>
        </w:numPr>
        <w:pBdr/>
        <w:spacing/>
        <w:ind/>
        <w:rPr/>
      </w:pPr>
      <w:r>
        <w:t xml:space="preserve">et le cadre technique récurrent reposant sur une contribution mensuelle par association.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r/>
    </w:p>
    <w:p w14:paraId="75501A76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36" w:name="conclusion"/>
      <w:r>
        <w:rPr>
          <w:b/>
          <w:bCs/>
        </w:rPr>
        <w:t xml:space="preserve">16. Conclusion</w:t>
      </w:r>
      <w:r/>
    </w:p>
    <w:p>
      <w:pPr>
        <w:pStyle w:val="713"/>
        <w:pBdr/>
        <w:spacing/>
        <w:ind/>
        <w:rPr/>
      </w:pPr>
      <w:r>
        <w:t xml:space="preserve">Le projet Odoo concerne la structuration d’ensemble de LGZ, RGL et CCC, avec une lecture clarifiée :</w:t>
      </w:r>
      <w:r/>
    </w:p>
    <w:p>
      <w:pPr>
        <w:pStyle w:val="714"/>
        <w:numPr>
          <w:ilvl w:val="0"/>
          <w:numId w:val="25"/>
        </w:numPr>
        <w:pBdr/>
        <w:spacing/>
        <w:ind/>
        <w:rPr/>
      </w:pPr>
      <w:r>
        <w:t xml:space="preserve">LGZ et RGL comme deux structures distinctes ;</w:t>
      </w:r>
      <w:r/>
    </w:p>
    <w:p>
      <w:pPr>
        <w:pStyle w:val="714"/>
        <w:numPr>
          <w:ilvl w:val="0"/>
          <w:numId w:val="25"/>
        </w:numPr>
        <w:pBdr/>
        <w:spacing/>
        <w:ind/>
        <w:rPr/>
      </w:pPr>
      <w:r>
        <w:t xml:space="preserve">CCC comme sous-périmètre spécifique rattaché à LGZ ;</w:t>
      </w:r>
      <w:r/>
    </w:p>
    <w:p>
      <w:pPr>
        <w:pStyle w:val="714"/>
        <w:numPr>
          <w:ilvl w:val="0"/>
          <w:numId w:val="25"/>
        </w:numPr>
        <w:pBdr/>
        <w:spacing/>
        <w:ind/>
        <w:rPr/>
      </w:pPr>
      <w:r>
        <w:t xml:space="preserve">et HelloAsso comme un besoin fonctionnel déjà réel pour LGZ et RGL, déjà partiellement traduit et validé dans Odoo.</w:t>
      </w:r>
      <w:r/>
    </w:p>
    <w:p>
      <w:pPr>
        <w:pStyle w:val="713"/>
        <w:pBdr/>
        <w:spacing/>
        <w:ind/>
        <w:rPr/>
      </w:pPr>
      <w:r>
        <w:t xml:space="preserve">La présente note a pour objet de fixer le cadre général dans lequel le projet peut se poursuivre.</w:t>
      </w:r>
      <w:r/>
    </w:p>
    <w:p>
      <w:pPr>
        <w:pStyle w:val="712"/>
        <w:pBdr/>
        <w:spacing/>
        <w:ind/>
        <w:rPr/>
      </w:pPr>
      <w:r>
        <w:t xml:space="preserve">Il est proposé au comité de direction d’en valider :</w:t>
      </w:r>
      <w:r/>
    </w:p>
    <w:p>
      <w:pPr>
        <w:pStyle w:val="714"/>
        <w:numPr>
          <w:ilvl w:val="0"/>
          <w:numId w:val="26"/>
        </w:numPr>
        <w:pBdr/>
        <w:spacing/>
        <w:ind/>
        <w:rPr/>
      </w:pPr>
      <w:r>
        <w:t xml:space="preserve">le principe ;</w:t>
      </w:r>
      <w:r/>
    </w:p>
    <w:p>
      <w:pPr>
        <w:pStyle w:val="714"/>
        <w:numPr>
          <w:ilvl w:val="0"/>
          <w:numId w:val="26"/>
        </w:numPr>
        <w:pBdr/>
        <w:spacing/>
        <w:ind/>
        <w:rPr/>
      </w:pPr>
      <w:r>
        <w:t xml:space="preserve">le périmètre ;</w:t>
      </w:r>
      <w:r/>
    </w:p>
    <w:p>
      <w:pPr>
        <w:pStyle w:val="714"/>
        <w:numPr>
          <w:ilvl w:val="0"/>
          <w:numId w:val="26"/>
        </w:numPr>
        <w:pBdr/>
        <w:spacing/>
        <w:ind/>
        <w:rPr/>
      </w:pPr>
      <w:r>
        <w:t xml:space="preserve">la lecture retenue ;</w:t>
      </w:r>
      <w:r/>
    </w:p>
    <w:p>
      <w:pPr>
        <w:pStyle w:val="714"/>
        <w:numPr>
          <w:ilvl w:val="0"/>
          <w:numId w:val="26"/>
        </w:numPr>
        <w:pBdr/>
        <w:spacing/>
        <w:ind/>
        <w:rPr/>
      </w:pPr>
      <w:r>
        <w:t xml:space="preserve">la méthode de mise en œuvre ;</w:t>
      </w:r>
      <w:r/>
    </w:p>
    <w:p>
      <w:pPr>
        <w:pStyle w:val="714"/>
        <w:numPr>
          <w:ilvl w:val="0"/>
          <w:numId w:val="26"/>
        </w:numPr>
        <w:pBdr/>
        <w:spacing/>
        <w:ind/>
        <w:rPr/>
      </w:pPr>
      <w:r>
        <w:t xml:space="preserve">et les modalités générales d’accompagnement.</w:t>
      </w:r>
      <w:r/>
    </w:p>
    <w:p>
      <w:pPr>
        <w:pStyle w:val="713"/>
        <w:pBdr/>
        <w:spacing/>
        <w:ind/>
        <w:rPr/>
      </w:pPr>
      <w:r>
        <w:t xml:space="preserve">Le projet ne relève plus d’une simple intention de structuration, mais d’une mise en œuvre progressive déjà engagée sur plusieurs briques concrètes, en particulier autour du sous-périmètre HelloAsso.</w:t>
      </w:r>
      <w:r/>
    </w:p>
    <w:p>
      <w:pPr>
        <w:pStyle w:val="712"/>
        <w:pBdr/>
        <w:spacing/>
        <w:ind/>
        <w:rPr/>
      </w:pPr>
      <w:r>
        <w:t xml:space="preserve">Il peut donc désormais être lu comme un projet effectivement amorcé, appelant des arbitrages de poursuite, de rythme et de priorisation plutôt qu’une simple validation d’intention.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6"/>
      <w:r/>
    </w:p>
    <w:p w14:paraId="66A667DA">
      <w:pPr>
        <w:pBdr/>
        <w:shd w:val="nil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25"/>
        <w:pBdr/>
        <w:spacing/>
        <w:ind/>
        <w:rPr>
          <w:b/>
          <w:bCs/>
          <w:highlight w:val="none"/>
        </w:rPr>
      </w:pPr>
      <w:r/>
      <w:bookmarkStart w:id="38" w:name="lien-interne-de-référence"/>
      <w:r>
        <w:rPr>
          <w:b/>
          <w:bCs/>
        </w:rPr>
        <w:t xml:space="preserve">Lien interne de référence</w:t>
      </w:r>
      <w:r/>
    </w:p>
    <w:p>
      <w:pPr>
        <w:pStyle w:val="714"/>
        <w:numPr>
          <w:ilvl w:val="0"/>
          <w:numId w:val="27"/>
        </w:numPr>
        <w:pBdr/>
        <w:spacing/>
        <w:ind/>
        <w:rPr/>
      </w:pPr>
      <w:r/>
      <w:hyperlink r:id="rId11" w:tooltip="https://glz-rgl.doreviateam.com" w:history="1">
        <w:r>
          <w:rPr>
            <w:rStyle w:val="758"/>
          </w:rPr>
          <w:t xml:space="preserve">Lab LGZ-RGL</w:t>
        </w:r>
      </w:hyperlink>
      <w:r/>
      <w:bookmarkEnd w:id="38"/>
      <w:bookmarkEnd w:id="39"/>
      <w:r/>
    </w:p>
    <w:sectPr>
      <w:headerReference w:type="default" r:id="rId9"/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5A4CF2">
    <w:pPr>
      <w:pStyle w:val="724"/>
      <w:pBdr/>
      <w:spacing/>
      <w:ind/>
      <w:jc w:val="center"/>
      <w:rPr/>
    </w:pPr>
    <w:r/>
    <w:r>
      <w:rPr>
        <w:b/>
        <w:bCs/>
      </w:rPr>
      <w:t xml:space="preserve">NOTE DE CADRAGE — PROJET ODOO</w:t>
    </w:r>
    <w:r/>
    <w:r/>
  </w:p>
  <w:p w14:paraId="1B7A6910">
    <w:pPr>
      <w:pStyle w:val="725"/>
      <w:pBdr/>
      <w:spacing/>
      <w:ind/>
      <w:jc w:val="center"/>
      <w:rPr/>
    </w:pPr>
    <w:r/>
    <w:r>
      <w:rPr>
        <w:b/>
        <w:bCs/>
      </w:rPr>
      <w:t xml:space="preserve">Les Grandlieu’Zarts, Radio Grandlieu et Cric Crac Café</w:t>
    </w:r>
    <w:r/>
    <w:r/>
  </w:p>
  <w:p w14:paraId="58EE07D8">
    <w:pPr>
      <w:pStyle w:val="712"/>
      <w:pBdr/>
      <w:spacing/>
      <w:ind/>
      <w:rPr/>
    </w:pPr>
    <w:r/>
    <w:r/>
    <w:r/>
  </w:p>
  <w:p w14:paraId="6031CFC1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6B6BE6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11"/>
    <w:next w:val="71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1"/>
    <w:next w:val="71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5"/>
    <w:link w:val="176"/>
    <w:uiPriority w:val="99"/>
    <w:pPr>
      <w:pBdr/>
      <w:spacing/>
      <w:ind/>
    </w:pPr>
  </w:style>
  <w:style w:type="paragraph" w:styleId="178">
    <w:name w:val="Footer"/>
    <w:basedOn w:val="71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5"/>
    <w:link w:val="178"/>
    <w:uiPriority w:val="99"/>
    <w:pPr>
      <w:pBdr/>
      <w:spacing/>
      <w:ind/>
    </w:pPr>
  </w:style>
  <w:style w:type="character" w:styleId="182">
    <w:name w:val="Footnote Text Char"/>
    <w:basedOn w:val="745"/>
    <w:link w:val="743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1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1"/>
    <w:next w:val="711"/>
    <w:uiPriority w:val="39"/>
    <w:unhideWhenUsed/>
    <w:pPr>
      <w:pBdr/>
      <w:spacing w:after="100"/>
      <w:ind/>
    </w:pPr>
  </w:style>
  <w:style w:type="paragraph" w:styleId="190">
    <w:name w:val="toc 2"/>
    <w:basedOn w:val="711"/>
    <w:next w:val="711"/>
    <w:uiPriority w:val="39"/>
    <w:unhideWhenUsed/>
    <w:pPr>
      <w:pBdr/>
      <w:spacing w:after="100"/>
      <w:ind w:left="220"/>
    </w:pPr>
  </w:style>
  <w:style w:type="paragraph" w:styleId="191">
    <w:name w:val="toc 3"/>
    <w:basedOn w:val="711"/>
    <w:next w:val="711"/>
    <w:uiPriority w:val="39"/>
    <w:unhideWhenUsed/>
    <w:pPr>
      <w:pBdr/>
      <w:spacing w:after="100"/>
      <w:ind w:left="440"/>
    </w:pPr>
  </w:style>
  <w:style w:type="paragraph" w:styleId="192">
    <w:name w:val="toc 4"/>
    <w:basedOn w:val="711"/>
    <w:next w:val="711"/>
    <w:uiPriority w:val="39"/>
    <w:unhideWhenUsed/>
    <w:pPr>
      <w:pBdr/>
      <w:spacing w:after="100"/>
      <w:ind w:left="660"/>
    </w:pPr>
  </w:style>
  <w:style w:type="paragraph" w:styleId="193">
    <w:name w:val="toc 5"/>
    <w:basedOn w:val="711"/>
    <w:next w:val="711"/>
    <w:uiPriority w:val="39"/>
    <w:unhideWhenUsed/>
    <w:pPr>
      <w:pBdr/>
      <w:spacing w:after="100"/>
      <w:ind w:left="880"/>
    </w:pPr>
  </w:style>
  <w:style w:type="paragraph" w:styleId="194">
    <w:name w:val="toc 6"/>
    <w:basedOn w:val="711"/>
    <w:next w:val="711"/>
    <w:uiPriority w:val="39"/>
    <w:unhideWhenUsed/>
    <w:pPr>
      <w:pBdr/>
      <w:spacing w:after="100"/>
      <w:ind w:left="1100"/>
    </w:pPr>
  </w:style>
  <w:style w:type="paragraph" w:styleId="195">
    <w:name w:val="toc 7"/>
    <w:basedOn w:val="711"/>
    <w:next w:val="711"/>
    <w:uiPriority w:val="39"/>
    <w:unhideWhenUsed/>
    <w:pPr>
      <w:pBdr/>
      <w:spacing w:after="100"/>
      <w:ind w:left="1320"/>
    </w:pPr>
  </w:style>
  <w:style w:type="paragraph" w:styleId="196">
    <w:name w:val="toc 8"/>
    <w:basedOn w:val="711"/>
    <w:next w:val="711"/>
    <w:uiPriority w:val="39"/>
    <w:unhideWhenUsed/>
    <w:pPr>
      <w:pBdr/>
      <w:spacing w:after="100"/>
      <w:ind w:left="1540"/>
    </w:pPr>
  </w:style>
  <w:style w:type="paragraph" w:styleId="197">
    <w:name w:val="toc 9"/>
    <w:basedOn w:val="711"/>
    <w:next w:val="71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1"/>
    <w:next w:val="711"/>
    <w:uiPriority w:val="99"/>
    <w:unhideWhenUsed/>
    <w:pPr>
      <w:pBdr/>
      <w:spacing w:after="0" w:afterAutospacing="0"/>
      <w:ind/>
    </w:pPr>
  </w:style>
  <w:style w:type="paragraph" w:styleId="711" w:default="1">
    <w:name w:val="Normal"/>
    <w:qFormat/>
    <w:pPr>
      <w:pBdr/>
      <w:spacing/>
      <w:ind/>
    </w:pPr>
  </w:style>
  <w:style w:type="paragraph" w:styleId="712">
    <w:name w:val="Body Text"/>
    <w:basedOn w:val="711"/>
    <w:link w:val="754"/>
    <w:qFormat/>
    <w:pPr>
      <w:pBdr/>
      <w:spacing w:after="180" w:before="180"/>
      <w:ind/>
    </w:pPr>
  </w:style>
  <w:style w:type="paragraph" w:styleId="713" w:customStyle="1">
    <w:name w:val="First Paragraph"/>
    <w:basedOn w:val="712"/>
    <w:next w:val="712"/>
    <w:qFormat/>
    <w:pPr>
      <w:pBdr/>
      <w:spacing/>
      <w:ind/>
    </w:pPr>
  </w:style>
  <w:style w:type="paragraph" w:styleId="714" w:customStyle="1">
    <w:name w:val="Compact"/>
    <w:basedOn w:val="712"/>
    <w:qFormat/>
    <w:pPr>
      <w:pBdr/>
      <w:spacing w:after="36" w:before="36"/>
      <w:ind/>
    </w:pPr>
  </w:style>
  <w:style w:type="paragraph" w:styleId="715">
    <w:name w:val="Title"/>
    <w:basedOn w:val="711"/>
    <w:next w:val="712"/>
    <w:link w:val="716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16" w:customStyle="1">
    <w:name w:val="Title Char"/>
    <w:basedOn w:val="745"/>
    <w:link w:val="715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17">
    <w:name w:val="Subtitle"/>
    <w:basedOn w:val="715"/>
    <w:next w:val="712"/>
    <w:link w:val="71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18" w:customStyle="1">
    <w:name w:val="Subtitle Char"/>
    <w:basedOn w:val="745"/>
    <w:link w:val="71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9" w:customStyle="1">
    <w:name w:val="Author"/>
    <w:basedOn w:val="715"/>
    <w:next w:val="712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20">
    <w:name w:val="Date"/>
    <w:basedOn w:val="715"/>
    <w:next w:val="712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21" w:customStyle="1">
    <w:name w:val="Abstract Title"/>
    <w:basedOn w:val="711"/>
    <w:next w:val="722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22" w:customStyle="1">
    <w:name w:val="Abstract"/>
    <w:basedOn w:val="711"/>
    <w:next w:val="712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23">
    <w:name w:val="Bibliography"/>
    <w:basedOn w:val="711"/>
    <w:next w:val="723"/>
    <w:qFormat/>
    <w:pPr>
      <w:pBdr/>
      <w:spacing/>
      <w:ind/>
    </w:pPr>
  </w:style>
  <w:style w:type="paragraph" w:styleId="724">
    <w:name w:val="Heading 1"/>
    <w:basedOn w:val="711"/>
    <w:next w:val="712"/>
    <w:link w:val="7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5">
    <w:name w:val="Heading 2"/>
    <w:basedOn w:val="711"/>
    <w:next w:val="712"/>
    <w:link w:val="7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6">
    <w:name w:val="Heading 3"/>
    <w:basedOn w:val="711"/>
    <w:next w:val="712"/>
    <w:link w:val="7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7">
    <w:name w:val="Heading 4"/>
    <w:basedOn w:val="711"/>
    <w:next w:val="712"/>
    <w:link w:val="7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8">
    <w:name w:val="Heading 5"/>
    <w:basedOn w:val="711"/>
    <w:next w:val="712"/>
    <w:link w:val="7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9">
    <w:name w:val="Heading 6"/>
    <w:basedOn w:val="711"/>
    <w:next w:val="712"/>
    <w:link w:val="73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0">
    <w:name w:val="Heading 7"/>
    <w:basedOn w:val="711"/>
    <w:next w:val="712"/>
    <w:link w:val="73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1">
    <w:name w:val="Heading 8"/>
    <w:basedOn w:val="711"/>
    <w:next w:val="712"/>
    <w:link w:val="74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2">
    <w:name w:val="Heading 9"/>
    <w:basedOn w:val="711"/>
    <w:next w:val="712"/>
    <w:link w:val="74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3" w:customStyle="1">
    <w:name w:val="Heading 1 Char"/>
    <w:basedOn w:val="745"/>
    <w:link w:val="72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4" w:customStyle="1">
    <w:name w:val="Heading 2 Char"/>
    <w:basedOn w:val="745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5" w:customStyle="1">
    <w:name w:val="Heading 3 Char"/>
    <w:basedOn w:val="745"/>
    <w:link w:val="72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6" w:customStyle="1">
    <w:name w:val="Heading 4 Char"/>
    <w:basedOn w:val="745"/>
    <w:link w:val="72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7" w:customStyle="1">
    <w:name w:val="Heading 5 Char"/>
    <w:basedOn w:val="745"/>
    <w:link w:val="72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8" w:customStyle="1">
    <w:name w:val="Heading 6 Char"/>
    <w:basedOn w:val="745"/>
    <w:link w:val="72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9" w:customStyle="1">
    <w:name w:val="Heading 7 Char"/>
    <w:basedOn w:val="745"/>
    <w:link w:val="73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0" w:customStyle="1">
    <w:name w:val="Heading 8 Char"/>
    <w:basedOn w:val="745"/>
    <w:link w:val="73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1" w:customStyle="1">
    <w:name w:val="Heading 9 Char"/>
    <w:basedOn w:val="745"/>
    <w:link w:val="73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2">
    <w:name w:val="Block Text"/>
    <w:basedOn w:val="712"/>
    <w:next w:val="712"/>
    <w:uiPriority w:val="9"/>
    <w:unhideWhenUsed/>
    <w:qFormat/>
    <w:pPr>
      <w:pBdr/>
      <w:spacing w:after="100" w:before="100"/>
      <w:ind w:right="480" w:firstLine="0" w:left="480"/>
    </w:pPr>
  </w:style>
  <w:style w:type="paragraph" w:styleId="743">
    <w:name w:val="footnote text"/>
    <w:basedOn w:val="711"/>
    <w:next w:val="743"/>
    <w:uiPriority w:val="9"/>
    <w:unhideWhenUsed/>
    <w:qFormat/>
    <w:pPr>
      <w:pBdr/>
      <w:spacing/>
      <w:ind/>
    </w:pPr>
  </w:style>
  <w:style w:type="paragraph" w:styleId="744">
    <w:name w:val="Footnote Block Text"/>
    <w:basedOn w:val="743"/>
    <w:next w:val="743"/>
    <w:uiPriority w:val="9"/>
    <w:unhideWhenUsed/>
    <w:qFormat/>
    <w:pPr>
      <w:pBdr/>
      <w:spacing w:after="100" w:before="100"/>
      <w:ind w:right="480" w:firstLine="0" w:left="480"/>
    </w:pPr>
  </w:style>
  <w:style w:type="character" w:styleId="745" w:default="1">
    <w:name w:val="Default Paragraph Font"/>
    <w:semiHidden/>
    <w:unhideWhenUsed/>
    <w:pPr>
      <w:pBdr/>
      <w:spacing/>
      <w:ind/>
    </w:pPr>
  </w:style>
  <w:style w:type="table" w:styleId="746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7" w:customStyle="1">
    <w:name w:val="Definition Term"/>
    <w:basedOn w:val="711"/>
    <w:next w:val="748"/>
    <w:pPr>
      <w:keepNext w:val="true"/>
      <w:keepLines w:val="true"/>
      <w:pBdr/>
      <w:spacing w:after="0"/>
      <w:ind/>
    </w:pPr>
    <w:rPr>
      <w:b/>
    </w:rPr>
  </w:style>
  <w:style w:type="paragraph" w:styleId="748" w:customStyle="1">
    <w:name w:val="Definition"/>
    <w:basedOn w:val="711"/>
    <w:pPr>
      <w:pBdr/>
      <w:spacing/>
      <w:ind/>
    </w:pPr>
  </w:style>
  <w:style w:type="paragraph" w:styleId="749">
    <w:name w:val="Caption"/>
    <w:basedOn w:val="711"/>
    <w:link w:val="754"/>
    <w:pPr>
      <w:pBdr/>
      <w:spacing w:after="120" w:before="0"/>
      <w:ind/>
    </w:pPr>
    <w:rPr>
      <w:i/>
    </w:rPr>
  </w:style>
  <w:style w:type="paragraph" w:styleId="750" w:customStyle="1">
    <w:name w:val="Table Caption"/>
    <w:basedOn w:val="749"/>
    <w:pPr>
      <w:keepNext w:val="true"/>
      <w:pBdr/>
      <w:spacing/>
      <w:ind/>
    </w:pPr>
  </w:style>
  <w:style w:type="paragraph" w:styleId="751" w:customStyle="1">
    <w:name w:val="Image Caption"/>
    <w:basedOn w:val="749"/>
    <w:pPr>
      <w:pBdr/>
      <w:spacing/>
      <w:ind/>
    </w:pPr>
  </w:style>
  <w:style w:type="paragraph" w:styleId="752" w:customStyle="1">
    <w:name w:val="Figure"/>
    <w:basedOn w:val="711"/>
    <w:pPr>
      <w:pBdr/>
      <w:spacing/>
      <w:ind/>
    </w:pPr>
  </w:style>
  <w:style w:type="paragraph" w:styleId="753" w:customStyle="1">
    <w:name w:val="Captioned Figure"/>
    <w:basedOn w:val="752"/>
    <w:pPr>
      <w:keepNext w:val="true"/>
      <w:pBdr/>
      <w:spacing/>
      <w:ind/>
    </w:pPr>
  </w:style>
  <w:style w:type="character" w:styleId="754" w:customStyle="1">
    <w:name w:val="Body Text Char"/>
    <w:basedOn w:val="745"/>
    <w:link w:val="712"/>
    <w:pPr>
      <w:pBdr/>
      <w:spacing/>
      <w:ind/>
    </w:pPr>
  </w:style>
  <w:style w:type="character" w:styleId="755" w:customStyle="1">
    <w:name w:val="Verbatim Char"/>
    <w:basedOn w:val="754"/>
    <w:pPr>
      <w:pBdr/>
      <w:spacing/>
      <w:ind/>
    </w:pPr>
    <w:rPr>
      <w:rFonts w:ascii="Consolas" w:hAnsi="Consolas"/>
      <w:sz w:val="22"/>
    </w:rPr>
  </w:style>
  <w:style w:type="character" w:styleId="756" w:customStyle="1">
    <w:name w:val="Section Number"/>
    <w:basedOn w:val="754"/>
    <w:pPr>
      <w:pBdr/>
      <w:spacing/>
      <w:ind/>
    </w:pPr>
  </w:style>
  <w:style w:type="character" w:styleId="757">
    <w:name w:val="footnote reference"/>
    <w:basedOn w:val="754"/>
    <w:pPr>
      <w:pBdr/>
      <w:spacing/>
      <w:ind/>
    </w:pPr>
    <w:rPr>
      <w:vertAlign w:val="superscript"/>
    </w:rPr>
  </w:style>
  <w:style w:type="character" w:styleId="758">
    <w:name w:val="Hyperlink"/>
    <w:basedOn w:val="754"/>
    <w:pPr>
      <w:pBdr/>
      <w:spacing/>
      <w:ind/>
    </w:pPr>
    <w:rPr>
      <w:color w:val="4f81bd" w:themeColor="accent1"/>
    </w:rPr>
  </w:style>
  <w:style w:type="paragraph" w:styleId="759">
    <w:name w:val="TOC Heading"/>
    <w:basedOn w:val="724"/>
    <w:next w:val="712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60" w:customStyle="1">
    <w:name w:val="Source Code"/>
    <w:basedOn w:val="711"/>
    <w:link w:val="755"/>
    <w:pPr>
      <w:pBdr/>
      <w:spacing/>
      <w:ind/>
    </w:pPr>
  </w:style>
  <w:style w:type="character" w:styleId="761" w:customStyle="1">
    <w:name w:val="KeywordTok"/>
    <w:basedOn w:val="755"/>
    <w:pPr>
      <w:pBdr/>
      <w:spacing/>
      <w:ind/>
    </w:pPr>
    <w:rPr>
      <w:b/>
      <w:color w:val="007020"/>
    </w:rPr>
  </w:style>
  <w:style w:type="character" w:styleId="762" w:customStyle="1">
    <w:name w:val="DataTypeTok"/>
    <w:basedOn w:val="755"/>
    <w:pPr>
      <w:pBdr/>
      <w:spacing/>
      <w:ind/>
    </w:pPr>
    <w:rPr>
      <w:color w:val="902000"/>
    </w:rPr>
  </w:style>
  <w:style w:type="character" w:styleId="763" w:customStyle="1">
    <w:name w:val="DecValTok"/>
    <w:basedOn w:val="755"/>
    <w:pPr>
      <w:pBdr/>
      <w:spacing/>
      <w:ind/>
    </w:pPr>
    <w:rPr>
      <w:color w:val="40a070"/>
    </w:rPr>
  </w:style>
  <w:style w:type="character" w:styleId="764" w:customStyle="1">
    <w:name w:val="BaseNTok"/>
    <w:basedOn w:val="755"/>
    <w:pPr>
      <w:pBdr/>
      <w:spacing/>
      <w:ind/>
    </w:pPr>
    <w:rPr>
      <w:color w:val="40a070"/>
    </w:rPr>
  </w:style>
  <w:style w:type="character" w:styleId="765" w:customStyle="1">
    <w:name w:val="FloatTok"/>
    <w:basedOn w:val="755"/>
    <w:pPr>
      <w:pBdr/>
      <w:spacing/>
      <w:ind/>
    </w:pPr>
    <w:rPr>
      <w:color w:val="40a070"/>
    </w:rPr>
  </w:style>
  <w:style w:type="character" w:styleId="766" w:customStyle="1">
    <w:name w:val="ConstantTok"/>
    <w:basedOn w:val="755"/>
    <w:pPr>
      <w:pBdr/>
      <w:spacing/>
      <w:ind/>
    </w:pPr>
    <w:rPr>
      <w:color w:val="880000"/>
    </w:rPr>
  </w:style>
  <w:style w:type="character" w:styleId="767" w:customStyle="1">
    <w:name w:val="CharTok"/>
    <w:basedOn w:val="755"/>
    <w:pPr>
      <w:pBdr/>
      <w:spacing/>
      <w:ind/>
    </w:pPr>
    <w:rPr>
      <w:color w:val="4070a0"/>
    </w:rPr>
  </w:style>
  <w:style w:type="character" w:styleId="768" w:customStyle="1">
    <w:name w:val="SpecialCharTok"/>
    <w:basedOn w:val="755"/>
    <w:pPr>
      <w:pBdr/>
      <w:spacing/>
      <w:ind/>
    </w:pPr>
    <w:rPr>
      <w:color w:val="4070a0"/>
    </w:rPr>
  </w:style>
  <w:style w:type="character" w:styleId="769" w:customStyle="1">
    <w:name w:val="StringTok"/>
    <w:basedOn w:val="755"/>
    <w:pPr>
      <w:pBdr/>
      <w:spacing/>
      <w:ind/>
    </w:pPr>
    <w:rPr>
      <w:color w:val="4070a0"/>
    </w:rPr>
  </w:style>
  <w:style w:type="character" w:styleId="770" w:customStyle="1">
    <w:name w:val="VerbatimStringTok"/>
    <w:basedOn w:val="755"/>
    <w:pPr>
      <w:pBdr/>
      <w:spacing/>
      <w:ind/>
    </w:pPr>
    <w:rPr>
      <w:color w:val="4070a0"/>
    </w:rPr>
  </w:style>
  <w:style w:type="character" w:styleId="771" w:customStyle="1">
    <w:name w:val="SpecialStringTok"/>
    <w:basedOn w:val="755"/>
    <w:pPr>
      <w:pBdr/>
      <w:spacing/>
      <w:ind/>
    </w:pPr>
    <w:rPr>
      <w:color w:val="bb6688"/>
    </w:rPr>
  </w:style>
  <w:style w:type="character" w:styleId="772" w:customStyle="1">
    <w:name w:val="ImportTok"/>
    <w:basedOn w:val="755"/>
    <w:pPr>
      <w:pBdr/>
      <w:spacing/>
      <w:ind/>
    </w:pPr>
    <w:rPr>
      <w:b/>
      <w:color w:val="008000"/>
    </w:rPr>
  </w:style>
  <w:style w:type="character" w:styleId="773" w:customStyle="1">
    <w:name w:val="CommentTok"/>
    <w:basedOn w:val="755"/>
    <w:pPr>
      <w:pBdr/>
      <w:spacing/>
      <w:ind/>
    </w:pPr>
    <w:rPr>
      <w:i/>
      <w:color w:val="60a0b0"/>
    </w:rPr>
  </w:style>
  <w:style w:type="character" w:styleId="774" w:customStyle="1">
    <w:name w:val="DocumentationTok"/>
    <w:basedOn w:val="755"/>
    <w:pPr>
      <w:pBdr/>
      <w:spacing/>
      <w:ind/>
    </w:pPr>
    <w:rPr>
      <w:i/>
      <w:color w:val="ba2121"/>
    </w:rPr>
  </w:style>
  <w:style w:type="character" w:styleId="775" w:customStyle="1">
    <w:name w:val="AnnotationTok"/>
    <w:basedOn w:val="755"/>
    <w:pPr>
      <w:pBdr/>
      <w:spacing/>
      <w:ind/>
    </w:pPr>
    <w:rPr>
      <w:b/>
      <w:i/>
      <w:color w:val="60a0b0"/>
    </w:rPr>
  </w:style>
  <w:style w:type="character" w:styleId="776" w:customStyle="1">
    <w:name w:val="CommentVarTok"/>
    <w:basedOn w:val="755"/>
    <w:pPr>
      <w:pBdr/>
      <w:spacing/>
      <w:ind/>
    </w:pPr>
    <w:rPr>
      <w:b/>
      <w:i/>
      <w:color w:val="60a0b0"/>
    </w:rPr>
  </w:style>
  <w:style w:type="character" w:styleId="777" w:customStyle="1">
    <w:name w:val="OtherTok"/>
    <w:basedOn w:val="755"/>
    <w:pPr>
      <w:pBdr/>
      <w:spacing/>
      <w:ind/>
    </w:pPr>
    <w:rPr>
      <w:color w:val="007020"/>
    </w:rPr>
  </w:style>
  <w:style w:type="character" w:styleId="778" w:customStyle="1">
    <w:name w:val="FunctionTok"/>
    <w:basedOn w:val="755"/>
    <w:pPr>
      <w:pBdr/>
      <w:spacing/>
      <w:ind/>
    </w:pPr>
    <w:rPr>
      <w:color w:val="06287e"/>
    </w:rPr>
  </w:style>
  <w:style w:type="character" w:styleId="779" w:customStyle="1">
    <w:name w:val="VariableTok"/>
    <w:basedOn w:val="755"/>
    <w:pPr>
      <w:pBdr/>
      <w:spacing/>
      <w:ind/>
    </w:pPr>
    <w:rPr>
      <w:color w:val="19177c"/>
    </w:rPr>
  </w:style>
  <w:style w:type="character" w:styleId="780" w:customStyle="1">
    <w:name w:val="ControlFlowTok"/>
    <w:basedOn w:val="755"/>
    <w:pPr>
      <w:pBdr/>
      <w:spacing/>
      <w:ind/>
    </w:pPr>
    <w:rPr>
      <w:b/>
      <w:color w:val="007020"/>
    </w:rPr>
  </w:style>
  <w:style w:type="character" w:styleId="781" w:customStyle="1">
    <w:name w:val="OperatorTok"/>
    <w:basedOn w:val="755"/>
    <w:pPr>
      <w:pBdr/>
      <w:spacing/>
      <w:ind/>
    </w:pPr>
    <w:rPr>
      <w:color w:val="666666"/>
    </w:rPr>
  </w:style>
  <w:style w:type="character" w:styleId="782" w:customStyle="1">
    <w:name w:val="BuiltInTok"/>
    <w:basedOn w:val="755"/>
    <w:pPr>
      <w:pBdr/>
      <w:spacing/>
      <w:ind/>
    </w:pPr>
    <w:rPr>
      <w:color w:val="008000"/>
    </w:rPr>
  </w:style>
  <w:style w:type="character" w:styleId="783" w:customStyle="1">
    <w:name w:val="ExtensionTok"/>
    <w:basedOn w:val="755"/>
    <w:pPr>
      <w:pBdr/>
      <w:spacing/>
      <w:ind/>
    </w:pPr>
  </w:style>
  <w:style w:type="character" w:styleId="784" w:customStyle="1">
    <w:name w:val="PreprocessorTok"/>
    <w:basedOn w:val="755"/>
    <w:pPr>
      <w:pBdr/>
      <w:spacing/>
      <w:ind/>
    </w:pPr>
    <w:rPr>
      <w:color w:val="bc7a00"/>
    </w:rPr>
  </w:style>
  <w:style w:type="character" w:styleId="785" w:customStyle="1">
    <w:name w:val="AttributeTok"/>
    <w:basedOn w:val="755"/>
    <w:pPr>
      <w:pBdr/>
      <w:spacing/>
      <w:ind/>
    </w:pPr>
    <w:rPr>
      <w:color w:val="7d9029"/>
    </w:rPr>
  </w:style>
  <w:style w:type="character" w:styleId="786" w:customStyle="1">
    <w:name w:val="RegionMarkerTok"/>
    <w:basedOn w:val="755"/>
    <w:pPr>
      <w:pBdr/>
      <w:spacing/>
      <w:ind/>
    </w:pPr>
  </w:style>
  <w:style w:type="character" w:styleId="787" w:customStyle="1">
    <w:name w:val="InformationTok"/>
    <w:basedOn w:val="755"/>
    <w:pPr>
      <w:pBdr/>
      <w:spacing/>
      <w:ind/>
    </w:pPr>
    <w:rPr>
      <w:b/>
      <w:i/>
      <w:color w:val="60a0b0"/>
    </w:rPr>
  </w:style>
  <w:style w:type="character" w:styleId="788" w:customStyle="1">
    <w:name w:val="WarningTok"/>
    <w:basedOn w:val="755"/>
    <w:pPr>
      <w:pBdr/>
      <w:spacing/>
      <w:ind/>
    </w:pPr>
    <w:rPr>
      <w:b/>
      <w:i/>
      <w:color w:val="60a0b0"/>
    </w:rPr>
  </w:style>
  <w:style w:type="character" w:styleId="789" w:customStyle="1">
    <w:name w:val="AlertTok"/>
    <w:basedOn w:val="755"/>
    <w:pPr>
      <w:pBdr/>
      <w:spacing/>
      <w:ind/>
    </w:pPr>
    <w:rPr>
      <w:b/>
      <w:color w:val="ff0000"/>
    </w:rPr>
  </w:style>
  <w:style w:type="character" w:styleId="790" w:customStyle="1">
    <w:name w:val="ErrorTok"/>
    <w:basedOn w:val="755"/>
    <w:pPr>
      <w:pBdr/>
      <w:spacing/>
      <w:ind/>
    </w:pPr>
    <w:rPr>
      <w:b/>
      <w:color w:val="ff0000"/>
    </w:rPr>
  </w:style>
  <w:style w:type="character" w:styleId="791" w:customStyle="1">
    <w:name w:val="NormalTok"/>
    <w:basedOn w:val="75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glz-rgl.doreviateam.com" TargetMode="External"/><Relationship Id="rId11" Type="http://schemas.openxmlformats.org/officeDocument/2006/relationships/hyperlink" Target="https://glz-rgl.doreviateam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2026-04-07T13:50:39Z</dcterms:created>
  <dcterms:modified xsi:type="dcterms:W3CDTF">2026-04-07T15:39:17Z</dcterms:modified>
</cp:coreProperties>
</file>