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1c6863323d689f380c095c8631c0eecb4107ad"/>
      <w:r>
        <w:t xml:space="preserve">Rapport de contrôle qualité — Module</w:t>
      </w:r>
      <w:r>
        <w:t xml:space="preserve"> </w:t>
      </w:r>
      <w:r>
        <w:rPr>
          <w:rStyle w:val="VerbatimChar"/>
        </w:rPr>
        <w:t xml:space="preserve">dorevia_ck_marketone_content</w:t>
      </w:r>
      <w:bookmarkEnd w:id="20"/>
    </w:p>
    <w:p>
      <w:pPr>
        <w:pStyle w:val="FirstParagraph"/>
      </w:pPr>
      <w:r>
        <w:rPr>
          <w:b/>
        </w:rPr>
        <w:t xml:space="preserve">Projet :</w:t>
      </w:r>
      <w:r>
        <w:t xml:space="preserve"> </w:t>
      </w:r>
      <w:r>
        <w:t xml:space="preserve">dorevia_ck_marketone · C-Kreyol / CK</w:t>
      </w:r>
      <w:r>
        <w:t xml:space="preserve"> </w:t>
      </w:r>
      <w:r>
        <w:rPr>
          <w:b/>
        </w:rPr>
        <w:t xml:space="preserve">Module audité :</w:t>
      </w:r>
      <w:r>
        <w:t xml:space="preserve"> </w:t>
      </w:r>
      <w:r>
        <w:rPr>
          <w:rStyle w:val="VerbatimChar"/>
        </w:rPr>
        <w:t xml:space="preserve">dorevia_ck_marketone_content</w:t>
      </w:r>
      <w:r>
        <w:t xml:space="preserve"> </w:t>
      </w:r>
      <w:r>
        <w:t xml:space="preserve">— version</w:t>
      </w:r>
      <w:r>
        <w:t xml:space="preserve"> </w:t>
      </w:r>
      <w:r>
        <w:rPr>
          <w:rStyle w:val="VerbatimChar"/>
        </w:rPr>
        <w:t xml:space="preserve">19.0.1.21.16</w:t>
      </w:r>
      <w:r>
        <w:t xml:space="preserve"> </w:t>
      </w:r>
      <w:r>
        <w:rPr>
          <w:b/>
        </w:rPr>
        <w:t xml:space="preserve">Type de contrôle :</w:t>
      </w:r>
      <w:r>
        <w:t xml:space="preserve"> </w:t>
      </w:r>
      <w:r>
        <w:t xml:space="preserve">revue de code statique (sans exécution Odoo)</w:t>
      </w:r>
      <w:r>
        <w:t xml:space="preserve"> </w:t>
      </w:r>
      <w:r>
        <w:rPr>
          <w:b/>
        </w:rPr>
        <w:t xml:space="preserve">Périmètre :</w:t>
      </w:r>
      <w:r>
        <w:t xml:space="preserve"> </w:t>
      </w:r>
      <w:r>
        <w:t xml:space="preserve">module de contenu uniquement (thème</w:t>
      </w:r>
      <w:r>
        <w:t xml:space="preserve"> </w:t>
      </w:r>
      <w:r>
        <w:rPr>
          <w:rStyle w:val="VerbatimChar"/>
        </w:rPr>
        <w:t xml:space="preserve">dorevia_ck_theme</w:t>
      </w:r>
      <w:r>
        <w:t xml:space="preserve"> </w:t>
      </w:r>
      <w:r>
        <w:t xml:space="preserve">audité séparément)</w:t>
      </w:r>
      <w:r>
        <w:t xml:space="preserve"> </w:t>
      </w:r>
      <w:r>
        <w:rPr>
          <w:b/>
        </w:rPr>
        <w:t xml:space="preserve">Date :</w:t>
      </w:r>
      <w:r>
        <w:t xml:space="preserve"> </w:t>
      </w:r>
      <w:r>
        <w:t xml:space="preserve">2026-06-17</w:t>
      </w:r>
      <w:r>
        <w:t xml:space="preserve"> </w:t>
      </w:r>
      <w:r>
        <w:rPr>
          <w:b/>
        </w:rPr>
        <w:t xml:space="preserve">Auteur :</w:t>
      </w:r>
      <w:r>
        <w:t xml:space="preserve"> </w:t>
      </w:r>
      <w:r>
        <w:t xml:space="preserve">Contrôle qualité</w:t>
      </w:r>
    </w:p>
    <w:p>
      <w:r>
        <w:pict>
          <v:rect style="width:0;height:1.5pt" o:hralign="center" o:hrstd="t" o:hr="t"/>
        </w:pict>
      </w:r>
    </w:p>
    <w:p>
      <w:pPr>
        <w:pStyle w:val="Heading2"/>
      </w:pPr>
      <w:bookmarkStart w:id="21" w:name="synthèse-exécutive"/>
      <w:r>
        <w:t xml:space="preserve">1. Synthèse exécutive</w:t>
      </w:r>
      <w:bookmarkEnd w:id="21"/>
    </w:p>
    <w:p>
      <w:pPr>
        <w:pStyle w:val="FirstParagraph"/>
      </w:pPr>
      <w:r>
        <w:rPr>
          <w:rStyle w:val="VerbatimChar"/>
        </w:rPr>
        <w:t xml:space="preserve">dorevia_ck_marketone_content</w:t>
      </w:r>
      <w:r>
        <w:t xml:space="preserve"> </w:t>
      </w:r>
      <w:r>
        <w:t xml:space="preserve">porte tout le contenu métier CK : pages CMS (légal, confidentialité, CGV, professionnels, contact, à propos, recettes, fiche producteur), catalogue pilote, newsletter, et la composition de la page d’accueil. La</w:t>
      </w:r>
      <w:r>
        <w:t xml:space="preserve"> </w:t>
      </w:r>
      <w:r>
        <w:rPr>
          <w:b/>
        </w:rPr>
        <w:t xml:space="preserve">discipline d’idempotence est excellente</w:t>
      </w:r>
      <w:r>
        <w:t xml:space="preserve"> </w:t>
      </w:r>
      <w:r>
        <w:t xml:space="preserve">(recherche avant création, garde</w:t>
      </w:r>
      <w:r>
        <w:t xml:space="preserve"> </w:t>
      </w:r>
      <w:r>
        <w:rPr>
          <w:rStyle w:val="VerbatimChar"/>
        </w:rPr>
        <w:t xml:space="preserve">ir.model.data</w:t>
      </w:r>
      <w:r>
        <w:t xml:space="preserve">, reprise des clés de vues historiques, alias rétro-compatibles), la séparation thème/contenu est respectée, la sécurité est saine (ACL corrects, échappement HTML systématique, formulaires natifs</w:t>
      </w:r>
      <w:r>
        <w:t xml:space="preserve"> </w:t>
      </w:r>
      <w:r>
        <w:rPr>
          <w:rStyle w:val="VerbatimChar"/>
        </w:rPr>
        <w:t xml:space="preserve">crm.lead</w:t>
      </w:r>
      <w:r>
        <w:t xml:space="preserve">/</w:t>
      </w:r>
      <w:r>
        <w:rPr>
          <w:rStyle w:val="VerbatimChar"/>
        </w:rPr>
        <w:t xml:space="preserve">mail.mail</w:t>
      </w:r>
      <w:r>
        <w:t xml:space="preserve"> </w:t>
      </w:r>
      <w:r>
        <w:t xml:space="preserve">sans champ custom).</w:t>
      </w:r>
    </w:p>
    <w:p>
      <w:pPr>
        <w:pStyle w:val="BodyText"/>
      </w:pPr>
      <w:r>
        <w:t xml:space="preserve">En revanche, le module repose sur un</w:t>
      </w:r>
      <w:r>
        <w:t xml:space="preserve"> </w:t>
      </w:r>
      <w:r>
        <w:rPr>
          <w:b/>
        </w:rPr>
        <w:t xml:space="preserve">parti pris d’architecture risqué</w:t>
      </w:r>
      <w:r>
        <w:t xml:space="preserve"> </w:t>
      </w:r>
      <w:r>
        <w:t xml:space="preserve">: l’intégralité des pages et des sections d’accueil est écrite en</w:t>
      </w:r>
      <w:r>
        <w:t xml:space="preserve"> </w:t>
      </w:r>
      <w:r>
        <w:rPr>
          <w:b/>
        </w:rPr>
        <w:t xml:space="preserve">HTML dans des chaînes Python</w:t>
      </w:r>
      <w:r>
        <w:t xml:space="preserve">, puis injectée en</w:t>
      </w:r>
      <w:r>
        <w:t xml:space="preserve"> </w:t>
      </w:r>
      <w:r>
        <w:rPr>
          <w:b/>
        </w:rPr>
        <w:t xml:space="preserve">écrasant</w:t>
      </w:r>
      <w:r>
        <w:rPr>
          <w:b/>
        </w:rPr>
        <w:t xml:space="preserve"> </w:t>
      </w:r>
      <w:r>
        <w:rPr>
          <w:rStyle w:val="VerbatimChar"/>
          <w:b/>
        </w:rPr>
        <w:t xml:space="preserve">view.arch_db</w:t>
      </w:r>
      <w:r>
        <w:rPr>
          <w:b/>
        </w:rPr>
        <w:t xml:space="preserve"> </w:t>
      </w:r>
      <w:r>
        <w:rPr>
          <w:b/>
        </w:rPr>
        <w:t xml:space="preserve">par manipulation de chaînes</w:t>
      </w:r>
      <w:r>
        <w:t xml:space="preserve"> </w:t>
      </w:r>
      <w:r>
        <w:t xml:space="preserve">(recherche/insertion/remplacement de marqueurs). Trois conséquences majeures en découlent : les modifications faites par la MOA dans le Website Builder sont écrasées à chaque mise à jour, la chaîne de patch de l’accueil est fragile, et l’internationalisation standard est court-circuitée. S’ajoute un point critique : pour calculer les prix catalogue, le code de</w:t>
      </w:r>
      <w:r>
        <w:t xml:space="preserve"> </w:t>
      </w:r>
      <w:r>
        <w:rPr>
          <w:b/>
        </w:rPr>
        <w:t xml:space="preserve">production fabrique une fausse requête HTTP avec</w:t>
      </w:r>
      <w:r>
        <w:rPr>
          <w:b/>
        </w:rPr>
        <w:t xml:space="preserve"> </w:t>
      </w:r>
      <w:r>
        <w:rPr>
          <w:rStyle w:val="VerbatimChar"/>
          <w:b/>
        </w:rPr>
        <w:t xml:space="preserve">unittest.mock</w:t>
      </w:r>
      <w:r>
        <w:t xml:space="preserve"> </w:t>
      </w:r>
      <w:r>
        <w:t xml:space="preserve">et l’empile sur la pile de requêtes Odoo — y compris pendant de vraies requêtes (auto-réparation de l’accueil en</w:t>
      </w:r>
      <w:r>
        <w:t xml:space="preserve"> </w:t>
      </w:r>
      <w:r>
        <w:rPr>
          <w:rStyle w:val="VerbatimChar"/>
        </w:rPr>
        <w:t xml:space="preserve">_pre_dispatch</w:t>
      </w:r>
      <w:r>
        <w:t xml:space="preserve">).</w:t>
      </w:r>
    </w:p>
    <w:p>
      <w:pPr>
        <w:pStyle w:val="BodyText"/>
      </w:pPr>
      <w:r>
        <w:rPr>
          <w:b/>
        </w:rPr>
        <w:t xml:space="preserve">Verdict global : à consolider.</w:t>
      </w:r>
      <w:r>
        <w:t xml:space="preserve"> </w:t>
      </w:r>
      <w:r>
        <w:t xml:space="preserve">Le module est fonctionnel, bien testé (33 fichiers de tests) et soigné sur l’idempotence et la sécurité, mais deux choix structurels (rendu SSR via requête mockée ; contenu en chaînes Python écrasant l’arch) méritent une remédiation avant montée en charge et avant d’ouvrir l’édition CMS à la MOA.</w:t>
      </w:r>
    </w:p>
    <w:tbl>
      <w:tblPr>
        <w:tblStyle w:val="Table"/>
        <w:tblW w:type="pct" w:w="0.0"/>
        <w:tblLook w:firstRow="1"/>
      </w:tblPr>
      <w:tblGrid/>
      <w:tr>
        <w:trPr>
          <w:cnfStyle w:firstRow="1"/>
        </w:trPr>
        <w:tc>
          <w:tcPr>
            <w:tcBorders>
              <w:bottom w:val="single"/>
            </w:tcBorders>
            <w:vAlign w:val="bottom"/>
          </w:tcPr>
          <w:p>
            <w:pPr>
              <w:pStyle w:val="Compact"/>
              <w:jc w:val="left"/>
            </w:pPr>
            <w:r>
              <w:t xml:space="preserve">Indicateur</w:t>
            </w:r>
          </w:p>
        </w:tc>
        <w:tc>
          <w:tcPr>
            <w:tcBorders>
              <w:bottom w:val="single"/>
            </w:tcBorders>
            <w:vAlign w:val="bottom"/>
          </w:tcPr>
          <w:p>
            <w:pPr>
              <w:pStyle w:val="Compact"/>
              <w:jc w:val="left"/>
            </w:pPr>
            <w:r>
              <w:t xml:space="preserve">Évaluation</w:t>
            </w:r>
          </w:p>
        </w:tc>
      </w:tr>
      <w:tr>
        <w:tc>
          <w:p>
            <w:pPr>
              <w:pStyle w:val="Compact"/>
              <w:jc w:val="left"/>
            </w:pPr>
            <w:r>
              <w:t xml:space="preserve">Idempotence des hooks / migrations</w:t>
            </w:r>
          </w:p>
        </w:tc>
        <w:tc>
          <w:p>
            <w:pPr>
              <w:pStyle w:val="Compact"/>
              <w:jc w:val="left"/>
            </w:pPr>
            <w:r>
              <w:t xml:space="preserve">Très bon</w:t>
            </w:r>
          </w:p>
        </w:tc>
      </w:tr>
      <w:tr>
        <w:tc>
          <w:p>
            <w:pPr>
              <w:pStyle w:val="Compact"/>
              <w:jc w:val="left"/>
            </w:pPr>
            <w:r>
              <w:t xml:space="preserve">Sécurité (ACL, échappement, injection)</w:t>
            </w:r>
          </w:p>
        </w:tc>
        <w:tc>
          <w:p>
            <w:pPr>
              <w:pStyle w:val="Compact"/>
              <w:jc w:val="left"/>
            </w:pPr>
            <w:r>
              <w:t xml:space="preserve">Bon</w:t>
            </w:r>
          </w:p>
        </w:tc>
      </w:tr>
      <w:tr>
        <w:tc>
          <w:p>
            <w:pPr>
              <w:pStyle w:val="Compact"/>
              <w:jc w:val="left"/>
            </w:pPr>
            <w:r>
              <w:t xml:space="preserve">Robustesse architecture (rendu / arch)</w:t>
            </w:r>
          </w:p>
        </w:tc>
        <w:tc>
          <w:p>
            <w:pPr>
              <w:pStyle w:val="Compact"/>
              <w:jc w:val="left"/>
            </w:pPr>
            <w:r>
              <w:t xml:space="preserve">À consolider</w:t>
            </w:r>
          </w:p>
        </w:tc>
      </w:tr>
      <w:tr>
        <w:tc>
          <w:p>
            <w:pPr>
              <w:pStyle w:val="Compact"/>
              <w:jc w:val="left"/>
            </w:pPr>
            <w:r>
              <w:t xml:space="preserve">Performance (déclencheurs de refresh)</w:t>
            </w:r>
          </w:p>
        </w:tc>
        <w:tc>
          <w:p>
            <w:pPr>
              <w:pStyle w:val="Compact"/>
              <w:jc w:val="left"/>
            </w:pPr>
            <w:r>
              <w:t xml:space="preserve">Risque sur volume</w:t>
            </w:r>
          </w:p>
        </w:tc>
      </w:tr>
      <w:tr>
        <w:tc>
          <w:p>
            <w:pPr>
              <w:pStyle w:val="Compact"/>
              <w:jc w:val="left"/>
            </w:pPr>
            <w:r>
              <w:t xml:space="preserve">Maintenabilité / i18n</w:t>
            </w:r>
          </w:p>
        </w:tc>
        <w:tc>
          <w:p>
            <w:pPr>
              <w:pStyle w:val="Compact"/>
              <w:jc w:val="left"/>
            </w:pPr>
            <w:r>
              <w:t xml:space="preserve">À améliorer</w:t>
            </w:r>
          </w:p>
        </w:tc>
      </w:tr>
      <w:tr>
        <w:tc>
          <w:p>
            <w:pPr>
              <w:pStyle w:val="Compact"/>
              <w:jc w:val="left"/>
            </w:pPr>
            <w:r>
              <w:t xml:space="preserve">Conformité doctrine MOA</w:t>
            </w:r>
          </w:p>
        </w:tc>
        <w:tc>
          <w:p>
            <w:pPr>
              <w:pStyle w:val="Compact"/>
              <w:jc w:val="left"/>
            </w:pPr>
            <w:r>
              <w:t xml:space="preserve">Majoritairement bon</w:t>
            </w:r>
          </w:p>
        </w:tc>
      </w:tr>
      <w:tr>
        <w:tc>
          <w:p>
            <w:pPr>
              <w:pStyle w:val="Compact"/>
              <w:jc w:val="left"/>
            </w:pPr>
            <w:r>
              <w:t xml:space="preserve">Couverture de tests</w:t>
            </w:r>
          </w:p>
        </w:tc>
        <w:tc>
          <w:p>
            <w:pPr>
              <w:pStyle w:val="Compact"/>
              <w:jc w:val="left"/>
            </w:pPr>
            <w:r>
              <w:t xml:space="preserve">Bonne</w:t>
            </w:r>
          </w:p>
        </w:tc>
      </w:tr>
    </w:tbl>
    <w:p>
      <w:r>
        <w:pict>
          <v:rect style="width:0;height:1.5pt" o:hralign="center" o:hrstd="t" o:hr="t"/>
        </w:pict>
      </w:r>
    </w:p>
    <w:p>
      <w:pPr>
        <w:pStyle w:val="Heading2"/>
      </w:pPr>
      <w:bookmarkStart w:id="22" w:name="périmètre-et-méthode"/>
      <w:r>
        <w:t xml:space="preserve">2. Périmètre et méthode</w:t>
      </w:r>
      <w:bookmarkEnd w:id="22"/>
    </w:p>
    <w:p>
      <w:pPr>
        <w:pStyle w:val="FirstParagraph"/>
      </w:pPr>
      <w:r>
        <w:t xml:space="preserve">Revue statique de l’ensemble du code Python (~3 780 lignes hors migrations/tests), des vues/données XML, du CSV de sécurité, et d’un échantillon des 55 migrations et des 33 fichiers de tests. Aucune instance Odoo exécutée : les constats portent sur le code.</w:t>
      </w:r>
    </w:p>
    <w:p>
      <w:r>
        <w:pict>
          <v:rect style="width:0;height:1.5pt" o:hralign="center" o:hrstd="t" o:hr="t"/>
        </w:pict>
      </w:r>
    </w:p>
    <w:p>
      <w:pPr>
        <w:pStyle w:val="Heading2"/>
      </w:pPr>
      <w:bookmarkStart w:id="23" w:name="architecture-du-module"/>
      <w:r>
        <w:t xml:space="preserve">3. Architecture du module</w:t>
      </w:r>
      <w:bookmarkEnd w:id="23"/>
    </w:p>
    <w:p>
      <w:pPr>
        <w:pStyle w:val="FirstParagraph"/>
      </w:pPr>
      <w:r>
        <w:t xml:space="preserve">Le module est organisé en fonctions</w:t>
      </w:r>
      <w:r>
        <w:t xml:space="preserve"> </w:t>
      </w:r>
      <w:r>
        <w:rPr>
          <w:rStyle w:val="VerbatimChar"/>
        </w:rPr>
        <w:t xml:space="preserve">bootstrap_*</w:t>
      </w:r>
      <w:r>
        <w:t xml:space="preserve"> </w:t>
      </w:r>
      <w:r>
        <w:t xml:space="preserve">(une par page CMS et par section d’accueil), orchestrées par</w:t>
      </w:r>
      <w:r>
        <w:t xml:space="preserve"> </w:t>
      </w:r>
      <w:r>
        <w:rPr>
          <w:rStyle w:val="VerbatimChar"/>
        </w:rPr>
        <w:t xml:space="preserve">bootstrap_all_marketone_content</w:t>
      </w:r>
      <w:r>
        <w:t xml:space="preserve"> </w:t>
      </w:r>
      <w:r>
        <w:t xml:space="preserve">(appelée par</w:t>
      </w:r>
      <w:r>
        <w:t xml:space="preserve"> </w:t>
      </w:r>
      <w:r>
        <w:rPr>
          <w:rStyle w:val="VerbatimChar"/>
        </w:rPr>
        <w:t xml:space="preserve">post_init_hook</w:t>
      </w:r>
      <w:r>
        <w:t xml:space="preserve"> </w:t>
      </w:r>
      <w:r>
        <w:t xml:space="preserve">et par les migrations). Chaque fonction construit un fragment HTML en Python puis crée/met à jour une</w:t>
      </w:r>
      <w:r>
        <w:t xml:space="preserve"> </w:t>
      </w:r>
      <w:r>
        <w:rPr>
          <w:rStyle w:val="VerbatimChar"/>
        </w:rPr>
        <w:t xml:space="preserve">website.page</w:t>
      </w:r>
      <w:r>
        <w:t xml:space="preserve"> </w:t>
      </w:r>
      <w:r>
        <w:t xml:space="preserve">+</w:t>
      </w:r>
      <w:r>
        <w:t xml:space="preserve"> </w:t>
      </w:r>
      <w:r>
        <w:rPr>
          <w:rStyle w:val="VerbatimChar"/>
        </w:rPr>
        <w:t xml:space="preserve">ir.ui.view</w:t>
      </w:r>
      <w:r>
        <w:t xml:space="preserve"> </w:t>
      </w:r>
      <w:r>
        <w:t xml:space="preserve">(</w:t>
      </w:r>
      <w:r>
        <w:rPr>
          <w:rStyle w:val="VerbatimChar"/>
        </w:rPr>
        <w:t xml:space="preserve">_bootstrap_cms_page</w:t>
      </w:r>
      <w:r>
        <w:t xml:space="preserve">) ou patche l’arch de l’accueil. Six modèles héritent de produits/catégories/tags pour</w:t>
      </w:r>
      <w:r>
        <w:t xml:space="preserve"> </w:t>
      </w:r>
      <w:r>
        <w:rPr>
          <w:b/>
        </w:rPr>
        <w:t xml:space="preserve">rafraîchir réactivement</w:t>
      </w:r>
      <w:r>
        <w:t xml:space="preserve"> </w:t>
      </w:r>
      <w:r>
        <w:t xml:space="preserve">la section vedettes lors d’éditions BO. Un contrôleur surcharge</w:t>
      </w:r>
      <w:r>
        <w:t xml:space="preserve"> </w:t>
      </w:r>
      <w:r>
        <w:rPr>
          <w:rStyle w:val="VerbatimChar"/>
        </w:rPr>
        <w:t xml:space="preserve">/terms</w:t>
      </w:r>
      <w:r>
        <w:t xml:space="preserve"> </w:t>
      </w:r>
      <w:r>
        <w:t xml:space="preserve">pour prioriser la page CMS CK. Un</w:t>
      </w:r>
      <w:r>
        <w:t xml:space="preserve"> </w:t>
      </w:r>
      <w:r>
        <w:rPr>
          <w:rStyle w:val="VerbatimChar"/>
        </w:rPr>
        <w:t xml:space="preserve">ir.http._pre_dispatch</w:t>
      </w:r>
      <w:r>
        <w:t xml:space="preserve"> </w:t>
      </w:r>
      <w:r>
        <w:t xml:space="preserve">auto-répare l’accueil si l’arch est périmée.</w:t>
      </w:r>
    </w:p>
    <w:p>
      <w:r>
        <w:pict>
          <v:rect style="width:0;height:1.5pt" o:hralign="center" o:hrstd="t" o:hr="t"/>
        </w:pict>
      </w:r>
    </w:p>
    <w:p>
      <w:pPr>
        <w:pStyle w:val="Heading2"/>
      </w:pPr>
      <w:bookmarkStart w:id="24" w:name="points-forts"/>
      <w:r>
        <w:t xml:space="preserve">4. Points forts</w:t>
      </w:r>
      <w:bookmarkEnd w:id="24"/>
    </w:p>
    <w:p>
      <w:pPr>
        <w:pStyle w:val="FirstParagraph"/>
      </w:pPr>
      <w:r>
        <w:t xml:space="preserve">L’idempotence est traitée avec rigueur : recherche systématique avant création, enregistrement</w:t>
      </w:r>
      <w:r>
        <w:t xml:space="preserve"> </w:t>
      </w:r>
      <w:r>
        <w:rPr>
          <w:rStyle w:val="VerbatimChar"/>
        </w:rPr>
        <w:t xml:space="preserve">ir.model.data</w:t>
      </w:r>
      <w:r>
        <w:t xml:space="preserve"> </w:t>
      </w:r>
      <w:r>
        <w:t xml:space="preserve">créé manuellement avec</w:t>
      </w:r>
      <w:r>
        <w:t xml:space="preserve"> </w:t>
      </w:r>
      <w:r>
        <w:rPr>
          <w:rStyle w:val="VerbatimChar"/>
        </w:rPr>
        <w:t xml:space="preserve">noupdate</w:t>
      </w:r>
      <w:r>
        <w:t xml:space="preserve">, fusion des catégories « Coups de cœur » en double, reprise des vues sous l’ancienne clé</w:t>
      </w:r>
      <w:r>
        <w:t xml:space="preserve"> </w:t>
      </w:r>
      <w:r>
        <w:rPr>
          <w:rStyle w:val="VerbatimChar"/>
        </w:rPr>
        <w:t xml:space="preserve">dorevia_ck_theme.*</w:t>
      </w:r>
      <w:r>
        <w:t xml:space="preserve"> </w:t>
      </w:r>
      <w:r>
        <w:t xml:space="preserve">puis renommage, et alias rétro-compatibles (</w:t>
      </w:r>
      <w:r>
        <w:rPr>
          <w:rStyle w:val="VerbatimChar"/>
        </w:rPr>
        <w:t xml:space="preserve">render_featured_card_fragments</w:t>
      </w:r>
      <w:r>
        <w:t xml:space="preserve">,</w:t>
      </w:r>
      <w:r>
        <w:t xml:space="preserve"> </w:t>
      </w:r>
      <w:r>
        <w:rPr>
          <w:rStyle w:val="VerbatimChar"/>
        </w:rPr>
        <w:t xml:space="preserve">bootstrap_footer_legal_link</w:t>
      </w:r>
      <w:r>
        <w:t xml:space="preserve">). Les migrations échouent explicitement (</w:t>
      </w:r>
      <w:r>
        <w:rPr>
          <w:rStyle w:val="VerbatimChar"/>
        </w:rPr>
        <w:t xml:space="preserve">RuntimeError</w:t>
      </w:r>
      <w:r>
        <w:t xml:space="preserve">) lorsqu’un bootstrap critique ne réussit pas — un bon réflexe fail-fast.</w:t>
      </w:r>
    </w:p>
    <w:p>
      <w:pPr>
        <w:pStyle w:val="BodyText"/>
      </w:pPr>
      <w:r>
        <w:t xml:space="preserve">La sécurité est saine : le seul modèle custom (</w:t>
      </w:r>
      <w:r>
        <w:rPr>
          <w:rStyle w:val="VerbatimChar"/>
        </w:rPr>
        <w:t xml:space="preserve">dorevia.ck.card.uom</w:t>
      </w:r>
      <w:r>
        <w:t xml:space="preserve">) dispose d’un ACL cohérent (lecture pour tous, écriture restreinte aux managers ventes et designers website), avec une contrainte d’unicité sur le code. Tout le contenu dynamique injecté dans les cartes est échappé via</w:t>
      </w:r>
      <w:r>
        <w:t xml:space="preserve"> </w:t>
      </w:r>
      <w:r>
        <w:rPr>
          <w:rStyle w:val="VerbatimChar"/>
        </w:rPr>
        <w:t xml:space="preserve">xml.sax.saxutils.escape</w:t>
      </w:r>
      <w:r>
        <w:t xml:space="preserve"> </w:t>
      </w:r>
      <w:r>
        <w:t xml:space="preserve">(protection XSS). Les formulaires utilisent les snippets natifs</w:t>
      </w:r>
      <w:r>
        <w:t xml:space="preserve"> </w:t>
      </w:r>
      <w:r>
        <w:rPr>
          <w:rStyle w:val="VerbatimChar"/>
        </w:rPr>
        <w:t xml:space="preserve">website_form</w:t>
      </w:r>
      <w:r>
        <w:t xml:space="preserve"> </w:t>
      </w:r>
      <w:r>
        <w:t xml:space="preserve">vers</w:t>
      </w:r>
      <w:r>
        <w:t xml:space="preserve"> </w:t>
      </w:r>
      <w:r>
        <w:rPr>
          <w:rStyle w:val="VerbatimChar"/>
        </w:rPr>
        <w:t xml:space="preserve">crm.lead</w:t>
      </w:r>
      <w:r>
        <w:t xml:space="preserve"> </w:t>
      </w:r>
      <w:r>
        <w:t xml:space="preserve">(Pro) et</w:t>
      </w:r>
      <w:r>
        <w:t xml:space="preserve"> </w:t>
      </w:r>
      <w:r>
        <w:rPr>
          <w:rStyle w:val="VerbatimChar"/>
        </w:rPr>
        <w:t xml:space="preserve">mail.mail</w:t>
      </w:r>
      <w:r>
        <w:t xml:space="preserve"> </w:t>
      </w:r>
      <w:r>
        <w:t xml:space="preserve">(contact), sans champ CRM custom — strictement conforme à la décision M9 (pas de portail, pas d’automation custom). Aucun</w:t>
      </w:r>
      <w:r>
        <w:t xml:space="preserve"> </w:t>
      </w:r>
      <w:r>
        <w:rPr>
          <w:rStyle w:val="VerbatimChar"/>
        </w:rPr>
        <w:t xml:space="preserve">eval</w:t>
      </w:r>
      <w:r>
        <w:t xml:space="preserve">/</w:t>
      </w:r>
      <w:r>
        <w:rPr>
          <w:rStyle w:val="VerbatimChar"/>
        </w:rPr>
        <w:t xml:space="preserve">exec</w:t>
      </w:r>
      <w:r>
        <w:t xml:space="preserve">, et les requêtes SQL directes sont paramétrées (pas d’injection).</w:t>
      </w:r>
    </w:p>
    <w:p>
      <w:pPr>
        <w:pStyle w:val="BodyText"/>
      </w:pPr>
      <w:r>
        <w:t xml:space="preserve">Le modèle</w:t>
      </w:r>
      <w:r>
        <w:t xml:space="preserve"> </w:t>
      </w:r>
      <w:r>
        <w:rPr>
          <w:rStyle w:val="VerbatimChar"/>
        </w:rPr>
        <w:t xml:space="preserve">dorevia.ck.card.uom</w:t>
      </w:r>
      <w:r>
        <w:t xml:space="preserve"> </w:t>
      </w:r>
      <w:r>
        <w:t xml:space="preserve">(unité commerciale pour quantité nette et prix de référence) est propre : familles masse/volume/unité, ratios, domaines, libellé traduisible. La logique de prix de référence (prix au kg/litre) est bien factorisée et défensive (gardes sur les divisions par zéro et les familles incompatibles).</w:t>
      </w:r>
    </w:p>
    <w:p>
      <w:r>
        <w:pict>
          <v:rect style="width:0;height:1.5pt" o:hralign="center" o:hrstd="t" o:hr="t"/>
        </w:pict>
      </w:r>
    </w:p>
    <w:p>
      <w:pPr>
        <w:pStyle w:val="Heading2"/>
      </w:pPr>
      <w:bookmarkStart w:id="25" w:name="constats-et-recommandations"/>
      <w:r>
        <w:t xml:space="preserve">5. Constats et recommandations</w:t>
      </w:r>
      <w:bookmarkEnd w:id="2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Constat</w:t>
            </w:r>
          </w:p>
        </w:tc>
        <w:tc>
          <w:tcPr>
            <w:tcBorders>
              <w:bottom w:val="single"/>
            </w:tcBorders>
            <w:vAlign w:val="bottom"/>
          </w:tcPr>
          <w:p>
            <w:pPr>
              <w:pStyle w:val="Compact"/>
              <w:jc w:val="left"/>
            </w:pPr>
            <w:r>
              <w:t xml:space="preserve">Sévérité</w:t>
            </w:r>
          </w:p>
        </w:tc>
        <w:tc>
          <w:tcPr>
            <w:tcBorders>
              <w:bottom w:val="single"/>
            </w:tcBorders>
            <w:vAlign w:val="bottom"/>
          </w:tcPr>
          <w:p>
            <w:pPr>
              <w:pStyle w:val="Compact"/>
              <w:jc w:val="left"/>
            </w:pPr>
            <w:r>
              <w:t xml:space="preserve">Recommandation</w:t>
            </w:r>
          </w:p>
        </w:tc>
      </w:tr>
      <w:tr>
        <w:tc>
          <w:p>
            <w:pPr>
              <w:pStyle w:val="Compact"/>
              <w:jc w:val="left"/>
            </w:pPr>
            <w:r>
              <w:t xml:space="preserve">H1</w:t>
            </w:r>
          </w:p>
        </w:tc>
        <w:tc>
          <w:p>
            <w:pPr>
              <w:pStyle w:val="Compact"/>
              <w:jc w:val="left"/>
            </w:pPr>
            <w:r>
              <w:rPr>
                <w:rStyle w:val="VerbatimChar"/>
              </w:rPr>
              <w:t xml:space="preserve">home_featured.py</w:t>
            </w:r>
            <w:r>
              <w:t xml:space="preserve"> </w:t>
            </w:r>
            <w:r>
              <w:t xml:space="preserve">importe</w:t>
            </w:r>
            <w:r>
              <w:t xml:space="preserve"> </w:t>
            </w:r>
            <w:r>
              <w:rPr>
                <w:rStyle w:val="VerbatimChar"/>
              </w:rPr>
              <w:t xml:space="preserve">unittest.mock</w:t>
            </w:r>
            <w:r>
              <w:t xml:space="preserve"> </w:t>
            </w:r>
            <w:r>
              <w:t xml:space="preserve">en</w:t>
            </w:r>
            <w:r>
              <w:t xml:space="preserve"> </w:t>
            </w:r>
            <w:r>
              <w:rPr>
                <w:b/>
              </w:rPr>
              <w:t xml:space="preserve">code de production</w:t>
            </w:r>
            <w:r>
              <w:t xml:space="preserve"> </w:t>
            </w:r>
            <w:r>
              <w:t xml:space="preserve">et fabrique une fausse requête HTTP (</w:t>
            </w:r>
            <w:r>
              <w:rPr>
                <w:rStyle w:val="VerbatimChar"/>
              </w:rPr>
              <w:t xml:space="preserve">_with_website_request</w:t>
            </w:r>
            <w:r>
              <w:t xml:space="preserve">) empilée sur</w:t>
            </w:r>
            <w:r>
              <w:t xml:space="preserve"> </w:t>
            </w:r>
            <w:r>
              <w:rPr>
                <w:rStyle w:val="VerbatimChar"/>
              </w:rPr>
              <w:t xml:space="preserve">odoo.http._request_stack</w:t>
            </w:r>
            <w:r>
              <w:t xml:space="preserve">, avec patch global de</w:t>
            </w:r>
            <w:r>
              <w:t xml:space="preserve"> </w:t>
            </w:r>
            <w:r>
              <w:rPr>
                <w:rStyle w:val="VerbatimChar"/>
              </w:rPr>
              <w:t xml:space="preserve">get_db_router</w:t>
            </w:r>
            <w:r>
              <w:t xml:space="preserve">, pour calculer les prix catalogue hors requête. Exécuté pendant de vraies requêtes (via</w:t>
            </w:r>
            <w:r>
              <w:t xml:space="preserve"> </w:t>
            </w:r>
            <w:r>
              <w:rPr>
                <w:rStyle w:val="VerbatimChar"/>
              </w:rPr>
              <w:t xml:space="preserve">ir_http</w:t>
            </w:r>
            <w:r>
              <w:t xml:space="preserve">) et lors d’écritures produit. Repose sur de l’API privée Odoo (</w:t>
            </w:r>
            <w:r>
              <w:rPr>
                <w:rStyle w:val="VerbatimChar"/>
              </w:rPr>
              <w:t xml:space="preserve">_request_stack</w:t>
            </w:r>
            <w:r>
              <w:t xml:space="preserve">,</w:t>
            </w:r>
            <w:r>
              <w:t xml:space="preserve"> </w:t>
            </w:r>
            <w:r>
              <w:rPr>
                <w:rStyle w:val="VerbatimChar"/>
              </w:rPr>
              <w:t xml:space="preserve">FutureResponse</w:t>
            </w:r>
            <w:r>
              <w:t xml:space="preserve">,</w:t>
            </w:r>
            <w:r>
              <w:t xml:space="preserve"> </w:t>
            </w:r>
            <w:r>
              <w:rPr>
                <w:rStyle w:val="VerbatimChar"/>
              </w:rPr>
              <w:t xml:space="preserve">_get_and_cache_current_pricelist</w:t>
            </w:r>
            <w:r>
              <w:t xml:space="preserve">) — fragile aux montées de version, et empiler une fausse requête alors qu’une vraie est active est risqué.</w:t>
            </w:r>
          </w:p>
        </w:tc>
        <w:tc>
          <w:p>
            <w:pPr>
              <w:pStyle w:val="Compact"/>
              <w:jc w:val="left"/>
            </w:pPr>
            <w:r>
              <w:t xml:space="preserve">Haute</w:t>
            </w:r>
          </w:p>
        </w:tc>
        <w:tc>
          <w:p>
            <w:pPr>
              <w:pStyle w:val="Compact"/>
              <w:jc w:val="left"/>
            </w:pPr>
            <w:r>
              <w:t xml:space="preserve">Calculer les prix via l’API de pricing produit avec</w:t>
            </w:r>
            <w:r>
              <w:t xml:space="preserve"> </w:t>
            </w:r>
            <w:r>
              <w:rPr>
                <w:rStyle w:val="VerbatimChar"/>
              </w:rPr>
              <w:t xml:space="preserve">website.with_context(...)</w:t>
            </w:r>
            <w:r>
              <w:t xml:space="preserve"> </w:t>
            </w:r>
            <w:r>
              <w:t xml:space="preserve">sans simuler de requête ; ou rendre la section vedettes comme un vrai template QWeb au moment du rendu.</w:t>
            </w:r>
          </w:p>
        </w:tc>
      </w:tr>
      <w:tr>
        <w:tc>
          <w:p>
            <w:pPr>
              <w:pStyle w:val="Compact"/>
              <w:jc w:val="left"/>
            </w:pPr>
            <w:r>
              <w:t xml:space="preserve">H2</w:t>
            </w:r>
          </w:p>
        </w:tc>
        <w:tc>
          <w:p>
            <w:pPr>
              <w:pStyle w:val="Compact"/>
              <w:jc w:val="left"/>
            </w:pPr>
            <w:r>
              <w:rPr>
                <w:rStyle w:val="VerbatimChar"/>
              </w:rPr>
              <w:t xml:space="preserve">ir_http._pre_dispatch</w:t>
            </w:r>
            <w:r>
              <w:t xml:space="preserve"> </w:t>
            </w:r>
            <w:r>
              <w:t xml:space="preserve">peut</w:t>
            </w:r>
            <w:r>
              <w:t xml:space="preserve"> </w:t>
            </w:r>
            <w:r>
              <w:rPr>
                <w:b/>
              </w:rPr>
              <w:t xml:space="preserve">écrire</w:t>
            </w:r>
            <w:r>
              <w:rPr>
                <w:b/>
              </w:rPr>
              <w:t xml:space="preserve"> </w:t>
            </w:r>
            <w:r>
              <w:rPr>
                <w:rStyle w:val="VerbatimChar"/>
                <w:b/>
              </w:rPr>
              <w:t xml:space="preserve">view.arch_db</w:t>
            </w:r>
            <w:r>
              <w:rPr>
                <w:b/>
              </w:rPr>
              <w:t xml:space="preserve"> </w:t>
            </w:r>
            <w:r>
              <w:rPr>
                <w:b/>
              </w:rPr>
              <w:t xml:space="preserve">pendant une requête GET</w:t>
            </w:r>
            <w:r>
              <w:t xml:space="preserve"> </w:t>
            </w:r>
            <w:r>
              <w:t xml:space="preserve">(auto-réparation de l’accueil). Brise l’idempotence des GET, génère des écritures DB sous charge de lecture, risque de course entre workers et d’invalidations de cache répétées.</w:t>
            </w:r>
          </w:p>
        </w:tc>
        <w:tc>
          <w:p>
            <w:pPr>
              <w:pStyle w:val="Compact"/>
              <w:jc w:val="left"/>
            </w:pPr>
            <w:r>
              <w:t xml:space="preserve">Haute</w:t>
            </w:r>
          </w:p>
        </w:tc>
        <w:tc>
          <w:p>
            <w:pPr>
              <w:pStyle w:val="Compact"/>
              <w:jc w:val="left"/>
            </w:pPr>
            <w:r>
              <w:t xml:space="preserve">Déplacer la reconstruction vers des déclencheurs BO et/ou un cron ; ne jamais écrire l’arch pendant le dispatch d’une requête publique.</w:t>
            </w:r>
          </w:p>
        </w:tc>
      </w:tr>
      <w:tr>
        <w:tc>
          <w:p>
            <w:pPr>
              <w:pStyle w:val="Compact"/>
              <w:jc w:val="left"/>
            </w:pPr>
            <w:r>
              <w:t xml:space="preserve">H3</w:t>
            </w:r>
          </w:p>
        </w:tc>
        <w:tc>
          <w:p>
            <w:pPr>
              <w:pStyle w:val="Compact"/>
              <w:jc w:val="left"/>
            </w:pPr>
            <w:r>
              <w:t xml:space="preserve">Tout le contenu (sections d’accueil + pages CMS légal/privacy/terms/pro/contact/à-propos/recettes/producteur) est écrit en</w:t>
            </w:r>
            <w:r>
              <w:t xml:space="preserve"> </w:t>
            </w:r>
            <w:r>
              <w:rPr>
                <w:b/>
              </w:rPr>
              <w:t xml:space="preserve">chaînes Python</w:t>
            </w:r>
            <w:r>
              <w:t xml:space="preserve"> </w:t>
            </w:r>
            <w:r>
              <w:t xml:space="preserve">et appliqué en</w:t>
            </w:r>
            <w:r>
              <w:t xml:space="preserve"> </w:t>
            </w:r>
            <w:r>
              <w:rPr>
                <w:b/>
              </w:rPr>
              <w:t xml:space="preserve">écrasant</w:t>
            </w:r>
            <w:r>
              <w:rPr>
                <w:b/>
              </w:rPr>
              <w:t xml:space="preserve"> </w:t>
            </w:r>
            <w:r>
              <w:rPr>
                <w:rStyle w:val="VerbatimChar"/>
                <w:b/>
              </w:rPr>
              <w:t xml:space="preserve">view.arch_db</w:t>
            </w:r>
            <w:r>
              <w:t xml:space="preserve"> </w:t>
            </w:r>
            <w:r>
              <w:t xml:space="preserve">à chaque bootstrap/migration. Conséquences : (a) les éditions Website Builder de la MOA sont</w:t>
            </w:r>
            <w:r>
              <w:t xml:space="preserve"> </w:t>
            </w:r>
            <w:r>
              <w:rPr>
                <w:b/>
              </w:rPr>
              <w:t xml:space="preserve">écrasées à chaque mise à jour</w:t>
            </w:r>
            <w:r>
              <w:t xml:space="preserve"> </w:t>
            </w:r>
            <w:r>
              <w:t xml:space="preserve">; (b) le patch de l’accueil par recherche/remplacement de marqueurs sur 7 modules de sections est fragile (ordre et marqueurs exacts) ; (c) pas d’i18n via QWeb/po standard.</w:t>
            </w:r>
          </w:p>
        </w:tc>
        <w:tc>
          <w:p>
            <w:pPr>
              <w:pStyle w:val="Compact"/>
              <w:jc w:val="left"/>
            </w:pPr>
            <w:r>
              <w:t xml:space="preserve">Haute</w:t>
            </w:r>
          </w:p>
        </w:tc>
        <w:tc>
          <w:p>
            <w:pPr>
              <w:pStyle w:val="Compact"/>
              <w:jc w:val="left"/>
            </w:pPr>
            <w:r>
              <w:t xml:space="preserve">Définir pages et sections comme templates QWeb en XML (éditables, traduisibles, sûrs en upgrade) ; sinon n’écrire que si l’arch est vide/inchangée pour ne pas écraser les éditions.</w:t>
            </w:r>
          </w:p>
        </w:tc>
      </w:tr>
      <w:tr>
        <w:tc>
          <w:p>
            <w:pPr>
              <w:pStyle w:val="Compact"/>
              <w:jc w:val="left"/>
            </w:pPr>
            <w:r>
              <w:t xml:space="preserve">M1</w:t>
            </w:r>
          </w:p>
        </w:tc>
        <w:tc>
          <w:p>
            <w:pPr>
              <w:pStyle w:val="Compact"/>
              <w:jc w:val="left"/>
            </w:pPr>
            <w:r>
              <w:rPr>
                <w:rStyle w:val="VerbatimChar"/>
              </w:rPr>
              <w:t xml:space="preserve">product.template.write</w:t>
            </w:r>
            <w:r>
              <w:t xml:space="preserve"> </w:t>
            </w:r>
            <w:r>
              <w:t xml:space="preserve">reconstruit</w:t>
            </w:r>
            <w:r>
              <w:t xml:space="preserve"> </w:t>
            </w:r>
            <w:r>
              <w:rPr>
                <w:b/>
              </w:rPr>
              <w:t xml:space="preserve">toute</w:t>
            </w:r>
            <w:r>
              <w:t xml:space="preserve"> </w:t>
            </w:r>
            <w:r>
              <w:t xml:space="preserve">la section vedettes dès qu’un des ~16 champs change (</w:t>
            </w:r>
            <w:r>
              <w:rPr>
                <w:rStyle w:val="VerbatimChar"/>
              </w:rPr>
              <w:t xml:space="preserve">list_price</w:t>
            </w:r>
            <w:r>
              <w:t xml:space="preserve">,</w:t>
            </w:r>
            <w:r>
              <w:t xml:space="preserve"> </w:t>
            </w:r>
            <w:r>
              <w:rPr>
                <w:rStyle w:val="VerbatimChar"/>
              </w:rPr>
              <w:t xml:space="preserve">image_1920</w:t>
            </w:r>
            <w:r>
              <w:t xml:space="preserve">,</w:t>
            </w:r>
            <w:r>
              <w:t xml:space="preserve"> </w:t>
            </w:r>
            <w:r>
              <w:rPr>
                <w:rStyle w:val="VerbatimChar"/>
              </w:rPr>
              <w:t xml:space="preserve">is_published</w:t>
            </w:r>
            <w:r>
              <w:t xml:space="preserve">…), sans se limiter aux produits réellement en vedette. Un import/màj de masse déclenche autant de reconstructions complètes (chacune recalculant tous les prix via la requête mockée).</w:t>
            </w:r>
          </w:p>
        </w:tc>
        <w:tc>
          <w:p>
            <w:pPr>
              <w:pStyle w:val="Compact"/>
              <w:jc w:val="left"/>
            </w:pPr>
            <w:r>
              <w:t xml:space="preserve">Moyenne</w:t>
            </w:r>
          </w:p>
        </w:tc>
        <w:tc>
          <w:p>
            <w:pPr>
              <w:pStyle w:val="Compact"/>
              <w:jc w:val="left"/>
            </w:pPr>
            <w:r>
              <w:t xml:space="preserve">Restreindre aux produits effectivement dans « Coups de cœur » ; différer/regrouper (cron) pour les opérations de masse.</w:t>
            </w:r>
          </w:p>
        </w:tc>
      </w:tr>
      <w:tr>
        <w:tc>
          <w:p>
            <w:pPr>
              <w:pStyle w:val="Compact"/>
              <w:jc w:val="left"/>
            </w:pPr>
            <w:r>
              <w:t xml:space="preserve">M2</w:t>
            </w:r>
          </w:p>
        </w:tc>
        <w:tc>
          <w:p>
            <w:pPr>
              <w:pStyle w:val="Compact"/>
              <w:jc w:val="left"/>
            </w:pPr>
            <w:r>
              <w:t xml:space="preserve">Les liens légaux du footer sont insérés par</w:t>
            </w:r>
            <w:r>
              <w:t xml:space="preserve"> </w:t>
            </w:r>
            <w:r>
              <w:rPr>
                <w:b/>
              </w:rPr>
              <w:t xml:space="preserve">remplacement de chaîne</w:t>
            </w:r>
            <w:r>
              <w:t xml:space="preserve"> </w:t>
            </w:r>
            <w:r>
              <w:t xml:space="preserve">sur un marqueur</w:t>
            </w:r>
            <w:r>
              <w:t xml:space="preserve"> </w:t>
            </w:r>
            <w:r>
              <w:rPr>
                <w:rStyle w:val="VerbatimChar"/>
              </w:rPr>
              <w:t xml:space="preserve">&lt;li&gt;</w:t>
            </w:r>
            <w:r>
              <w:t xml:space="preserve"> </w:t>
            </w:r>
            <w:r>
              <w:t xml:space="preserve">précis (lien Contact). Si le markup du footer diffère, les liens ne sont pas ajoutés silencieusement (risque go-live).</w:t>
            </w:r>
          </w:p>
        </w:tc>
        <w:tc>
          <w:p>
            <w:pPr>
              <w:pStyle w:val="Compact"/>
              <w:jc w:val="left"/>
            </w:pPr>
            <w:r>
              <w:t xml:space="preserve">Moyenne</w:t>
            </w:r>
          </w:p>
        </w:tc>
        <w:tc>
          <w:p>
            <w:pPr>
              <w:pStyle w:val="Compact"/>
              <w:jc w:val="left"/>
            </w:pPr>
            <w:r>
              <w:t xml:space="preserve">Ancrage robuste ou héritage QWeb du footer plutôt que</w:t>
            </w:r>
            <w:r>
              <w:t xml:space="preserve"> </w:t>
            </w:r>
            <w:r>
              <w:rPr>
                <w:rStyle w:val="VerbatimChar"/>
              </w:rPr>
              <w:t xml:space="preserve">str.replace</w:t>
            </w:r>
            <w:r>
              <w:t xml:space="preserve">.</w:t>
            </w:r>
          </w:p>
        </w:tc>
      </w:tr>
      <w:tr>
        <w:tc>
          <w:p>
            <w:pPr>
              <w:pStyle w:val="Compact"/>
              <w:jc w:val="left"/>
            </w:pPr>
            <w:r>
              <w:t xml:space="preserve">M3</w:t>
            </w:r>
          </w:p>
        </w:tc>
        <w:tc>
          <w:p>
            <w:pPr>
              <w:pStyle w:val="Compact"/>
              <w:jc w:val="left"/>
            </w:pPr>
            <w:r>
              <w:t xml:space="preserve">Heuristiques de démo dans la logique métier : tables fragment de nom → origine/catégorie (</w:t>
            </w:r>
            <w:r>
              <w:rPr>
                <w:rStyle w:val="VerbatimChar"/>
              </w:rPr>
              <w:t xml:space="preserve">goyav</w:t>
            </w:r>
            <w:r>
              <w:t xml:space="preserve">→Réunion…) et</w:t>
            </w:r>
            <w:r>
              <w:t xml:space="preserve"> </w:t>
            </w:r>
            <w:r>
              <w:rPr>
                <w:rStyle w:val="VerbatimChar"/>
              </w:rPr>
              <w:t xml:space="preserve">name ilike 'goyav'/'confiture'</w:t>
            </w:r>
            <w:r>
              <w:t xml:space="preserve"> </w:t>
            </w:r>
            <w:r>
              <w:t xml:space="preserve">pour choisir produits producteur/recettes. Fragile et spécifique aux données CK.</w:t>
            </w:r>
          </w:p>
        </w:tc>
        <w:tc>
          <w:p>
            <w:pPr>
              <w:pStyle w:val="Compact"/>
              <w:jc w:val="left"/>
            </w:pPr>
            <w:r>
              <w:t xml:space="preserve">Moyenne</w:t>
            </w:r>
          </w:p>
        </w:tc>
        <w:tc>
          <w:p>
            <w:pPr>
              <w:pStyle w:val="Compact"/>
              <w:jc w:val="left"/>
            </w:pPr>
            <w:r>
              <w:t xml:space="preserve">Acceptable en contenu démo ; passer à un pilotage par données (tags/attributs) avant mise à l’échelle.</w:t>
            </w:r>
          </w:p>
        </w:tc>
      </w:tr>
      <w:tr>
        <w:tc>
          <w:p>
            <w:pPr>
              <w:pStyle w:val="Compact"/>
              <w:jc w:val="left"/>
            </w:pPr>
            <w:r>
              <w:t xml:space="preserve">M4</w:t>
            </w:r>
          </w:p>
        </w:tc>
        <w:tc>
          <w:p>
            <w:pPr>
              <w:pStyle w:val="Compact"/>
              <w:jc w:val="left"/>
            </w:pPr>
            <w:r>
              <w:t xml:space="preserve">SQL direct dans</w:t>
            </w:r>
            <w:r>
              <w:t xml:space="preserve"> </w:t>
            </w:r>
            <w:r>
              <w:rPr>
                <w:rStyle w:val="VerbatimChar"/>
              </w:rPr>
              <w:t xml:space="preserve">home_featured</w:t>
            </w:r>
            <w:r>
              <w:t xml:space="preserve"> </w:t>
            </w:r>
            <w:r>
              <w:t xml:space="preserve">(</w:t>
            </w:r>
            <w:r>
              <w:rPr>
                <w:rStyle w:val="VerbatimChar"/>
              </w:rPr>
              <w:t xml:space="preserve">_featured_label_parts_from_sql</w:t>
            </w:r>
            <w:r>
              <w:t xml:space="preserve">) et dans des migrations. Paramétré (pas d’injection) mais couplé aux noms de tables et contournant les record rules ; double chemin ORM/SQL pour la même donnée.</w:t>
            </w:r>
          </w:p>
        </w:tc>
        <w:tc>
          <w:p>
            <w:pPr>
              <w:pStyle w:val="Compact"/>
              <w:jc w:val="left"/>
            </w:pPr>
            <w:r>
              <w:t xml:space="preserve">Moyenne</w:t>
            </w:r>
          </w:p>
        </w:tc>
        <w:tc>
          <w:p>
            <w:pPr>
              <w:pStyle w:val="Compact"/>
              <w:jc w:val="left"/>
            </w:pPr>
            <w:r>
              <w:t xml:space="preserve">Conserver pour la performance mais documenter ; préférer l’ORM si le volume le permet.</w:t>
            </w:r>
          </w:p>
        </w:tc>
      </w:tr>
      <w:tr>
        <w:tc>
          <w:p>
            <w:pPr>
              <w:pStyle w:val="Compact"/>
              <w:jc w:val="left"/>
            </w:pPr>
            <w:r>
              <w:t xml:space="preserve">L1</w:t>
            </w:r>
          </w:p>
        </w:tc>
        <w:tc>
          <w:p>
            <w:pPr>
              <w:pStyle w:val="Compact"/>
              <w:jc w:val="left"/>
            </w:pPr>
            <w:r>
              <w:rPr>
                <w:rStyle w:val="VerbatimChar"/>
              </w:rPr>
              <w:t xml:space="preserve">_get_featured_badge_html</w:t>
            </w:r>
            <w:r>
              <w:t xml:space="preserve"> </w:t>
            </w:r>
            <w:r>
              <w:t xml:space="preserve">injecte</w:t>
            </w:r>
            <w:r>
              <w:t xml:space="preserve"> </w:t>
            </w:r>
            <w:r>
              <w:rPr>
                <w:rStyle w:val="VerbatimChar"/>
              </w:rPr>
              <w:t xml:space="preserve">ribbon.bg_color</w:t>
            </w:r>
            <w:r>
              <w:t xml:space="preserve">/</w:t>
            </w:r>
            <w:r>
              <w:rPr>
                <w:rStyle w:val="VerbatimChar"/>
              </w:rPr>
              <w:t xml:space="preserve">text_color</w:t>
            </w:r>
            <w:r>
              <w:t xml:space="preserve"> </w:t>
            </w:r>
            <w:r>
              <w:rPr>
                <w:b/>
              </w:rPr>
              <w:t xml:space="preserve">non échappés</w:t>
            </w:r>
            <w:r>
              <w:t xml:space="preserve"> </w:t>
            </w:r>
            <w:r>
              <w:t xml:space="preserve">dans un attribut</w:t>
            </w:r>
            <w:r>
              <w:t xml:space="preserve"> </w:t>
            </w:r>
            <w:r>
              <w:rPr>
                <w:rStyle w:val="VerbatimChar"/>
              </w:rPr>
              <w:t xml:space="preserve">style</w:t>
            </w:r>
            <w:r>
              <w:t xml:space="preserve">. Entrée BO uniquement, risque faible, mais non échappé.</w:t>
            </w:r>
          </w:p>
        </w:tc>
        <w:tc>
          <w:p>
            <w:pPr>
              <w:pStyle w:val="Compact"/>
              <w:jc w:val="left"/>
            </w:pPr>
            <w:r>
              <w:t xml:space="preserve">Faible</w:t>
            </w:r>
          </w:p>
        </w:tc>
        <w:tc>
          <w:p>
            <w:pPr>
              <w:pStyle w:val="Compact"/>
              <w:jc w:val="left"/>
            </w:pPr>
            <w:r>
              <w:t xml:space="preserve">Valider/échapper les valeurs de couleur.</w:t>
            </w:r>
          </w:p>
        </w:tc>
      </w:tr>
      <w:tr>
        <w:tc>
          <w:p>
            <w:pPr>
              <w:pStyle w:val="Compact"/>
              <w:jc w:val="left"/>
            </w:pPr>
            <w:r>
              <w:t xml:space="preserve">L2</w:t>
            </w:r>
          </w:p>
        </w:tc>
        <w:tc>
          <w:p>
            <w:pPr>
              <w:pStyle w:val="Compact"/>
              <w:jc w:val="left"/>
            </w:pPr>
            <w:r>
              <w:t xml:space="preserve">Dérive documentaire : le rapport mentions légales évoque OVH +</w:t>
            </w:r>
            <w:r>
              <w:t xml:space="preserve"> </w:t>
            </w:r>
            <w:r>
              <w:rPr>
                <w:rStyle w:val="VerbatimChar"/>
              </w:rPr>
              <w:t xml:space="preserve">contact@c-kreyol.fr</w:t>
            </w:r>
            <w:r>
              <w:t xml:space="preserve"> </w:t>
            </w:r>
            <w:r>
              <w:t xml:space="preserve">; le code utilise IONOS +</w:t>
            </w:r>
            <w:r>
              <w:t xml:space="preserve"> </w:t>
            </w:r>
            <w:r>
              <w:rPr>
                <w:rStyle w:val="VerbatimChar"/>
              </w:rPr>
              <w:t xml:space="preserve">contact.ck@marketone.com</w:t>
            </w:r>
            <w:r>
              <w:t xml:space="preserve">. Toutes les données légales restent fictives (marqueurs</w:t>
            </w:r>
            <w:r>
              <w:t xml:space="preserve"> </w:t>
            </w:r>
            <w:r>
              <w:rPr>
                <w:rStyle w:val="VerbatimChar"/>
              </w:rPr>
              <w:t xml:space="preserve">[FICTIF]</w:t>
            </w:r>
            <w:r>
              <w:t xml:space="preserve">).</w:t>
            </w:r>
          </w:p>
        </w:tc>
        <w:tc>
          <w:p>
            <w:pPr>
              <w:pStyle w:val="Compact"/>
              <w:jc w:val="left"/>
            </w:pPr>
            <w:r>
              <w:t xml:space="preserve">Faible</w:t>
            </w:r>
          </w:p>
        </w:tc>
        <w:tc>
          <w:p>
            <w:pPr>
              <w:pStyle w:val="Compact"/>
              <w:jc w:val="left"/>
            </w:pPr>
            <w:r>
              <w:t xml:space="preserve">Aligner et remplacer par les vraies données avant publication (verrou go-live maintenu).</w:t>
            </w:r>
          </w:p>
        </w:tc>
      </w:tr>
      <w:tr>
        <w:tc>
          <w:p>
            <w:pPr>
              <w:pStyle w:val="Compact"/>
              <w:jc w:val="left"/>
            </w:pPr>
            <w:r>
              <w:t xml:space="preserve">L3</w:t>
            </w:r>
          </w:p>
        </w:tc>
        <w:tc>
          <w:p>
            <w:pPr>
              <w:pStyle w:val="Compact"/>
              <w:jc w:val="left"/>
            </w:pPr>
            <w:r>
              <w:t xml:space="preserve">Couplages inter-modules (le contenu importe depuis</w:t>
            </w:r>
            <w:r>
              <w:t xml:space="preserve"> </w:t>
            </w:r>
            <w:r>
              <w:rPr>
                <w:rStyle w:val="VerbatimChar"/>
              </w:rPr>
              <w:t xml:space="preserve">.hooks</w:t>
            </w:r>
            <w:r>
              <w:t xml:space="preserve">, les modèles importent</w:t>
            </w:r>
            <w:r>
              <w:t xml:space="preserve"> </w:t>
            </w:r>
            <w:r>
              <w:rPr>
                <w:rStyle w:val="VerbatimChar"/>
              </w:rPr>
              <w:t xml:space="preserve">home_featured</w:t>
            </w:r>
            <w:r>
              <w:t xml:space="preserve">) gérés par imports paresseux dans les méthodes par endroits.</w:t>
            </w:r>
          </w:p>
        </w:tc>
        <w:tc>
          <w:p>
            <w:pPr>
              <w:pStyle w:val="Compact"/>
              <w:jc w:val="left"/>
            </w:pPr>
            <w:r>
              <w:t xml:space="preserve">Faible</w:t>
            </w:r>
          </w:p>
        </w:tc>
        <w:tc>
          <w:p>
            <w:pPr>
              <w:pStyle w:val="Compact"/>
              <w:jc w:val="left"/>
            </w:pPr>
            <w:r>
              <w:t xml:space="preserve">Acceptable ; surveiller les cycles d’import.</w:t>
            </w:r>
          </w:p>
        </w:tc>
      </w:tr>
    </w:tbl>
    <w:p>
      <w:r>
        <w:pict>
          <v:rect style="width:0;height:1.5pt" o:hralign="center" o:hrstd="t" o:hr="t"/>
        </w:pict>
      </w:r>
    </w:p>
    <w:p>
      <w:pPr>
        <w:pStyle w:val="Heading2"/>
      </w:pPr>
      <w:bookmarkStart w:id="26" w:name="conformité-à-la-doctrine-moa"/>
      <w:r>
        <w:t xml:space="preserve">6. Conformité à la doctrine MOA</w:t>
      </w:r>
      <w:bookmarkEnd w:id="2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Règle doctrine</w:t>
            </w:r>
          </w:p>
        </w:tc>
        <w:tc>
          <w:tcPr>
            <w:tcBorders>
              <w:bottom w:val="single"/>
            </w:tcBorders>
            <w:vAlign w:val="bottom"/>
          </w:tcPr>
          <w:p>
            <w:pPr>
              <w:pStyle w:val="Compact"/>
              <w:jc w:val="left"/>
            </w:pPr>
            <w:r>
              <w:t xml:space="preserve">Respect</w:t>
            </w:r>
          </w:p>
        </w:tc>
        <w:tc>
          <w:tcPr>
            <w:tcBorders>
              <w:bottom w:val="single"/>
            </w:tcBorders>
            <w:vAlign w:val="bottom"/>
          </w:tcPr>
          <w:p>
            <w:pPr>
              <w:pStyle w:val="Compact"/>
              <w:jc w:val="left"/>
            </w:pPr>
            <w:r>
              <w:t xml:space="preserve">Observation</w:t>
            </w:r>
          </w:p>
        </w:tc>
      </w:tr>
      <w:tr>
        <w:tc>
          <w:p>
            <w:pPr>
              <w:pStyle w:val="Compact"/>
              <w:jc w:val="left"/>
            </w:pPr>
            <w:r>
              <w:t xml:space="preserve">Odoo = source de vérité</w:t>
            </w:r>
          </w:p>
        </w:tc>
        <w:tc>
          <w:p>
            <w:pPr>
              <w:pStyle w:val="Compact"/>
              <w:jc w:val="left"/>
            </w:pPr>
            <w:r>
              <w:t xml:space="preserve">Partiel</w:t>
            </w:r>
          </w:p>
        </w:tc>
        <w:tc>
          <w:p>
            <w:pPr>
              <w:pStyle w:val="Compact"/>
              <w:jc w:val="left"/>
            </w:pPr>
            <w:r>
              <w:t xml:space="preserve">Produits/prix viennent d’Odoo, mais la section vedettes est figée en HTML (snapshot) ; les prix peuvent être périmés jusqu’à un déclencheur de reconstruction — d’où l’auto-réparation H2.</w:t>
            </w:r>
          </w:p>
        </w:tc>
      </w:tr>
      <w:tr>
        <w:tc>
          <w:p>
            <w:pPr>
              <w:pStyle w:val="Compact"/>
              <w:jc w:val="left"/>
            </w:pPr>
            <w:r>
              <w:t xml:space="preserve">Pas de panier / checkout custom</w:t>
            </w:r>
          </w:p>
        </w:tc>
        <w:tc>
          <w:p>
            <w:pPr>
              <w:pStyle w:val="Compact"/>
              <w:jc w:val="left"/>
            </w:pPr>
            <w:r>
              <w:t xml:space="preserve">Oui</w:t>
            </w:r>
          </w:p>
        </w:tc>
        <w:tc>
          <w:p>
            <w:pPr>
              <w:pStyle w:val="Compact"/>
              <w:jc w:val="left"/>
            </w:pPr>
            <w:r>
              <w:t xml:space="preserve">Aucune surcouche tunnel</w:t>
            </w:r>
          </w:p>
        </w:tc>
      </w:tr>
      <w:tr>
        <w:tc>
          <w:p>
            <w:pPr>
              <w:pStyle w:val="Compact"/>
              <w:jc w:val="left"/>
            </w:pPr>
            <w:r>
              <w:t xml:space="preserve">Pas de portail / annuaire / blog</w:t>
            </w:r>
          </w:p>
        </w:tc>
        <w:tc>
          <w:p>
            <w:pPr>
              <w:pStyle w:val="Compact"/>
              <w:jc w:val="left"/>
            </w:pPr>
            <w:r>
              <w:t xml:space="preserve">Oui</w:t>
            </w:r>
          </w:p>
        </w:tc>
        <w:tc>
          <w:p>
            <w:pPr>
              <w:pStyle w:val="Compact"/>
              <w:jc w:val="left"/>
            </w:pPr>
            <w:r>
              <w:t xml:space="preserve">Producteur = 1 page CMS pilote ; recettes = statique</w:t>
            </w:r>
          </w:p>
        </w:tc>
      </w:tr>
      <w:tr>
        <w:tc>
          <w:p>
            <w:pPr>
              <w:pStyle w:val="Compact"/>
              <w:jc w:val="left"/>
            </w:pPr>
            <w:r>
              <w:t xml:space="preserve">Formulaires natifs, pas d’automation custom</w:t>
            </w:r>
          </w:p>
        </w:tc>
        <w:tc>
          <w:p>
            <w:pPr>
              <w:pStyle w:val="Compact"/>
              <w:jc w:val="left"/>
            </w:pPr>
            <w:r>
              <w:t xml:space="preserve">Oui</w:t>
            </w:r>
          </w:p>
        </w:tc>
        <w:tc>
          <w:p>
            <w:pPr>
              <w:pStyle w:val="Compact"/>
              <w:jc w:val="left"/>
            </w:pPr>
            <w:r>
              <w:rPr>
                <w:rStyle w:val="VerbatimChar"/>
              </w:rPr>
              <w:t xml:space="preserve">crm.lead</w:t>
            </w:r>
            <w:r>
              <w:t xml:space="preserve"> </w:t>
            </w:r>
            <w:r>
              <w:t xml:space="preserve">/</w:t>
            </w:r>
            <w:r>
              <w:t xml:space="preserve"> </w:t>
            </w:r>
            <w:r>
              <w:rPr>
                <w:rStyle w:val="VerbatimChar"/>
              </w:rPr>
              <w:t xml:space="preserve">mail.mail</w:t>
            </w:r>
            <w:r>
              <w:t xml:space="preserve"> </w:t>
            </w:r>
            <w:r>
              <w:t xml:space="preserve">via</w:t>
            </w:r>
            <w:r>
              <w:t xml:space="preserve"> </w:t>
            </w:r>
            <w:r>
              <w:rPr>
                <w:rStyle w:val="VerbatimChar"/>
              </w:rPr>
              <w:t xml:space="preserve">website_form</w:t>
            </w:r>
          </w:p>
        </w:tc>
      </w:tr>
      <w:tr>
        <w:tc>
          <w:p>
            <w:pPr>
              <w:pStyle w:val="Compact"/>
              <w:jc w:val="left"/>
            </w:pPr>
            <w:r>
              <w:t xml:space="preserve">Snippets-first</w:t>
            </w:r>
          </w:p>
        </w:tc>
        <w:tc>
          <w:p>
            <w:pPr>
              <w:pStyle w:val="Compact"/>
              <w:jc w:val="left"/>
            </w:pPr>
            <w:r>
              <w:t xml:space="preserve">Partiel</w:t>
            </w:r>
          </w:p>
        </w:tc>
        <w:tc>
          <w:p>
            <w:pPr>
              <w:pStyle w:val="Compact"/>
              <w:jc w:val="left"/>
            </w:pPr>
            <w:r>
              <w:t xml:space="preserve">Les sections home utilisent les snippets du thème, mais le contenu est injecté en arch SSR et les pages CMS sont écrites en Python (non natif Builder)</w:t>
            </w:r>
          </w:p>
        </w:tc>
      </w:tr>
      <w:tr>
        <w:tc>
          <w:p>
            <w:pPr>
              <w:pStyle w:val="Compact"/>
              <w:jc w:val="left"/>
            </w:pPr>
            <w:r>
              <w:t xml:space="preserve">Séparation thème / contenu</w:t>
            </w:r>
          </w:p>
        </w:tc>
        <w:tc>
          <w:p>
            <w:pPr>
              <w:pStyle w:val="Compact"/>
              <w:jc w:val="left"/>
            </w:pPr>
            <w:r>
              <w:t xml:space="preserve">Oui</w:t>
            </w:r>
          </w:p>
        </w:tc>
        <w:tc>
          <w:p>
            <w:pPr>
              <w:pStyle w:val="Compact"/>
              <w:jc w:val="left"/>
            </w:pPr>
            <w:r>
              <w:t xml:space="preserve">Contenu optionnel, dépendances déclarées</w:t>
            </w:r>
          </w:p>
        </w:tc>
      </w:tr>
      <w:tr>
        <w:tc>
          <w:p>
            <w:pPr>
              <w:pStyle w:val="Compact"/>
              <w:jc w:val="left"/>
            </w:pPr>
            <w:r>
              <w:t xml:space="preserve">Newsletter M9 simple</w:t>
            </w:r>
          </w:p>
        </w:tc>
        <w:tc>
          <w:p>
            <w:pPr>
              <w:pStyle w:val="Compact"/>
              <w:jc w:val="left"/>
            </w:pPr>
            <w:r>
              <w:t xml:space="preserve">Oui</w:t>
            </w:r>
          </w:p>
        </w:tc>
        <w:tc>
          <w:p>
            <w:pPr>
              <w:pStyle w:val="Compact"/>
              <w:jc w:val="left"/>
            </w:pPr>
            <w:r>
              <w:rPr>
                <w:rStyle w:val="VerbatimChar"/>
              </w:rPr>
              <w:t xml:space="preserve">mailing.list</w:t>
            </w:r>
            <w:r>
              <w:t xml:space="preserve"> </w:t>
            </w:r>
            <w:r>
              <w:t xml:space="preserve">réelle + snippet natif</w:t>
            </w:r>
            <w:r>
              <w:t xml:space="preserve"> </w:t>
            </w:r>
            <w:r>
              <w:rPr>
                <w:rStyle w:val="VerbatimChar"/>
              </w:rPr>
              <w:t xml:space="preserve">website_mass_mailing</w:t>
            </w:r>
          </w:p>
        </w:tc>
      </w:tr>
    </w:tbl>
    <w:p>
      <w:r>
        <w:pict>
          <v:rect style="width:0;height:1.5pt" o:hralign="center" o:hrstd="t" o:hr="t"/>
        </w:pict>
      </w:r>
    </w:p>
    <w:p>
      <w:pPr>
        <w:pStyle w:val="Heading2"/>
      </w:pPr>
      <w:bookmarkStart w:id="27" w:name="couverture-de-tests"/>
      <w:r>
        <w:t xml:space="preserve">7. Couverture de tests</w:t>
      </w:r>
      <w:bookmarkEnd w:id="27"/>
    </w:p>
    <w:p>
      <w:pPr>
        <w:pStyle w:val="FirstParagraph"/>
      </w:pPr>
      <w:r>
        <w:t xml:space="preserve">33 fichiers de tests couvrent les phases/lots (compose + hooks) : shop, fiche produit, Pro/CRM, sections d’accueil 1 à 5, vedettes, univers, mentions légales, newsletter, variantes manioc. La</w:t>
      </w:r>
      <w:r>
        <w:t xml:space="preserve"> </w:t>
      </w:r>
      <w:r>
        <w:rPr>
          <w:b/>
        </w:rPr>
        <w:t xml:space="preserve">largeur est bonne</w:t>
      </w:r>
      <w:r>
        <w:t xml:space="preserve"> </w:t>
      </w:r>
      <w:r>
        <w:t xml:space="preserve">et cohérente avec les recettes QA documentées. Manques probables : le comportement d’auto-réparation</w:t>
      </w:r>
      <w:r>
        <w:t xml:space="preserve"> </w:t>
      </w:r>
      <w:r>
        <w:rPr>
          <w:rStyle w:val="VerbatimChar"/>
        </w:rPr>
        <w:t xml:space="preserve">ir_http</w:t>
      </w:r>
      <w:r>
        <w:t xml:space="preserve"> </w:t>
      </w:r>
      <w:r>
        <w:t xml:space="preserve">sous concurrence (H2), la robustesse du calcul de prix par requête mockée (H1) hors contexte de test, et la non-régression du patch d’accueil quand l’arch a été éditée manuellement (H3). Recommandation : ajouter des tests ciblant ces trois zones à risque.</w:t>
      </w:r>
    </w:p>
    <w:p>
      <w:r>
        <w:pict>
          <v:rect style="width:0;height:1.5pt" o:hralign="center" o:hrstd="t" o:hr="t"/>
        </w:pict>
      </w:r>
    </w:p>
    <w:p>
      <w:pPr>
        <w:pStyle w:val="Heading2"/>
      </w:pPr>
      <w:bookmarkStart w:id="28" w:name="sécurité"/>
      <w:r>
        <w:t xml:space="preserve">8. Sécurité</w:t>
      </w:r>
      <w:bookmarkEnd w:id="28"/>
    </w:p>
    <w:p>
      <w:pPr>
        <w:pStyle w:val="FirstParagraph"/>
      </w:pPr>
      <w:r>
        <w:t xml:space="preserve">Surface maîtrisée. ACL cohérent sur le seul modèle custom ; un unique contrôleur (</w:t>
      </w:r>
      <w:r>
        <w:rPr>
          <w:rStyle w:val="VerbatimChar"/>
        </w:rPr>
        <w:t xml:space="preserve">/terms</w:t>
      </w:r>
      <w:r>
        <w:t xml:space="preserve">) qui ne fait qu’aiguiller vers une page CMS via</w:t>
      </w:r>
      <w:r>
        <w:t xml:space="preserve"> </w:t>
      </w:r>
      <w:r>
        <w:rPr>
          <w:rStyle w:val="VerbatimChar"/>
        </w:rPr>
        <w:t xml:space="preserve">sudo().search</w:t>
      </w:r>
      <w:r>
        <w:t xml:space="preserve"> </w:t>
      </w:r>
      <w:r>
        <w:t xml:space="preserve">paramétré. Échappement HTML systématique sur le contenu dynamique des cartes (sauf couleurs de ruban, L1). SQL paramétré, pas d’</w:t>
      </w:r>
      <w:r>
        <w:rPr>
          <w:rStyle w:val="VerbatimChar"/>
        </w:rPr>
        <w:t xml:space="preserve">eval</w:t>
      </w:r>
      <w:r>
        <w:t xml:space="preserve">/</w:t>
      </w:r>
      <w:r>
        <w:rPr>
          <w:rStyle w:val="VerbatimChar"/>
        </w:rPr>
        <w:t xml:space="preserve">exec</w:t>
      </w:r>
      <w:r>
        <w:t xml:space="preserve">. L’usage répandu de</w:t>
      </w:r>
      <w:r>
        <w:t xml:space="preserve"> </w:t>
      </w:r>
      <w:r>
        <w:rPr>
          <w:rStyle w:val="VerbatimChar"/>
        </w:rPr>
        <w:t xml:space="preserve">sudo()</w:t>
      </w:r>
      <w:r>
        <w:t xml:space="preserve"> </w:t>
      </w:r>
      <w:r>
        <w:t xml:space="preserve">est justifié (seed/maintenance de contenu) mais mérite une vigilance : s’assurer qu’aucune entrée utilisateur non fiable n’alimente les chemins</w:t>
      </w:r>
      <w:r>
        <w:t xml:space="preserve"> </w:t>
      </w:r>
      <w:r>
        <w:rPr>
          <w:rStyle w:val="VerbatimChar"/>
        </w:rPr>
        <w:t xml:space="preserve">sudo</w:t>
      </w:r>
      <w:r>
        <w:t xml:space="preserve"> </w:t>
      </w:r>
      <w:r>
        <w:t xml:space="preserve">(ce n’est pas le cas aujourd’hui, les entrées proviennent du BO).</w:t>
      </w:r>
    </w:p>
    <w:p>
      <w:r>
        <w:pict>
          <v:rect style="width:0;height:1.5pt" o:hralign="center" o:hrstd="t" o:hr="t"/>
        </w:pict>
      </w:r>
    </w:p>
    <w:p>
      <w:pPr>
        <w:pStyle w:val="Heading2"/>
      </w:pPr>
      <w:bookmarkStart w:id="29" w:name="plan-daction-priorisé"/>
      <w:r>
        <w:t xml:space="preserve">9. Plan d’action priorisé</w:t>
      </w:r>
      <w:bookmarkEnd w:id="29"/>
    </w:p>
    <w:p>
      <w:pPr>
        <w:numPr>
          <w:ilvl w:val="0"/>
          <w:numId w:val="1001"/>
        </w:numPr>
        <w:pStyle w:val="Compact"/>
      </w:pPr>
      <w:r>
        <w:rPr>
          <w:b/>
        </w:rPr>
        <w:t xml:space="preserve">Structurant (avant montée en charge) :</w:t>
      </w:r>
      <w:r>
        <w:t xml:space="preserve"> </w:t>
      </w:r>
      <w:r>
        <w:t xml:space="preserve">remplacer le rendu des prix par requête mockée (H1) et sortir l’auto-réparation du dispatch des requêtes (H2).</w:t>
      </w:r>
    </w:p>
    <w:p>
      <w:pPr>
        <w:numPr>
          <w:ilvl w:val="0"/>
          <w:numId w:val="1001"/>
        </w:numPr>
        <w:pStyle w:val="Compact"/>
      </w:pPr>
      <w:r>
        <w:rPr>
          <w:b/>
        </w:rPr>
        <w:t xml:space="preserve">Structurant (avant édition CMS par la MOA) :</w:t>
      </w:r>
      <w:r>
        <w:t xml:space="preserve"> </w:t>
      </w:r>
      <w:r>
        <w:t xml:space="preserve">migrer pages et sections vers des templates QWeb XML, ou conditionner l’écriture pour ne pas écraser les éditions Builder (H3).</w:t>
      </w:r>
    </w:p>
    <w:p>
      <w:pPr>
        <w:numPr>
          <w:ilvl w:val="0"/>
          <w:numId w:val="1001"/>
        </w:numPr>
        <w:pStyle w:val="Compact"/>
      </w:pPr>
      <w:r>
        <w:rPr>
          <w:b/>
        </w:rPr>
        <w:t xml:space="preserve">Performance :</w:t>
      </w:r>
      <w:r>
        <w:t xml:space="preserve"> </w:t>
      </w:r>
      <w:r>
        <w:t xml:space="preserve">cibler le refresh vedettes sur les seuls produits concernés et différer les màj de masse (M1).</w:t>
      </w:r>
    </w:p>
    <w:p>
      <w:pPr>
        <w:numPr>
          <w:ilvl w:val="0"/>
          <w:numId w:val="1001"/>
        </w:numPr>
        <w:pStyle w:val="Compact"/>
      </w:pPr>
      <w:r>
        <w:rPr>
          <w:b/>
        </w:rPr>
        <w:t xml:space="preserve">Go-live :</w:t>
      </w:r>
      <w:r>
        <w:t xml:space="preserve"> </w:t>
      </w:r>
      <w:r>
        <w:t xml:space="preserve">fiabiliser l’insertion des liens footer (M2) et compléter/aligner le contenu légal réel (L2).</w:t>
      </w:r>
    </w:p>
    <w:p>
      <w:pPr>
        <w:numPr>
          <w:ilvl w:val="0"/>
          <w:numId w:val="1001"/>
        </w:numPr>
        <w:pStyle w:val="Compact"/>
      </w:pPr>
      <w:r>
        <w:rPr>
          <w:b/>
        </w:rPr>
        <w:t xml:space="preserve">Qualité de fond :</w:t>
      </w:r>
      <w:r>
        <w:t xml:space="preserve"> </w:t>
      </w:r>
      <w:r>
        <w:t xml:space="preserve">remplacer les heuristiques de nom par un pilotage par données (M3), documenter les accès SQL (M4), échapper les couleurs de ruban (L1).</w:t>
      </w:r>
    </w:p>
    <w:p>
      <w:r>
        <w:pict>
          <v:rect style="width:0;height:1.5pt" o:hralign="center" o:hrstd="t" o:hr="t"/>
        </w:pict>
      </w:r>
    </w:p>
    <w:p>
      <w:pPr>
        <w:pStyle w:val="Heading2"/>
      </w:pPr>
      <w:bookmarkStart w:id="30" w:name="conclusion"/>
      <w:r>
        <w:t xml:space="preserve">10. Conclusion</w:t>
      </w:r>
      <w:bookmarkEnd w:id="30"/>
    </w:p>
    <w:p>
      <w:pPr>
        <w:pStyle w:val="FirstParagraph"/>
      </w:pPr>
      <w:r>
        <w:t xml:space="preserve">Le module est soigné là où cela compte le plus pour la fiabilité opérationnelle immédiate : idempotence, sécurité, conformité fonctionnelle à la doctrine et couverture de tests. Les réserves portent sur deux choix d’architecture — le rendu SSR via fausse requête et le contenu en chaînes Python écrasant l’arch — qui fonctionnent aujourd’hui mais fragilisent la maintenance, la performance sous volume et l’édition CMS par la MOA. Ce sont les deux chantiers à prioriser ; le reste relève de durcissements ciblés.</w:t>
      </w:r>
    </w:p>
    <w:p>
      <w:pPr>
        <w:pStyle w:val="BodyText"/>
      </w:pPr>
      <w:r>
        <w:rPr>
          <w:i/>
        </w:rPr>
        <w:t xml:space="preserve">Fin du rapport — contrôle qualité</w:t>
      </w:r>
      <w:r>
        <w:rPr>
          <w:i/>
        </w:rPr>
        <w:t xml:space="preserve"> </w:t>
      </w:r>
      <w:r>
        <w:rPr>
          <w:rStyle w:val="VerbatimChar"/>
          <w:i/>
        </w:rPr>
        <w:t xml:space="preserve">dorevia_ck_marketone_content</w:t>
      </w:r>
      <w:r>
        <w:rPr>
          <w:i/>
        </w:rPr>
        <w:t xml:space="preserve"> </w:t>
      </w:r>
      <w:r>
        <w:rPr>
          <w:i/>
        </w:rPr>
        <w:t xml:space="preserve">· 2026-06-17.</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2026-06-17T12:39:34Z</dcterms:created>
  <dcterms:modified xsi:type="dcterms:W3CDTF">2026-06-17T12:39:34Z</dcterms:modified>
</cp:coreProperties>
</file>

<file path=docProps/custom.xml><?xml version="1.0" encoding="utf-8"?>
<Properties xmlns="http://schemas.openxmlformats.org/officeDocument/2006/custom-properties" xmlns:vt="http://schemas.openxmlformats.org/officeDocument/2006/docPropsVTypes"/>
</file>