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02C3" w14:textId="77777777" w:rsidR="00B76941" w:rsidRPr="00FF1CA0" w:rsidRDefault="00000000" w:rsidP="005D2C29">
      <w:pPr>
        <w:pStyle w:val="Title"/>
        <w:rPr>
          <w:rFonts w:ascii="Arial" w:hAnsi="Arial" w:cs="Arial"/>
        </w:rPr>
      </w:pPr>
      <w:r w:rsidRPr="00FF1CA0">
        <w:rPr>
          <w:rFonts w:ascii="Arial" w:hAnsi="Arial" w:cs="Arial"/>
        </w:rPr>
        <w:fldChar w:fldCharType="begin"/>
      </w:r>
      <w:r w:rsidRPr="00FF1CA0">
        <w:rPr>
          <w:rFonts w:ascii="Arial" w:hAnsi="Arial" w:cs="Arial"/>
        </w:rPr>
        <w:instrText xml:space="preserve"> TITLE   \* MERGEFORMAT </w:instrText>
      </w:r>
      <w:r w:rsidRPr="00FF1CA0">
        <w:rPr>
          <w:rFonts w:ascii="Arial" w:hAnsi="Arial" w:cs="Arial"/>
        </w:rPr>
        <w:fldChar w:fldCharType="separate"/>
      </w:r>
      <w:r w:rsidRPr="00FF1CA0">
        <w:rPr>
          <w:rFonts w:ascii="Arial" w:hAnsi="Arial" w:cs="Arial"/>
        </w:rPr>
        <w:t>VMware Pro Cloud Service for Private Cloud Infrastructure - VMware VCF Automation Installation and Configuration Procedures 9.x</w:t>
      </w:r>
      <w:r w:rsidRPr="00FF1CA0">
        <w:rPr>
          <w:rFonts w:ascii="Arial" w:hAnsi="Arial" w:cs="Arial"/>
        </w:rPr>
        <w:fldChar w:fldCharType="end"/>
      </w:r>
    </w:p>
    <w:p w14:paraId="3F9BB7ED" w14:textId="77777777" w:rsidR="00B76941" w:rsidRPr="00FF1CA0" w:rsidRDefault="00000000" w:rsidP="000555E1">
      <w:pPr>
        <w:pStyle w:val="Subtitle"/>
        <w:rPr>
          <w:rFonts w:ascii="Arial" w:hAnsi="Arial" w:cs="Arial"/>
        </w:rPr>
      </w:pPr>
      <w:bookmarkStart w:id="0" w:name="Horizon_on_Google_Cloud_VMware_Solution_"/>
      <w:bookmarkEnd w:id="0"/>
      <w:r w:rsidRPr="00FF1CA0">
        <w:rPr>
          <w:rFonts w:ascii="Arial" w:hAnsi="Arial" w:cs="Arial"/>
          <w:noProof/>
        </w:rPr>
        <w:drawing>
          <wp:anchor distT="0" distB="0" distL="114300" distR="114300" simplePos="0" relativeHeight="251658240" behindDoc="1" locked="0" layoutInCell="1" allowOverlap="1" wp14:anchorId="0F79D758" wp14:editId="5047149F">
            <wp:simplePos x="0" y="0"/>
            <wp:positionH relativeFrom="page">
              <wp:align>left</wp:align>
            </wp:positionH>
            <wp:positionV relativeFrom="page">
              <wp:posOffset>6096000</wp:posOffset>
            </wp:positionV>
            <wp:extent cx="7767184" cy="3954145"/>
            <wp:effectExtent l="0" t="0" r="5715"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67184" cy="3954145"/>
                    </a:xfrm>
                    <a:prstGeom prst="rect">
                      <a:avLst/>
                    </a:prstGeom>
                  </pic:spPr>
                </pic:pic>
              </a:graphicData>
            </a:graphic>
            <wp14:sizeRelH relativeFrom="margin">
              <wp14:pctWidth>0</wp14:pctWidth>
            </wp14:sizeRelH>
            <wp14:sizeRelV relativeFrom="margin">
              <wp14:pctHeight>0</wp14:pctHeight>
            </wp14:sizeRelV>
          </wp:anchor>
        </w:drawing>
      </w:r>
      <w:r w:rsidR="008D637B" w:rsidRPr="00FF1CA0">
        <w:rPr>
          <w:rFonts w:ascii="Arial" w:hAnsi="Arial" w:cs="Arial"/>
        </w:rPr>
        <w:fldChar w:fldCharType="begin"/>
      </w:r>
      <w:r w:rsidR="008D637B" w:rsidRPr="00FF1CA0">
        <w:rPr>
          <w:rFonts w:ascii="Arial" w:hAnsi="Arial" w:cs="Arial"/>
        </w:rPr>
        <w:instrText xml:space="preserve"> SUBJECT   \* MERGEFORMAT </w:instrText>
      </w:r>
      <w:r w:rsidR="008D637B" w:rsidRPr="00FF1CA0">
        <w:rPr>
          <w:rFonts w:ascii="Arial" w:hAnsi="Arial" w:cs="Arial"/>
        </w:rPr>
        <w:fldChar w:fldCharType="separate"/>
      </w:r>
      <w:r w:rsidR="008D637B" w:rsidRPr="00FF1CA0">
        <w:rPr>
          <w:rFonts w:ascii="Arial" w:hAnsi="Arial" w:cs="Arial"/>
        </w:rPr>
        <w:fldChar w:fldCharType="end"/>
      </w:r>
    </w:p>
    <w:p w14:paraId="53EBC4B5" w14:textId="77777777" w:rsidR="00C258BA" w:rsidRPr="00FF1CA0" w:rsidRDefault="00000000" w:rsidP="00C258BA">
      <w:pPr>
        <w:pageBreakBefore/>
        <w:spacing w:after="180"/>
        <w:rPr>
          <w:rFonts w:cs="Arial"/>
          <w:color w:val="323232"/>
          <w:sz w:val="18"/>
          <w:szCs w:val="18"/>
        </w:rPr>
      </w:pPr>
      <w:r w:rsidRPr="00FF1CA0">
        <w:rPr>
          <w:rFonts w:cs="Arial"/>
          <w:color w:val="323232"/>
          <w:sz w:val="18"/>
          <w:szCs w:val="18"/>
        </w:rPr>
        <w:lastRenderedPageBreak/>
        <w:t>You can find the most up-to-date technical documentation on the VMware website at:</w:t>
      </w:r>
    </w:p>
    <w:p w14:paraId="16E623C8" w14:textId="77777777" w:rsidR="00B76941" w:rsidRPr="00FF1CA0" w:rsidRDefault="00000000" w:rsidP="0030710A">
      <w:pPr>
        <w:rPr>
          <w:rFonts w:cs="Arial"/>
          <w:sz w:val="18"/>
          <w:szCs w:val="18"/>
        </w:rPr>
      </w:pPr>
      <w:r w:rsidRPr="00FF1CA0">
        <w:rPr>
          <w:rFonts w:cs="Arial"/>
          <w:color w:val="323232"/>
          <w:spacing w:val="-51"/>
          <w:sz w:val="18"/>
          <w:szCs w:val="18"/>
        </w:rPr>
        <w:t xml:space="preserve"> </w:t>
      </w:r>
      <w:hyperlink r:id="rId8" w:history="1">
        <w:r w:rsidR="00B76941" w:rsidRPr="00FF1CA0">
          <w:rPr>
            <w:rFonts w:cs="Arial"/>
            <w:color w:val="0096D3"/>
            <w:sz w:val="18"/>
            <w:szCs w:val="18"/>
          </w:rPr>
          <w:t>https://docs.vmware.com/</w:t>
        </w:r>
      </w:hyperlink>
    </w:p>
    <w:p w14:paraId="15F762D6" w14:textId="77777777" w:rsidR="00B76941" w:rsidRPr="00FF1CA0" w:rsidRDefault="00000000" w:rsidP="00010A48">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14:paraId="4E97618A" w14:textId="77777777" w:rsidR="00CD44BB" w:rsidRPr="00FF1CA0" w:rsidRDefault="00000000" w:rsidP="00CD44BB">
      <w:pPr>
        <w:rPr>
          <w:rFonts w:cs="Arial"/>
          <w:color w:val="323232"/>
          <w:spacing w:val="1"/>
          <w:sz w:val="18"/>
        </w:rPr>
      </w:pPr>
      <w:r w:rsidRPr="00FF1CA0">
        <w:rPr>
          <w:rFonts w:cs="Arial"/>
          <w:color w:val="323232"/>
          <w:sz w:val="18"/>
        </w:rPr>
        <w:t>34</w:t>
      </w:r>
      <w:r w:rsidR="007A3262" w:rsidRPr="00FF1CA0">
        <w:rPr>
          <w:rFonts w:cs="Arial"/>
          <w:color w:val="323232"/>
          <w:sz w:val="18"/>
        </w:rPr>
        <w:t>2</w:t>
      </w:r>
      <w:r w:rsidRPr="00FF1CA0">
        <w:rPr>
          <w:rFonts w:cs="Arial"/>
          <w:color w:val="323232"/>
          <w:sz w:val="18"/>
        </w:rPr>
        <w:t>1 Hillview Ave.</w:t>
      </w:r>
    </w:p>
    <w:p w14:paraId="2085D502" w14:textId="77777777" w:rsidR="00CD44BB" w:rsidRPr="00FF1CA0" w:rsidRDefault="00000000" w:rsidP="00CD44BB">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14:paraId="49497A74" w14:textId="77777777" w:rsidR="00B76941" w:rsidRPr="00FF1CA0" w:rsidRDefault="00B76941" w:rsidP="00CD44BB">
      <w:pPr>
        <w:rPr>
          <w:rFonts w:cs="Arial"/>
          <w:sz w:val="18"/>
        </w:rPr>
      </w:pPr>
      <w:hyperlink r:id="rId9" w:history="1">
        <w:r w:rsidRPr="00FF1CA0">
          <w:rPr>
            <w:rFonts w:cs="Arial"/>
            <w:color w:val="323232"/>
            <w:sz w:val="18"/>
          </w:rPr>
          <w:t>www.vmware.com</w:t>
        </w:r>
      </w:hyperlink>
    </w:p>
    <w:p w14:paraId="22EB8DFB" w14:textId="742FA47D" w:rsidR="00010A48" w:rsidRPr="00FF1CA0" w:rsidRDefault="00000000" w:rsidP="00010A48">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202</w:t>
      </w:r>
      <w:r w:rsidR="0037035E">
        <w:rPr>
          <w:rFonts w:cs="Arial"/>
          <w:color w:val="323232"/>
          <w:sz w:val="18"/>
        </w:rPr>
        <w:t>6</w:t>
      </w:r>
      <w:r w:rsidRPr="00FF1CA0">
        <w:rPr>
          <w:rFonts w:cs="Arial"/>
          <w:color w:val="323232"/>
          <w:sz w:val="18"/>
        </w:rPr>
        <w:t xml:space="preserve"> </w:t>
      </w:r>
      <w:r w:rsidR="007A3262" w:rsidRPr="00FF1CA0">
        <w:rPr>
          <w:rFonts w:cs="Arial"/>
          <w:color w:val="323232"/>
          <w:sz w:val="18"/>
        </w:rPr>
        <w:t>Broadcom</w:t>
      </w:r>
      <w:r w:rsidR="007A3262" w:rsidRPr="00FF1CA0">
        <w:rPr>
          <w:rFonts w:cs="Arial"/>
          <w:color w:val="323232"/>
          <w:sz w:val="18"/>
          <w:vertAlign w:val="superscript"/>
        </w:rPr>
        <w:t>®</w:t>
      </w:r>
      <w:r w:rsidRPr="00FF1CA0">
        <w:rPr>
          <w:rFonts w:cs="Arial"/>
          <w:color w:val="323232"/>
          <w:sz w:val="18"/>
        </w:rPr>
        <w:t xml:space="preserve"> All rights reserved.</w:t>
      </w:r>
      <w:r w:rsidRPr="00FF1CA0">
        <w:rPr>
          <w:rFonts w:cs="Arial"/>
          <w:color w:val="323232"/>
          <w:spacing w:val="1"/>
          <w:sz w:val="18"/>
        </w:rPr>
        <w:t xml:space="preserve"> </w:t>
      </w:r>
      <w:hyperlink r:id="rId10" w:history="1">
        <w:r w:rsidR="00010A48" w:rsidRPr="00FF1CA0">
          <w:rPr>
            <w:rFonts w:cs="Arial"/>
            <w:color w:val="0096D3"/>
            <w:sz w:val="18"/>
          </w:rPr>
          <w:t>Copyright and trademark information.</w:t>
        </w:r>
      </w:hyperlink>
      <w:bookmarkStart w:id="1" w:name="Contents"/>
      <w:bookmarkEnd w:id="1"/>
    </w:p>
    <w:p w14:paraId="41B2A7DB" w14:textId="77777777" w:rsidR="00B76941" w:rsidRPr="00FF1CA0" w:rsidRDefault="00000000" w:rsidP="0092725C">
      <w:pPr>
        <w:pStyle w:val="SectionHeading1"/>
        <w:rPr>
          <w:rFonts w:ascii="Arial" w:hAnsi="Arial" w:cs="Arial"/>
        </w:rPr>
      </w:pPr>
      <w:r w:rsidRPr="00FF1CA0">
        <w:rPr>
          <w:rFonts w:ascii="Arial" w:hAnsi="Arial" w:cs="Arial"/>
        </w:rPr>
        <w:lastRenderedPageBreak/>
        <w:t>Contents</w:t>
      </w:r>
    </w:p>
    <w:p w14:paraId="7DDE55F2" w14:textId="77777777" w:rsidR="0010752C" w:rsidRDefault="00000000">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014" w:history="1">
        <w:r>
          <w:rPr>
            <w:rStyle w:val="Hyperlink"/>
          </w:rPr>
          <w:t>1.</w:t>
        </w:r>
        <w:r>
          <w:rPr>
            <w:rFonts w:asciiTheme="minorHAnsi" w:hAnsiTheme="minorHAnsi"/>
            <w:noProof/>
            <w:sz w:val="22"/>
          </w:rPr>
          <w:tab/>
        </w:r>
        <w:r>
          <w:rPr>
            <w:rStyle w:val="Hyperlink"/>
          </w:rPr>
          <w:t>Purpose and Assumptions</w:t>
        </w:r>
        <w:r>
          <w:tab/>
        </w:r>
        <w:r>
          <w:fldChar w:fldCharType="begin"/>
        </w:r>
        <w:r>
          <w:instrText xml:space="preserve"> PAGEREF _Toc256000014 \h </w:instrText>
        </w:r>
        <w:r>
          <w:fldChar w:fldCharType="separate"/>
        </w:r>
        <w:r>
          <w:t>4</w:t>
        </w:r>
        <w:r>
          <w:fldChar w:fldCharType="end"/>
        </w:r>
      </w:hyperlink>
    </w:p>
    <w:p w14:paraId="55941980" w14:textId="77777777" w:rsidR="0010752C" w:rsidRDefault="00000000">
      <w:pPr>
        <w:pStyle w:val="TOC2"/>
        <w:rPr>
          <w:rFonts w:asciiTheme="minorHAnsi" w:hAnsiTheme="minorHAnsi"/>
          <w:noProof/>
          <w:sz w:val="22"/>
        </w:rPr>
      </w:pPr>
      <w:hyperlink w:anchor="_Toc256000015" w:history="1">
        <w:r>
          <w:rPr>
            <w:rStyle w:val="Hyperlink"/>
          </w:rPr>
          <w:t>VMware Products and Versions</w:t>
        </w:r>
        <w:r>
          <w:tab/>
        </w:r>
        <w:r>
          <w:fldChar w:fldCharType="begin"/>
        </w:r>
        <w:r>
          <w:instrText xml:space="preserve"> PAGEREF _Toc256000015 \h </w:instrText>
        </w:r>
        <w:r>
          <w:fldChar w:fldCharType="separate"/>
        </w:r>
        <w:r>
          <w:t>4</w:t>
        </w:r>
        <w:r>
          <w:fldChar w:fldCharType="end"/>
        </w:r>
      </w:hyperlink>
    </w:p>
    <w:p w14:paraId="2DA3359E" w14:textId="77777777" w:rsidR="0010752C" w:rsidRDefault="00000000">
      <w:pPr>
        <w:pStyle w:val="TOC2"/>
        <w:rPr>
          <w:rFonts w:asciiTheme="minorHAnsi" w:hAnsiTheme="minorHAnsi"/>
          <w:noProof/>
          <w:sz w:val="22"/>
        </w:rPr>
      </w:pPr>
      <w:hyperlink w:anchor="_Toc256000016" w:history="1">
        <w:r>
          <w:rPr>
            <w:rStyle w:val="Hyperlink"/>
          </w:rPr>
          <w:t>Architecture Model</w:t>
        </w:r>
        <w:r>
          <w:tab/>
        </w:r>
        <w:r>
          <w:fldChar w:fldCharType="begin"/>
        </w:r>
        <w:r>
          <w:instrText xml:space="preserve"> PAGEREF _Toc256000016 \h </w:instrText>
        </w:r>
        <w:r>
          <w:fldChar w:fldCharType="separate"/>
        </w:r>
        <w:r>
          <w:t>4</w:t>
        </w:r>
        <w:r>
          <w:fldChar w:fldCharType="end"/>
        </w:r>
      </w:hyperlink>
    </w:p>
    <w:p w14:paraId="694CBA60" w14:textId="77777777" w:rsidR="0010752C" w:rsidRDefault="00000000">
      <w:pPr>
        <w:pStyle w:val="TOC1"/>
        <w:rPr>
          <w:rFonts w:asciiTheme="minorHAnsi" w:hAnsiTheme="minorHAnsi"/>
          <w:noProof/>
          <w:sz w:val="22"/>
        </w:rPr>
      </w:pPr>
      <w:hyperlink w:anchor="_Toc256000017" w:history="1">
        <w:r>
          <w:rPr>
            <w:rStyle w:val="Hyperlink"/>
          </w:rPr>
          <w:t>2.</w:t>
        </w:r>
        <w:r>
          <w:rPr>
            <w:rFonts w:asciiTheme="minorHAnsi" w:hAnsiTheme="minorHAnsi"/>
            <w:noProof/>
            <w:sz w:val="22"/>
          </w:rPr>
          <w:tab/>
        </w:r>
        <w:r>
          <w:rPr>
            <w:rStyle w:val="Hyperlink"/>
          </w:rPr>
          <w:t>Installation and Configuration Procedures</w:t>
        </w:r>
        <w:r>
          <w:tab/>
        </w:r>
        <w:r>
          <w:fldChar w:fldCharType="begin"/>
        </w:r>
        <w:r>
          <w:instrText xml:space="preserve"> PAGEREF _Toc256000017 \h </w:instrText>
        </w:r>
        <w:r>
          <w:fldChar w:fldCharType="separate"/>
        </w:r>
        <w:r>
          <w:t>6</w:t>
        </w:r>
        <w:r>
          <w:fldChar w:fldCharType="end"/>
        </w:r>
      </w:hyperlink>
    </w:p>
    <w:p w14:paraId="3F96D5C2" w14:textId="77777777" w:rsidR="0010752C" w:rsidRDefault="00000000">
      <w:pPr>
        <w:pStyle w:val="TOC2"/>
        <w:rPr>
          <w:rFonts w:asciiTheme="minorHAnsi" w:hAnsiTheme="minorHAnsi"/>
          <w:noProof/>
          <w:sz w:val="22"/>
        </w:rPr>
      </w:pPr>
      <w:hyperlink w:anchor="_Toc256000018" w:history="1">
        <w:r>
          <w:rPr>
            <w:rStyle w:val="Hyperlink"/>
          </w:rPr>
          <w:t>Deploy Additional VCF Automation Instances into an Existing VCF Fleet</w:t>
        </w:r>
        <w:r>
          <w:tab/>
        </w:r>
        <w:r>
          <w:fldChar w:fldCharType="begin"/>
        </w:r>
        <w:r>
          <w:instrText xml:space="preserve"> PAGEREF _Toc256000018 \h </w:instrText>
        </w:r>
        <w:r>
          <w:fldChar w:fldCharType="separate"/>
        </w:r>
        <w:r>
          <w:t>6</w:t>
        </w:r>
        <w:r>
          <w:fldChar w:fldCharType="end"/>
        </w:r>
      </w:hyperlink>
    </w:p>
    <w:p w14:paraId="18934800" w14:textId="77777777" w:rsidR="0010752C" w:rsidRDefault="00000000">
      <w:pPr>
        <w:pStyle w:val="TOC1"/>
        <w:rPr>
          <w:rFonts w:asciiTheme="minorHAnsi" w:hAnsiTheme="minorHAnsi"/>
          <w:noProof/>
          <w:sz w:val="22"/>
        </w:rPr>
      </w:pPr>
      <w:hyperlink w:anchor="_Toc256000019" w:history="1">
        <w:r>
          <w:rPr>
            <w:rStyle w:val="Hyperlink"/>
          </w:rPr>
          <w:t>3.</w:t>
        </w:r>
        <w:r>
          <w:rPr>
            <w:rFonts w:asciiTheme="minorHAnsi" w:hAnsiTheme="minorHAnsi"/>
            <w:noProof/>
            <w:sz w:val="22"/>
          </w:rPr>
          <w:tab/>
        </w:r>
        <w:r>
          <w:rPr>
            <w:rStyle w:val="Hyperlink"/>
          </w:rPr>
          <w:t>References</w:t>
        </w:r>
        <w:r>
          <w:tab/>
        </w:r>
        <w:r>
          <w:fldChar w:fldCharType="begin"/>
        </w:r>
        <w:r>
          <w:instrText xml:space="preserve"> PAGEREF _Toc256000019 \h </w:instrText>
        </w:r>
        <w:r>
          <w:fldChar w:fldCharType="separate"/>
        </w:r>
        <w:r>
          <w:t>10</w:t>
        </w:r>
        <w:r>
          <w:fldChar w:fldCharType="end"/>
        </w:r>
      </w:hyperlink>
    </w:p>
    <w:p w14:paraId="653DD747" w14:textId="77777777" w:rsidR="0010752C" w:rsidRDefault="00000000">
      <w:pPr>
        <w:pStyle w:val="TOC2"/>
        <w:rPr>
          <w:rFonts w:asciiTheme="minorHAnsi" w:hAnsiTheme="minorHAnsi"/>
          <w:noProof/>
          <w:sz w:val="22"/>
        </w:rPr>
      </w:pPr>
      <w:hyperlink w:anchor="_Toc256000020" w:history="1">
        <w:r>
          <w:rPr>
            <w:rStyle w:val="Hyperlink"/>
          </w:rPr>
          <w:t>References</w:t>
        </w:r>
        <w:r>
          <w:tab/>
        </w:r>
        <w:r>
          <w:fldChar w:fldCharType="begin"/>
        </w:r>
        <w:r>
          <w:instrText xml:space="preserve"> PAGEREF _Toc256000020 \h </w:instrText>
        </w:r>
        <w:r>
          <w:fldChar w:fldCharType="separate"/>
        </w:r>
        <w:r>
          <w:t>10</w:t>
        </w:r>
        <w:r>
          <w:fldChar w:fldCharType="end"/>
        </w:r>
      </w:hyperlink>
    </w:p>
    <w:p w14:paraId="1078B03D" w14:textId="77777777" w:rsidR="00317810" w:rsidRPr="00FF1CA0" w:rsidRDefault="00000000" w:rsidP="00317810">
      <w:pPr>
        <w:rPr>
          <w:rFonts w:cs="Arial"/>
          <w:b/>
          <w:bCs/>
          <w:noProof/>
        </w:rPr>
      </w:pPr>
      <w:r w:rsidRPr="00FF1CA0">
        <w:rPr>
          <w:rFonts w:cs="Arial"/>
          <w:b/>
          <w:bCs/>
          <w:noProof/>
        </w:rPr>
        <w:fldChar w:fldCharType="end"/>
      </w:r>
    </w:p>
    <w:p w14:paraId="010DC7CA" w14:textId="77777777" w:rsidR="0010752C" w:rsidRDefault="00000000">
      <w:pPr>
        <w:pStyle w:val="Heading1"/>
      </w:pPr>
      <w:bookmarkStart w:id="2" w:name="_Toc256000014"/>
      <w:r>
        <w:lastRenderedPageBreak/>
        <w:t>Purpose and Assumptions</w:t>
      </w:r>
      <w:bookmarkEnd w:id="2"/>
    </w:p>
    <w:p w14:paraId="08B649A2" w14:textId="77777777" w:rsidR="0010752C" w:rsidRDefault="00000000">
      <w:pPr>
        <w:pStyle w:val="BodyText"/>
      </w:pPr>
      <w:r>
        <w:t>This document provides step-by-step instructions for installing, configuring and deploying the solution for Customer.</w:t>
      </w:r>
    </w:p>
    <w:p w14:paraId="543376A3" w14:textId="77777777" w:rsidR="0010752C" w:rsidRDefault="00000000">
      <w:pPr>
        <w:pStyle w:val="BodyText"/>
      </w:pPr>
      <w:r>
        <w:t>This document is written with the assumption that the administrator who uses these procedures is familiar with the products being used. It is not intended for administrators without prior knowledge of the concepts and terminology.</w:t>
      </w:r>
    </w:p>
    <w:p w14:paraId="555B25B1" w14:textId="77777777" w:rsidR="0010752C" w:rsidRDefault="00000000">
      <w:pPr>
        <w:pStyle w:val="Heading2"/>
      </w:pPr>
      <w:bookmarkStart w:id="3" w:name="_Toc256000015"/>
      <w:r>
        <w:t>VMware Products and Versions</w:t>
      </w:r>
      <w:bookmarkEnd w:id="3"/>
    </w:p>
    <w:p w14:paraId="24C1CA9F" w14:textId="77777777" w:rsidR="0010752C" w:rsidRDefault="00000000">
      <w:pPr>
        <w:pStyle w:val="BodyText"/>
      </w:pPr>
      <w:r>
        <w:t>The following table lists the product versions used in this service. The build numbers here refer to the downloaded installer version of this guide.</w:t>
      </w:r>
    </w:p>
    <w:p w14:paraId="39870F01" w14:textId="77777777" w:rsidR="0010752C" w:rsidRDefault="00000000">
      <w:pPr>
        <w:pStyle w:val="TableTitle"/>
      </w:pPr>
      <w:r>
        <w:t xml:space="preserve">Table </w:t>
      </w:r>
      <w:fldSimple w:instr=" STYLEREF  &quot;Heading 1&quot; \n \* MERGEFORMAT">
        <w:r>
          <w:t>1</w:t>
        </w:r>
      </w:fldSimple>
      <w:r>
        <w:t>-</w:t>
      </w:r>
      <w:r>
        <w:fldChar w:fldCharType="begin"/>
      </w:r>
      <w:r>
        <w:instrText xml:space="preserve"> SEQ  Table \* Arabic</w:instrText>
      </w:r>
      <w:r>
        <w:fldChar w:fldCharType="separate"/>
      </w:r>
      <w:r>
        <w:t>1</w:t>
      </w:r>
      <w:r>
        <w:fldChar w:fldCharType="end"/>
      </w:r>
      <w:r>
        <w:t>. VMware Products and Versions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285"/>
        <w:gridCol w:w="4675"/>
      </w:tblGrid>
      <w:tr w:rsidR="0010752C" w14:paraId="738C57FC" w14:textId="77777777">
        <w:trPr>
          <w:cantSplit/>
          <w:tblHeader/>
        </w:trPr>
        <w:tc>
          <w:tcPr>
            <w:tcW w:w="0" w:type="auto"/>
            <w:tcBorders>
              <w:left w:val="nil"/>
              <w:right w:val="nil"/>
            </w:tcBorders>
            <w:shd w:val="clear" w:color="auto" w:fill="E1E1E1"/>
            <w:tcMar>
              <w:top w:w="60" w:type="dxa"/>
              <w:bottom w:w="60" w:type="dxa"/>
            </w:tcMar>
          </w:tcPr>
          <w:p w14:paraId="0D5759A8" w14:textId="77777777" w:rsidR="0010752C" w:rsidRDefault="00000000">
            <w:pPr>
              <w:pStyle w:val="TableHeaderText"/>
            </w:pPr>
            <w:r>
              <w:t>VMware Product</w:t>
            </w:r>
          </w:p>
        </w:tc>
        <w:tc>
          <w:tcPr>
            <w:tcW w:w="0" w:type="auto"/>
            <w:tcBorders>
              <w:left w:val="nil"/>
              <w:right w:val="nil"/>
            </w:tcBorders>
            <w:shd w:val="clear" w:color="auto" w:fill="E1E1E1"/>
            <w:tcMar>
              <w:top w:w="60" w:type="dxa"/>
              <w:bottom w:w="60" w:type="dxa"/>
            </w:tcMar>
          </w:tcPr>
          <w:p w14:paraId="6B172FA9" w14:textId="77777777" w:rsidR="0010752C" w:rsidRDefault="00000000">
            <w:pPr>
              <w:pStyle w:val="TableHeaderText"/>
            </w:pPr>
            <w:r>
              <w:t>Version Number</w:t>
            </w:r>
          </w:p>
        </w:tc>
      </w:tr>
      <w:tr w:rsidR="0010752C" w14:paraId="010F8CEC" w14:textId="77777777">
        <w:tblPrEx>
          <w:tblBorders>
            <w:top w:val="nil"/>
          </w:tblBorders>
        </w:tblPrEx>
        <w:trPr>
          <w:cantSplit/>
        </w:trPr>
        <w:tc>
          <w:tcPr>
            <w:tcW w:w="0" w:type="auto"/>
            <w:tcBorders>
              <w:left w:val="nil"/>
              <w:right w:val="nil"/>
            </w:tcBorders>
          </w:tcPr>
          <w:p w14:paraId="6A184678" w14:textId="77777777" w:rsidR="0010752C" w:rsidRDefault="00000000">
            <w:pPr>
              <w:pStyle w:val="TableBodyText"/>
            </w:pPr>
            <w:r>
              <w:t>VMware Cloud Foundation</w:t>
            </w:r>
          </w:p>
        </w:tc>
        <w:tc>
          <w:tcPr>
            <w:tcW w:w="0" w:type="auto"/>
            <w:tcBorders>
              <w:left w:val="nil"/>
              <w:right w:val="nil"/>
            </w:tcBorders>
          </w:tcPr>
          <w:p w14:paraId="40546766" w14:textId="77777777" w:rsidR="0010752C" w:rsidRDefault="00000000">
            <w:pPr>
              <w:pStyle w:val="TableBodyText"/>
            </w:pPr>
            <w:r>
              <w:t>9.0.1.0 Build 24965341</w:t>
            </w:r>
          </w:p>
        </w:tc>
      </w:tr>
    </w:tbl>
    <w:p w14:paraId="4C9DFD8B" w14:textId="77777777" w:rsidR="0010752C" w:rsidRDefault="00000000">
      <w:pPr>
        <w:pStyle w:val="BodyText"/>
        <w:spacing w:before="240"/>
      </w:pPr>
      <w:r>
        <w:t>The Private Cloud Automation for VMware Cloud Foundation VMware Validated Solution recommends the following bill of materials for the VCF Automation Deployment.</w:t>
      </w:r>
    </w:p>
    <w:p w14:paraId="6414A618" w14:textId="77777777" w:rsidR="0010752C" w:rsidRDefault="00000000">
      <w:pPr>
        <w:pStyle w:val="TableTitle"/>
      </w:pPr>
      <w:r>
        <w:t xml:space="preserve">Table </w:t>
      </w:r>
      <w:fldSimple w:instr=" STYLEREF  &quot;Heading 1&quot; \n \* MERGEFORMAT">
        <w:r>
          <w:t>1</w:t>
        </w:r>
      </w:fldSimple>
      <w:r>
        <w:t>-</w:t>
      </w:r>
      <w:r>
        <w:fldChar w:fldCharType="begin"/>
      </w:r>
      <w:r>
        <w:instrText xml:space="preserve"> SEQ  Table \* Arabic</w:instrText>
      </w:r>
      <w:r>
        <w:fldChar w:fldCharType="separate"/>
      </w:r>
      <w:r>
        <w:t>2</w:t>
      </w:r>
      <w:r>
        <w:fldChar w:fldCharType="end"/>
      </w:r>
      <w:r>
        <w:t>. Cloud Foundation Installed Products and Versions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6042"/>
        <w:gridCol w:w="3918"/>
      </w:tblGrid>
      <w:tr w:rsidR="0010752C" w14:paraId="16806180" w14:textId="77777777">
        <w:trPr>
          <w:cantSplit/>
          <w:tblHeader/>
        </w:trPr>
        <w:tc>
          <w:tcPr>
            <w:tcW w:w="0" w:type="auto"/>
            <w:tcBorders>
              <w:left w:val="nil"/>
              <w:right w:val="nil"/>
            </w:tcBorders>
            <w:shd w:val="clear" w:color="auto" w:fill="E1E1E1"/>
            <w:tcMar>
              <w:top w:w="60" w:type="dxa"/>
              <w:bottom w:w="60" w:type="dxa"/>
            </w:tcMar>
          </w:tcPr>
          <w:p w14:paraId="0734E1E8" w14:textId="77777777" w:rsidR="0010752C" w:rsidRDefault="00000000">
            <w:pPr>
              <w:pStyle w:val="TableHeaderText"/>
            </w:pPr>
            <w:r>
              <w:t>VMware Product</w:t>
            </w:r>
          </w:p>
        </w:tc>
        <w:tc>
          <w:tcPr>
            <w:tcW w:w="0" w:type="auto"/>
            <w:tcBorders>
              <w:left w:val="nil"/>
              <w:right w:val="nil"/>
            </w:tcBorders>
            <w:shd w:val="clear" w:color="auto" w:fill="E1E1E1"/>
            <w:tcMar>
              <w:top w:w="60" w:type="dxa"/>
              <w:bottom w:w="60" w:type="dxa"/>
            </w:tcMar>
          </w:tcPr>
          <w:p w14:paraId="12CB2613" w14:textId="77777777" w:rsidR="0010752C" w:rsidRDefault="00000000">
            <w:pPr>
              <w:pStyle w:val="TableHeaderText"/>
            </w:pPr>
            <w:r>
              <w:t>Version Number</w:t>
            </w:r>
          </w:p>
        </w:tc>
      </w:tr>
      <w:tr w:rsidR="0010752C" w14:paraId="508F8AC2" w14:textId="77777777">
        <w:tblPrEx>
          <w:tblBorders>
            <w:top w:val="nil"/>
          </w:tblBorders>
        </w:tblPrEx>
        <w:trPr>
          <w:cantSplit/>
        </w:trPr>
        <w:tc>
          <w:tcPr>
            <w:tcW w:w="0" w:type="auto"/>
            <w:tcBorders>
              <w:left w:val="nil"/>
              <w:right w:val="nil"/>
            </w:tcBorders>
          </w:tcPr>
          <w:p w14:paraId="562920A0" w14:textId="77777777" w:rsidR="0010752C" w:rsidRDefault="00000000">
            <w:pPr>
              <w:pStyle w:val="TableBodyText"/>
            </w:pPr>
            <w:r>
              <w:t>VMware VCF Automation</w:t>
            </w:r>
          </w:p>
        </w:tc>
        <w:tc>
          <w:tcPr>
            <w:tcW w:w="0" w:type="auto"/>
            <w:tcBorders>
              <w:left w:val="nil"/>
              <w:right w:val="nil"/>
            </w:tcBorders>
          </w:tcPr>
          <w:p w14:paraId="02D56BA7" w14:textId="77777777" w:rsidR="0010752C" w:rsidRDefault="00000000">
            <w:pPr>
              <w:pStyle w:val="TableBodyText"/>
            </w:pPr>
            <w:r>
              <w:t>9.0.1.0 Build 24965341</w:t>
            </w:r>
          </w:p>
        </w:tc>
      </w:tr>
      <w:tr w:rsidR="0010752C" w14:paraId="185572B1" w14:textId="77777777">
        <w:tblPrEx>
          <w:tblBorders>
            <w:top w:val="nil"/>
          </w:tblBorders>
        </w:tblPrEx>
        <w:trPr>
          <w:cantSplit/>
        </w:trPr>
        <w:tc>
          <w:tcPr>
            <w:tcW w:w="0" w:type="auto"/>
            <w:tcBorders>
              <w:left w:val="nil"/>
              <w:right w:val="nil"/>
            </w:tcBorders>
          </w:tcPr>
          <w:p w14:paraId="2DCB0AF3" w14:textId="77777777" w:rsidR="0010752C" w:rsidRDefault="00000000">
            <w:pPr>
              <w:pStyle w:val="TableBodyText"/>
            </w:pPr>
            <w:r>
              <w:t>VMware VCF Operations orchestrator</w:t>
            </w:r>
          </w:p>
        </w:tc>
        <w:tc>
          <w:tcPr>
            <w:tcW w:w="0" w:type="auto"/>
            <w:tcBorders>
              <w:left w:val="nil"/>
              <w:right w:val="nil"/>
            </w:tcBorders>
          </w:tcPr>
          <w:p w14:paraId="616FC7EB" w14:textId="77777777" w:rsidR="0010752C" w:rsidRDefault="00000000">
            <w:pPr>
              <w:pStyle w:val="TableBodyText"/>
            </w:pPr>
            <w:r>
              <w:t>9.0.1.0 Build 24923009</w:t>
            </w:r>
          </w:p>
        </w:tc>
      </w:tr>
    </w:tbl>
    <w:p w14:paraId="211DAE7E" w14:textId="77777777" w:rsidR="0010752C" w:rsidRDefault="00000000">
      <w:pPr>
        <w:pStyle w:val="BodyText"/>
        <w:numPr>
          <w:ilvl w:val="0"/>
          <w:numId w:val="8"/>
        </w:numPr>
        <w:pBdr>
          <w:top w:val="single" w:sz="8" w:space="2" w:color="D3D3D3"/>
          <w:bottom w:val="single" w:sz="8" w:space="2" w:color="D3D3D3"/>
        </w:pBdr>
        <w:spacing w:before="240"/>
      </w:pPr>
      <w:r>
        <w:t>You can use Fleet Management to deploy VCF Automation, VCF Operations for Logs and VCF Operations for Network.</w:t>
      </w:r>
    </w:p>
    <w:p w14:paraId="0ABBE87A" w14:textId="77777777" w:rsidR="0010752C" w:rsidRDefault="00000000">
      <w:pPr>
        <w:pStyle w:val="Heading2"/>
      </w:pPr>
      <w:bookmarkStart w:id="4" w:name="_Toc256000016"/>
      <w:r>
        <w:t>Architecture Model</w:t>
      </w:r>
      <w:bookmarkEnd w:id="4"/>
    </w:p>
    <w:p w14:paraId="65D2357C" w14:textId="77777777" w:rsidR="0010752C" w:rsidRDefault="00000000">
      <w:pPr>
        <w:pStyle w:val="BodyText"/>
      </w:pPr>
      <w:r>
        <w:t>Standardization of software configuration which improves predictability, supportability and speed of delivery. Considering these benefits, VMware has developed VMware Cloud Foundation.</w:t>
      </w:r>
    </w:p>
    <w:p w14:paraId="4C5AB37B" w14:textId="77777777" w:rsidR="0010752C" w:rsidRDefault="00000000">
      <w:pPr>
        <w:pStyle w:val="BodyText"/>
      </w:pPr>
      <w:r>
        <w:t>VMware Cloud foundation brings a comprehensive design to an environment that covers everything from hardware configuration to automated software installation and configuration of the entire SDDC. The result is a highly available, scalable and robust platform, that is vigorously tested.</w:t>
      </w:r>
    </w:p>
    <w:p w14:paraId="4EA462EE" w14:textId="77777777" w:rsidR="0010752C" w:rsidRDefault="00000000">
      <w:pPr>
        <w:pStyle w:val="BodyText"/>
      </w:pPr>
      <w:r>
        <w:t>VMware Cloud foundation uses its own customized architecture and adds on VMware Validated Solutions to add functionality as appropriate. This service uses these different architectures as a baseline for deployment.</w:t>
      </w:r>
    </w:p>
    <w:p w14:paraId="137417DC" w14:textId="77777777" w:rsidR="0010752C" w:rsidRDefault="00000000">
      <w:pPr>
        <w:pStyle w:val="BodyText"/>
      </w:pPr>
      <w:r>
        <w:rPr>
          <w:noProof/>
        </w:rPr>
        <w:lastRenderedPageBreak/>
        <w:drawing>
          <wp:inline distT="0" distB="0" distL="0" distR="0" wp14:anchorId="51EF06CE" wp14:editId="59E4EE04">
            <wp:extent cx="6324600" cy="5182836"/>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11"/>
                    <a:stretch>
                      <a:fillRect/>
                    </a:stretch>
                  </pic:blipFill>
                  <pic:spPr>
                    <a:xfrm>
                      <a:off x="0" y="0"/>
                      <a:ext cx="6324600" cy="5182836"/>
                    </a:xfrm>
                    <a:prstGeom prst="rect">
                      <a:avLst/>
                    </a:prstGeom>
                  </pic:spPr>
                </pic:pic>
              </a:graphicData>
            </a:graphic>
          </wp:inline>
        </w:drawing>
      </w:r>
    </w:p>
    <w:p w14:paraId="67C40CC4" w14:textId="77777777" w:rsidR="0010752C" w:rsidRDefault="00000000">
      <w:pPr>
        <w:pStyle w:val="Heading1"/>
      </w:pPr>
      <w:bookmarkStart w:id="5" w:name="_Toc256000017"/>
      <w:r>
        <w:lastRenderedPageBreak/>
        <w:t>Installation and Configuration Procedures</w:t>
      </w:r>
      <w:bookmarkEnd w:id="5"/>
    </w:p>
    <w:p w14:paraId="672A9DBB" w14:textId="77777777" w:rsidR="0010752C" w:rsidRDefault="00000000">
      <w:pPr>
        <w:pStyle w:val="BodyText"/>
      </w:pPr>
      <w:r>
        <w:t>This section provides step-by-step procedures for common configuration tasks to be performed during the deployment of the product in Customer's environment.</w:t>
      </w:r>
    </w:p>
    <w:p w14:paraId="68F209AA" w14:textId="77777777" w:rsidR="0010752C" w:rsidRDefault="00000000">
      <w:pPr>
        <w:pStyle w:val="Heading2"/>
      </w:pPr>
      <w:bookmarkStart w:id="6" w:name="_Toc256000018"/>
      <w:r>
        <w:t>Deploy Additional VCF Automation Instances into an Existing VCF Fleet</w:t>
      </w:r>
      <w:bookmarkEnd w:id="6"/>
    </w:p>
    <w:p w14:paraId="2869ACD4" w14:textId="77777777" w:rsidR="0010752C" w:rsidRDefault="00000000">
      <w:pPr>
        <w:pStyle w:val="BodyText"/>
      </w:pPr>
      <w:r>
        <w:t xml:space="preserve">VCF Management supports multiple instances of VCF Automation. After you deploy your first VCF Automation instance into VCF Operations 9.0, you can deploy additional VCF Automation instances into your existing fleet. </w:t>
      </w:r>
    </w:p>
    <w:p w14:paraId="79181455" w14:textId="77777777" w:rsidR="0010752C" w:rsidRDefault="00000000">
      <w:pPr>
        <w:pStyle w:val="BodyText"/>
      </w:pPr>
      <w:r>
        <w:t>The first instance of VCF Automation that you import or deploy is integrated with VCF Operations. See Import and Upgrade VMware Aria Automation in VCF Operations 9.0. Any additional VCF Automation deployments are classified as non-integrated components. VCF Automation 9.0 is the only component that can run in non-integrated mode with VCF Operations.</w:t>
      </w:r>
    </w:p>
    <w:p w14:paraId="2BD1007C" w14:textId="77777777" w:rsidR="0010752C" w:rsidRDefault="00000000">
      <w:pPr>
        <w:pStyle w:val="BodyText"/>
      </w:pPr>
      <w:r>
        <w:t>To better understand the features available when VCF Automation is deployed with VCF Operations in integrated or non-integrated mode, refer to the following table.</w:t>
      </w:r>
    </w:p>
    <w:p w14:paraId="0C0C556A" w14:textId="77777777" w:rsidR="0010752C" w:rsidRDefault="00000000">
      <w:pPr>
        <w:pStyle w:val="TableTitle"/>
      </w:pPr>
      <w:r>
        <w:t xml:space="preserve">Table </w:t>
      </w:r>
      <w:fldSimple w:instr=" STYLEREF  &quot;Heading 1&quot; \n \* MERGEFORMAT">
        <w:r>
          <w:t>2</w:t>
        </w:r>
      </w:fldSimple>
      <w:r>
        <w:t>-</w:t>
      </w:r>
      <w:r>
        <w:fldChar w:fldCharType="begin"/>
      </w:r>
      <w:r>
        <w:instrText xml:space="preserve"> SEQ  Table \* Arabic</w:instrText>
      </w:r>
      <w:r>
        <w:fldChar w:fldCharType="separate"/>
      </w:r>
      <w:r>
        <w:t>3</w:t>
      </w:r>
      <w:r>
        <w:fldChar w:fldCharType="end"/>
      </w:r>
      <w:r>
        <w:t>. VCF Automation in Integrated vs Non-Integrated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6462"/>
        <w:gridCol w:w="1619"/>
        <w:gridCol w:w="1879"/>
      </w:tblGrid>
      <w:tr w:rsidR="0010752C" w14:paraId="3F5A2190" w14:textId="77777777">
        <w:trPr>
          <w:cantSplit/>
          <w:tblHeader/>
        </w:trPr>
        <w:tc>
          <w:tcPr>
            <w:tcW w:w="0" w:type="auto"/>
            <w:tcBorders>
              <w:left w:val="nil"/>
              <w:right w:val="nil"/>
            </w:tcBorders>
            <w:shd w:val="clear" w:color="auto" w:fill="E1E1E1"/>
            <w:tcMar>
              <w:top w:w="60" w:type="dxa"/>
              <w:bottom w:w="60" w:type="dxa"/>
            </w:tcMar>
          </w:tcPr>
          <w:p w14:paraId="5035781B" w14:textId="77777777" w:rsidR="0010752C" w:rsidRDefault="00000000">
            <w:pPr>
              <w:pStyle w:val="TableHeaderText"/>
            </w:pPr>
            <w:r>
              <w:t>Feature</w:t>
            </w:r>
          </w:p>
        </w:tc>
        <w:tc>
          <w:tcPr>
            <w:tcW w:w="0" w:type="auto"/>
            <w:tcBorders>
              <w:left w:val="nil"/>
              <w:right w:val="nil"/>
            </w:tcBorders>
            <w:shd w:val="clear" w:color="auto" w:fill="E1E1E1"/>
            <w:tcMar>
              <w:top w:w="60" w:type="dxa"/>
              <w:bottom w:w="60" w:type="dxa"/>
            </w:tcMar>
          </w:tcPr>
          <w:p w14:paraId="2E4D9148" w14:textId="77777777" w:rsidR="0010752C" w:rsidRDefault="00000000">
            <w:pPr>
              <w:pStyle w:val="TableHeaderText"/>
            </w:pPr>
            <w:r>
              <w:t>Integrated mode</w:t>
            </w:r>
          </w:p>
        </w:tc>
        <w:tc>
          <w:tcPr>
            <w:tcW w:w="0" w:type="auto"/>
            <w:tcBorders>
              <w:left w:val="nil"/>
              <w:right w:val="nil"/>
            </w:tcBorders>
            <w:shd w:val="clear" w:color="auto" w:fill="E1E1E1"/>
            <w:tcMar>
              <w:top w:w="60" w:type="dxa"/>
              <w:bottom w:w="60" w:type="dxa"/>
            </w:tcMar>
          </w:tcPr>
          <w:p w14:paraId="70CB3917" w14:textId="77777777" w:rsidR="0010752C" w:rsidRDefault="00000000">
            <w:pPr>
              <w:pStyle w:val="TableHeaderText"/>
            </w:pPr>
            <w:r>
              <w:t>Non-integrated mode</w:t>
            </w:r>
          </w:p>
        </w:tc>
      </w:tr>
      <w:tr w:rsidR="0010752C" w14:paraId="3147E5F2" w14:textId="77777777">
        <w:tblPrEx>
          <w:tblBorders>
            <w:top w:val="nil"/>
          </w:tblBorders>
        </w:tblPrEx>
        <w:trPr>
          <w:cantSplit/>
        </w:trPr>
        <w:tc>
          <w:tcPr>
            <w:tcW w:w="0" w:type="auto"/>
            <w:tcBorders>
              <w:left w:val="nil"/>
              <w:right w:val="nil"/>
            </w:tcBorders>
          </w:tcPr>
          <w:p w14:paraId="7FC6750A" w14:textId="77777777" w:rsidR="0010752C" w:rsidRDefault="00000000">
            <w:pPr>
              <w:pStyle w:val="TableBodyText"/>
            </w:pPr>
            <w:r>
              <w:t>Perform certificate and password management for VCF Automation using the VCF Operations UI</w:t>
            </w:r>
          </w:p>
        </w:tc>
        <w:tc>
          <w:tcPr>
            <w:tcW w:w="0" w:type="auto"/>
            <w:tcBorders>
              <w:left w:val="nil"/>
              <w:right w:val="nil"/>
            </w:tcBorders>
          </w:tcPr>
          <w:p w14:paraId="7B84F7C4" w14:textId="77777777" w:rsidR="0010752C" w:rsidRDefault="00000000">
            <w:pPr>
              <w:pStyle w:val="TableBodyText"/>
            </w:pPr>
            <w:r>
              <w:t>Available</w:t>
            </w:r>
          </w:p>
        </w:tc>
        <w:tc>
          <w:tcPr>
            <w:tcW w:w="0" w:type="auto"/>
            <w:tcBorders>
              <w:left w:val="nil"/>
              <w:right w:val="nil"/>
            </w:tcBorders>
          </w:tcPr>
          <w:p w14:paraId="37221337" w14:textId="77777777" w:rsidR="0010752C" w:rsidRDefault="00000000">
            <w:pPr>
              <w:pStyle w:val="TableBodyText"/>
            </w:pPr>
            <w:r>
              <w:t>Not available</w:t>
            </w:r>
          </w:p>
        </w:tc>
      </w:tr>
      <w:tr w:rsidR="0010752C" w14:paraId="2E4A87A3" w14:textId="77777777">
        <w:tblPrEx>
          <w:tblBorders>
            <w:top w:val="nil"/>
          </w:tblBorders>
        </w:tblPrEx>
        <w:trPr>
          <w:cantSplit/>
        </w:trPr>
        <w:tc>
          <w:tcPr>
            <w:tcW w:w="0" w:type="auto"/>
            <w:tcBorders>
              <w:left w:val="nil"/>
              <w:right w:val="nil"/>
            </w:tcBorders>
          </w:tcPr>
          <w:p w14:paraId="2E4D3AE6" w14:textId="77777777" w:rsidR="0010752C" w:rsidRDefault="00000000">
            <w:pPr>
              <w:pStyle w:val="TableBodyText"/>
            </w:pPr>
            <w:r>
              <w:t>Integrate VCF Automation with VCF SSO using VCF Operations</w:t>
            </w:r>
          </w:p>
        </w:tc>
        <w:tc>
          <w:tcPr>
            <w:tcW w:w="0" w:type="auto"/>
            <w:tcBorders>
              <w:left w:val="nil"/>
              <w:right w:val="nil"/>
            </w:tcBorders>
          </w:tcPr>
          <w:p w14:paraId="63D9560E" w14:textId="77777777" w:rsidR="0010752C" w:rsidRDefault="00000000">
            <w:pPr>
              <w:pStyle w:val="TableBodyText"/>
            </w:pPr>
            <w:r>
              <w:t>Available</w:t>
            </w:r>
          </w:p>
        </w:tc>
        <w:tc>
          <w:tcPr>
            <w:tcW w:w="0" w:type="auto"/>
            <w:tcBorders>
              <w:left w:val="nil"/>
              <w:right w:val="nil"/>
            </w:tcBorders>
          </w:tcPr>
          <w:p w14:paraId="23C74263" w14:textId="77777777" w:rsidR="0010752C" w:rsidRDefault="00000000">
            <w:pPr>
              <w:pStyle w:val="TableBodyText"/>
            </w:pPr>
            <w:r>
              <w:t>Not available</w:t>
            </w:r>
          </w:p>
        </w:tc>
      </w:tr>
      <w:tr w:rsidR="0010752C" w14:paraId="17DE117D" w14:textId="77777777">
        <w:tblPrEx>
          <w:tblBorders>
            <w:top w:val="nil"/>
          </w:tblBorders>
        </w:tblPrEx>
        <w:trPr>
          <w:cantSplit/>
        </w:trPr>
        <w:tc>
          <w:tcPr>
            <w:tcW w:w="0" w:type="auto"/>
            <w:tcBorders>
              <w:left w:val="nil"/>
              <w:right w:val="nil"/>
            </w:tcBorders>
          </w:tcPr>
          <w:p w14:paraId="7C42507A" w14:textId="77777777" w:rsidR="0010752C" w:rsidRDefault="00000000">
            <w:pPr>
              <w:pStyle w:val="TableBodyText"/>
            </w:pPr>
            <w:r>
              <w:t>Perform all Day-N operations for VCF Automation such as backup and restore, NTP changes, Power on and off.</w:t>
            </w:r>
          </w:p>
        </w:tc>
        <w:tc>
          <w:tcPr>
            <w:tcW w:w="0" w:type="auto"/>
            <w:tcBorders>
              <w:left w:val="nil"/>
              <w:right w:val="nil"/>
            </w:tcBorders>
          </w:tcPr>
          <w:p w14:paraId="1716577A" w14:textId="77777777" w:rsidR="0010752C" w:rsidRDefault="00000000">
            <w:pPr>
              <w:pStyle w:val="TableBodyText"/>
            </w:pPr>
            <w:r>
              <w:t>Available</w:t>
            </w:r>
          </w:p>
        </w:tc>
        <w:tc>
          <w:tcPr>
            <w:tcW w:w="0" w:type="auto"/>
            <w:tcBorders>
              <w:left w:val="nil"/>
              <w:right w:val="nil"/>
            </w:tcBorders>
          </w:tcPr>
          <w:p w14:paraId="4F26A03D" w14:textId="77777777" w:rsidR="0010752C" w:rsidRDefault="00000000">
            <w:pPr>
              <w:pStyle w:val="TableBodyText"/>
            </w:pPr>
            <w:r>
              <w:t>Available</w:t>
            </w:r>
          </w:p>
        </w:tc>
      </w:tr>
      <w:tr w:rsidR="0010752C" w14:paraId="67D04E13" w14:textId="77777777">
        <w:tblPrEx>
          <w:tblBorders>
            <w:top w:val="nil"/>
          </w:tblBorders>
        </w:tblPrEx>
        <w:trPr>
          <w:cantSplit/>
        </w:trPr>
        <w:tc>
          <w:tcPr>
            <w:tcW w:w="0" w:type="auto"/>
            <w:tcBorders>
              <w:left w:val="nil"/>
              <w:right w:val="nil"/>
            </w:tcBorders>
          </w:tcPr>
          <w:p w14:paraId="3D51AD45" w14:textId="77777777" w:rsidR="0010752C" w:rsidRDefault="00000000">
            <w:pPr>
              <w:pStyle w:val="TableBodyText"/>
            </w:pPr>
            <w:r>
              <w:t>Ability to push service accounts and capabilities from VCF Automation to VCF Operations</w:t>
            </w:r>
          </w:p>
        </w:tc>
        <w:tc>
          <w:tcPr>
            <w:tcW w:w="0" w:type="auto"/>
            <w:tcBorders>
              <w:left w:val="nil"/>
              <w:right w:val="nil"/>
            </w:tcBorders>
          </w:tcPr>
          <w:p w14:paraId="01710723" w14:textId="77777777" w:rsidR="0010752C" w:rsidRDefault="00000000">
            <w:pPr>
              <w:pStyle w:val="TableBodyText"/>
            </w:pPr>
            <w:r>
              <w:t>Available</w:t>
            </w:r>
          </w:p>
        </w:tc>
        <w:tc>
          <w:tcPr>
            <w:tcW w:w="0" w:type="auto"/>
            <w:tcBorders>
              <w:left w:val="nil"/>
              <w:right w:val="nil"/>
            </w:tcBorders>
          </w:tcPr>
          <w:p w14:paraId="682B7FBC" w14:textId="77777777" w:rsidR="0010752C" w:rsidRDefault="00000000">
            <w:pPr>
              <w:pStyle w:val="TableBodyText"/>
            </w:pPr>
            <w:r>
              <w:t>Not available</w:t>
            </w:r>
          </w:p>
        </w:tc>
      </w:tr>
      <w:tr w:rsidR="0010752C" w14:paraId="5C0DA935" w14:textId="77777777">
        <w:tblPrEx>
          <w:tblBorders>
            <w:top w:val="nil"/>
          </w:tblBorders>
        </w:tblPrEx>
        <w:trPr>
          <w:cantSplit/>
        </w:trPr>
        <w:tc>
          <w:tcPr>
            <w:tcW w:w="0" w:type="auto"/>
            <w:tcBorders>
              <w:left w:val="nil"/>
              <w:right w:val="nil"/>
            </w:tcBorders>
          </w:tcPr>
          <w:p w14:paraId="3D502118" w14:textId="77777777" w:rsidR="0010752C" w:rsidRDefault="00000000">
            <w:pPr>
              <w:pStyle w:val="TableBodyText"/>
            </w:pPr>
            <w:r>
              <w:t>Integration of VCF Automation with VCF Operations for Logs</w:t>
            </w:r>
          </w:p>
        </w:tc>
        <w:tc>
          <w:tcPr>
            <w:tcW w:w="0" w:type="auto"/>
            <w:tcBorders>
              <w:left w:val="nil"/>
              <w:right w:val="nil"/>
            </w:tcBorders>
          </w:tcPr>
          <w:p w14:paraId="461268AA" w14:textId="77777777" w:rsidR="0010752C" w:rsidRDefault="00000000">
            <w:pPr>
              <w:pStyle w:val="TableBodyText"/>
            </w:pPr>
            <w:r>
              <w:t>Available</w:t>
            </w:r>
          </w:p>
        </w:tc>
        <w:tc>
          <w:tcPr>
            <w:tcW w:w="0" w:type="auto"/>
            <w:tcBorders>
              <w:left w:val="nil"/>
              <w:right w:val="nil"/>
            </w:tcBorders>
          </w:tcPr>
          <w:p w14:paraId="4B461E85" w14:textId="77777777" w:rsidR="0010752C" w:rsidRDefault="00000000">
            <w:pPr>
              <w:pStyle w:val="TableBodyText"/>
            </w:pPr>
            <w:r>
              <w:t>Not available</w:t>
            </w:r>
          </w:p>
        </w:tc>
      </w:tr>
    </w:tbl>
    <w:p w14:paraId="13214EBE" w14:textId="77777777" w:rsidR="0010752C" w:rsidRDefault="00000000">
      <w:pPr>
        <w:pStyle w:val="BodyText"/>
        <w:spacing w:before="240"/>
      </w:pPr>
      <w:r>
        <w:t>For example, if you have production, development, and testing instances of VCF Automation , you might choose to deploy the production instance in integrated mode first, then deploy development or testing instances in non-integrated mode.</w:t>
      </w:r>
    </w:p>
    <w:p w14:paraId="7FD6857E" w14:textId="77777777" w:rsidR="0010752C" w:rsidRDefault="00000000">
      <w:pPr>
        <w:pStyle w:val="BodyText"/>
        <w:pBdr>
          <w:top w:val="single" w:sz="8" w:space="2" w:color="D3D3D3"/>
          <w:bottom w:val="single" w:sz="8" w:space="2" w:color="D3D3D3"/>
        </w:pBdr>
      </w:pPr>
      <w:r>
        <w:rPr>
          <w:rStyle w:val="NoteLeadernote"/>
        </w:rPr>
        <w:t>Note</w:t>
      </w:r>
      <w:r>
        <w:rPr>
          <w:rStyle w:val="NoteLeadernote"/>
        </w:rPr>
        <w:tab/>
      </w:r>
      <w:r>
        <w:t>If the first deployment is in the drafted or failed state when a second deployment is triggered, the second deployment will always be a non-integrated component.</w:t>
      </w:r>
    </w:p>
    <w:p w14:paraId="63CC34FF" w14:textId="77777777" w:rsidR="0010752C" w:rsidRDefault="00000000">
      <w:pPr>
        <w:pStyle w:val="BodyText"/>
      </w:pPr>
      <w:r>
        <w:t>To add non-integrated VCF Automation instances, perform the following steps.</w:t>
      </w:r>
    </w:p>
    <w:p w14:paraId="2C1A0F27" w14:textId="77777777" w:rsidR="0010752C" w:rsidRDefault="00000000">
      <w:pPr>
        <w:pStyle w:val="BodyText"/>
      </w:pPr>
      <w:r>
        <w:rPr>
          <w:rStyle w:val="Strong"/>
        </w:rPr>
        <w:t>Prerequisites</w:t>
      </w:r>
    </w:p>
    <w:p w14:paraId="7EC40FF3" w14:textId="77777777" w:rsidR="0010752C" w:rsidRDefault="00000000">
      <w:pPr>
        <w:pStyle w:val="BodyText"/>
        <w:numPr>
          <w:ilvl w:val="0"/>
          <w:numId w:val="9"/>
        </w:numPr>
      </w:pPr>
      <w:r>
        <w:lastRenderedPageBreak/>
        <w:t>Download the install binaries for VCF Automation from Binary Management. See Downloading VCF management components.</w:t>
      </w:r>
    </w:p>
    <w:p w14:paraId="42A4D3BD" w14:textId="77777777" w:rsidR="0010752C" w:rsidRDefault="00000000">
      <w:pPr>
        <w:pStyle w:val="BodyText"/>
        <w:numPr>
          <w:ilvl w:val="0"/>
          <w:numId w:val="9"/>
        </w:numPr>
      </w:pPr>
      <w:r>
        <w:t>Verify that you have an existing VCF fleet.</w:t>
      </w:r>
    </w:p>
    <w:p w14:paraId="485BDA3E" w14:textId="77777777" w:rsidR="0010752C" w:rsidRDefault="00000000">
      <w:pPr>
        <w:pStyle w:val="BodyText"/>
      </w:pPr>
      <w:r>
        <w:rPr>
          <w:rStyle w:val="Strong"/>
        </w:rPr>
        <w:t>Procedure</w:t>
      </w:r>
    </w:p>
    <w:p w14:paraId="06D05B89" w14:textId="77777777" w:rsidR="0010752C" w:rsidRDefault="00000000">
      <w:pPr>
        <w:pStyle w:val="BodyText"/>
        <w:numPr>
          <w:ilvl w:val="0"/>
          <w:numId w:val="10"/>
        </w:numPr>
      </w:pPr>
      <w:r>
        <w:t xml:space="preserve">On the </w:t>
      </w:r>
      <w:r>
        <w:rPr>
          <w:rStyle w:val="InlineUI"/>
        </w:rPr>
        <w:t>Overview</w:t>
      </w:r>
      <w:r>
        <w:t xml:space="preserve"> tab, click </w:t>
      </w:r>
      <w:r>
        <w:rPr>
          <w:rStyle w:val="InlineUI"/>
        </w:rPr>
        <w:t>ADD</w:t>
      </w:r>
      <w:r>
        <w:t xml:space="preserve"> to deploy VCF Automation .</w:t>
      </w:r>
    </w:p>
    <w:p w14:paraId="0254568A" w14:textId="77777777" w:rsidR="0010752C" w:rsidRDefault="00000000">
      <w:pPr>
        <w:pStyle w:val="BodyText"/>
        <w:numPr>
          <w:ilvl w:val="0"/>
          <w:numId w:val="10"/>
        </w:numPr>
      </w:pPr>
      <w:r>
        <w:t>Select the options for your deployment.</w:t>
      </w:r>
    </w:p>
    <w:p w14:paraId="78888F59" w14:textId="77777777" w:rsidR="0010752C" w:rsidRDefault="00000000">
      <w:pPr>
        <w:pStyle w:val="BodyText"/>
        <w:numPr>
          <w:ilvl w:val="1"/>
          <w:numId w:val="10"/>
        </w:numPr>
      </w:pPr>
      <w:r>
        <w:t>Installation type</w:t>
      </w:r>
    </w:p>
    <w:tbl>
      <w:tblPr>
        <w:tblW w:w="0" w:type="auto"/>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543"/>
        <w:gridCol w:w="6457"/>
      </w:tblGrid>
      <w:tr w:rsidR="0010752C" w14:paraId="02E0B5F3" w14:textId="77777777">
        <w:trPr>
          <w:cantSplit/>
        </w:trPr>
        <w:tc>
          <w:tcPr>
            <w:tcW w:w="0" w:type="auto"/>
            <w:tcBorders>
              <w:left w:val="nil"/>
              <w:right w:val="nil"/>
            </w:tcBorders>
          </w:tcPr>
          <w:p w14:paraId="29F03169" w14:textId="77777777" w:rsidR="0010752C" w:rsidRDefault="00000000">
            <w:pPr>
              <w:pStyle w:val="TableBodyText"/>
            </w:pPr>
            <w:r>
              <w:rPr>
                <w:rStyle w:val="InlineUI"/>
              </w:rPr>
              <w:t>NEW</w:t>
            </w:r>
          </w:p>
        </w:tc>
        <w:tc>
          <w:tcPr>
            <w:tcW w:w="0" w:type="auto"/>
            <w:tcBorders>
              <w:left w:val="nil"/>
              <w:right w:val="nil"/>
            </w:tcBorders>
          </w:tcPr>
          <w:p w14:paraId="7EA45F15" w14:textId="77777777" w:rsidR="0010752C" w:rsidRDefault="00000000">
            <w:pPr>
              <w:pStyle w:val="TableBodyText"/>
            </w:pPr>
            <w:r>
              <w:t>Deploys a new component. If selected, you will be able to choose a different profile for the deployment.</w:t>
            </w:r>
          </w:p>
        </w:tc>
      </w:tr>
      <w:tr w:rsidR="0010752C" w14:paraId="29BDAE07" w14:textId="77777777">
        <w:trPr>
          <w:cantSplit/>
        </w:trPr>
        <w:tc>
          <w:tcPr>
            <w:tcW w:w="0" w:type="auto"/>
            <w:tcBorders>
              <w:left w:val="nil"/>
              <w:right w:val="nil"/>
            </w:tcBorders>
          </w:tcPr>
          <w:p w14:paraId="01B0CE93" w14:textId="77777777" w:rsidR="0010752C" w:rsidRDefault="00000000">
            <w:pPr>
              <w:pStyle w:val="TableBodyText"/>
            </w:pPr>
            <w:r>
              <w:rPr>
                <w:rStyle w:val="InlineUI"/>
              </w:rPr>
              <w:t>IMPORT</w:t>
            </w:r>
          </w:p>
        </w:tc>
        <w:tc>
          <w:tcPr>
            <w:tcW w:w="0" w:type="auto"/>
            <w:tcBorders>
              <w:left w:val="nil"/>
              <w:right w:val="nil"/>
            </w:tcBorders>
          </w:tcPr>
          <w:p w14:paraId="76F17FB8" w14:textId="77777777" w:rsidR="0010752C" w:rsidRDefault="00000000">
            <w:pPr>
              <w:pStyle w:val="TableBodyText"/>
            </w:pPr>
            <w:r>
              <w:t>Import a component that was removed from fleet management appliance for troubleshooting purposes post deployment.</w:t>
            </w:r>
          </w:p>
        </w:tc>
      </w:tr>
      <w:tr w:rsidR="0010752C" w14:paraId="77C47F33" w14:textId="77777777">
        <w:trPr>
          <w:cantSplit/>
        </w:trPr>
        <w:tc>
          <w:tcPr>
            <w:tcW w:w="0" w:type="auto"/>
            <w:tcBorders>
              <w:left w:val="nil"/>
              <w:right w:val="nil"/>
            </w:tcBorders>
          </w:tcPr>
          <w:p w14:paraId="6CC9FC03" w14:textId="77777777" w:rsidR="0010752C" w:rsidRDefault="00000000">
            <w:pPr>
              <w:pStyle w:val="TableBodyText"/>
            </w:pPr>
            <w:r>
              <w:rPr>
                <w:rStyle w:val="InlineUI"/>
              </w:rPr>
              <w:t>IMPORT from Legacy Fleet Management</w:t>
            </w:r>
          </w:p>
        </w:tc>
        <w:tc>
          <w:tcPr>
            <w:tcW w:w="0" w:type="auto"/>
            <w:tcBorders>
              <w:left w:val="nil"/>
              <w:right w:val="nil"/>
            </w:tcBorders>
          </w:tcPr>
          <w:p w14:paraId="1BD5E525" w14:textId="77777777" w:rsidR="0010752C" w:rsidRDefault="00000000">
            <w:pPr>
              <w:pStyle w:val="TableBodyText"/>
            </w:pPr>
            <w:r>
              <w:t>Import a 8.x component from VMware Aria Suite Lifecycle , specifically for brownfield customers.</w:t>
            </w:r>
          </w:p>
        </w:tc>
      </w:tr>
    </w:tbl>
    <w:p w14:paraId="4850C1A9" w14:textId="77777777" w:rsidR="0010752C" w:rsidRDefault="00000000">
      <w:pPr>
        <w:pStyle w:val="BodyText"/>
        <w:numPr>
          <w:ilvl w:val="1"/>
          <w:numId w:val="10"/>
        </w:numPr>
        <w:spacing w:before="240"/>
      </w:pPr>
      <w:r>
        <w:t>Version: 9.0 (default)</w:t>
      </w:r>
    </w:p>
    <w:p w14:paraId="5D224D3B" w14:textId="77777777" w:rsidR="0010752C" w:rsidRDefault="00000000">
      <w:pPr>
        <w:pStyle w:val="BodyText"/>
        <w:numPr>
          <w:ilvl w:val="1"/>
          <w:numId w:val="10"/>
        </w:numPr>
      </w:pPr>
      <w:r>
        <w:t xml:space="preserve">Deployment Type: To choose the correct type, click </w:t>
      </w:r>
      <w:r>
        <w:rPr>
          <w:rStyle w:val="InlineUI"/>
        </w:rPr>
        <w:t>View Sizing Info</w:t>
      </w:r>
      <w:r>
        <w:t xml:space="preserve"> and review the compute nodes and resources that a Small, Medium, or Large deployment supports. See Sizing guidelines for VCF Automation.</w:t>
      </w:r>
    </w:p>
    <w:p w14:paraId="07F9AC4D" w14:textId="77777777" w:rsidR="0010752C" w:rsidRDefault="00000000">
      <w:pPr>
        <w:pStyle w:val="BodyText"/>
        <w:numPr>
          <w:ilvl w:val="0"/>
          <w:numId w:val="10"/>
        </w:numPr>
      </w:pPr>
      <w:r>
        <w:t xml:space="preserve">If you select NEW, click </w:t>
      </w:r>
      <w:r>
        <w:rPr>
          <w:rStyle w:val="InlineUI"/>
        </w:rPr>
        <w:t>+</w:t>
      </w:r>
      <w:r>
        <w:t xml:space="preserve"> to create a certificate:</w:t>
      </w:r>
    </w:p>
    <w:p w14:paraId="1053AD9D" w14:textId="77777777" w:rsidR="0010752C" w:rsidRDefault="00000000">
      <w:pPr>
        <w:pStyle w:val="BodyText"/>
        <w:numPr>
          <w:ilvl w:val="1"/>
          <w:numId w:val="10"/>
        </w:numPr>
      </w:pPr>
      <w:r>
        <w:t>Enter an FQDN</w:t>
      </w:r>
    </w:p>
    <w:p w14:paraId="753816E1" w14:textId="77777777" w:rsidR="0010752C" w:rsidRDefault="00000000">
      <w:pPr>
        <w:pStyle w:val="BodyText"/>
        <w:numPr>
          <w:ilvl w:val="1"/>
          <w:numId w:val="10"/>
        </w:numPr>
      </w:pPr>
      <w:r>
        <w:t>The Common Name and a Subject Alternative Name must include the FQDN</w:t>
      </w:r>
    </w:p>
    <w:p w14:paraId="03D2B472" w14:textId="77777777" w:rsidR="0010752C" w:rsidRDefault="00000000">
      <w:pPr>
        <w:pStyle w:val="BodyText"/>
        <w:numPr>
          <w:ilvl w:val="0"/>
          <w:numId w:val="10"/>
        </w:numPr>
      </w:pPr>
      <w:r>
        <w:t>Enter the Infrastructure properties.</w:t>
      </w:r>
    </w:p>
    <w:p w14:paraId="456132E2" w14:textId="77777777" w:rsidR="0010752C" w:rsidRDefault="00000000">
      <w:pPr>
        <w:pStyle w:val="BodyText"/>
        <w:numPr>
          <w:ilvl w:val="1"/>
          <w:numId w:val="10"/>
        </w:numPr>
      </w:pPr>
      <w:r>
        <w:t>For vCenter, select the Management Domain vCenter</w:t>
      </w:r>
    </w:p>
    <w:p w14:paraId="3CE9EE28" w14:textId="77777777" w:rsidR="0010752C" w:rsidRDefault="00000000">
      <w:pPr>
        <w:pStyle w:val="BodyText"/>
        <w:numPr>
          <w:ilvl w:val="1"/>
          <w:numId w:val="10"/>
        </w:numPr>
      </w:pPr>
      <w:r>
        <w:t>Enter information for the primary cluster.</w:t>
      </w:r>
    </w:p>
    <w:p w14:paraId="75623724" w14:textId="77777777" w:rsidR="0010752C" w:rsidRDefault="00000000">
      <w:pPr>
        <w:pStyle w:val="BodyText"/>
        <w:numPr>
          <w:ilvl w:val="2"/>
          <w:numId w:val="10"/>
        </w:numPr>
      </w:pPr>
      <w:r>
        <w:t>Cluster</w:t>
      </w:r>
    </w:p>
    <w:p w14:paraId="53EA4C46" w14:textId="77777777" w:rsidR="0010752C" w:rsidRDefault="00000000">
      <w:pPr>
        <w:pStyle w:val="BodyText"/>
        <w:numPr>
          <w:ilvl w:val="2"/>
          <w:numId w:val="10"/>
        </w:numPr>
      </w:pPr>
      <w:r>
        <w:t>Folder</w:t>
      </w:r>
    </w:p>
    <w:p w14:paraId="5E7CFE5B" w14:textId="77777777" w:rsidR="0010752C" w:rsidRDefault="00000000">
      <w:pPr>
        <w:pStyle w:val="BodyText"/>
        <w:numPr>
          <w:ilvl w:val="2"/>
          <w:numId w:val="10"/>
        </w:numPr>
      </w:pPr>
      <w:r>
        <w:t>Resource Pool</w:t>
      </w:r>
    </w:p>
    <w:p w14:paraId="7C36DC98" w14:textId="77777777" w:rsidR="0010752C" w:rsidRDefault="00000000">
      <w:pPr>
        <w:pStyle w:val="BodyText"/>
        <w:numPr>
          <w:ilvl w:val="2"/>
          <w:numId w:val="10"/>
        </w:numPr>
      </w:pPr>
      <w:r>
        <w:t>Network</w:t>
      </w:r>
    </w:p>
    <w:p w14:paraId="5FB9B6DE" w14:textId="77777777" w:rsidR="0010752C" w:rsidRDefault="00000000">
      <w:pPr>
        <w:pStyle w:val="BodyText"/>
        <w:numPr>
          <w:ilvl w:val="2"/>
          <w:numId w:val="10"/>
        </w:numPr>
      </w:pPr>
      <w:r>
        <w:t>Datastore</w:t>
      </w:r>
    </w:p>
    <w:p w14:paraId="72A94208" w14:textId="77777777" w:rsidR="0010752C" w:rsidRDefault="00000000">
      <w:pPr>
        <w:pStyle w:val="BodyText"/>
        <w:numPr>
          <w:ilvl w:val="0"/>
          <w:numId w:val="10"/>
        </w:numPr>
      </w:pPr>
      <w:r>
        <w:t>Enter the Network properties.</w:t>
      </w:r>
    </w:p>
    <w:p w14:paraId="62570F83" w14:textId="77777777" w:rsidR="0010752C" w:rsidRDefault="00000000">
      <w:pPr>
        <w:pStyle w:val="BodyText"/>
        <w:numPr>
          <w:ilvl w:val="1"/>
          <w:numId w:val="10"/>
        </w:numPr>
      </w:pPr>
      <w:r>
        <w:lastRenderedPageBreak/>
        <w:t>Domain Name: Top-level domain, such as example.com.</w:t>
      </w:r>
    </w:p>
    <w:p w14:paraId="40FAEFED" w14:textId="77777777" w:rsidR="0010752C" w:rsidRDefault="00000000">
      <w:pPr>
        <w:pStyle w:val="BodyText"/>
        <w:numPr>
          <w:ilvl w:val="1"/>
          <w:numId w:val="10"/>
        </w:numPr>
      </w:pPr>
      <w:r>
        <w:t>Domain Search Path: Top-level domain, such as example.com.</w:t>
      </w:r>
    </w:p>
    <w:p w14:paraId="75D3410B" w14:textId="77777777" w:rsidR="0010752C" w:rsidRDefault="00000000">
      <w:pPr>
        <w:pStyle w:val="BodyText"/>
        <w:numPr>
          <w:ilvl w:val="1"/>
          <w:numId w:val="10"/>
        </w:numPr>
      </w:pPr>
      <w:r>
        <w:t xml:space="preserve">DNS Servers: To select the DNS server that you want to configure VCF Automation with, click </w:t>
      </w:r>
      <w:r>
        <w:rPr>
          <w:rStyle w:val="InlineUI"/>
        </w:rPr>
        <w:t>Edit Server Selection</w:t>
      </w:r>
      <w:r>
        <w:t xml:space="preserve">. If the DNS server that you want is not available, click </w:t>
      </w:r>
      <w:r>
        <w:rPr>
          <w:rStyle w:val="InlineUI"/>
        </w:rPr>
        <w:t>Add New Server</w:t>
      </w:r>
      <w:r>
        <w:t xml:space="preserve"> to add and select it.</w:t>
      </w:r>
    </w:p>
    <w:p w14:paraId="44733D0E" w14:textId="77777777" w:rsidR="0010752C" w:rsidRDefault="00000000">
      <w:pPr>
        <w:pStyle w:val="BodyText"/>
        <w:numPr>
          <w:ilvl w:val="1"/>
          <w:numId w:val="10"/>
        </w:numPr>
      </w:pPr>
      <w:r>
        <w:t xml:space="preserve">NTP: To select the NTP server that you want to VCF Automation with, click </w:t>
      </w:r>
      <w:r>
        <w:rPr>
          <w:rStyle w:val="InlineUI"/>
        </w:rPr>
        <w:t>Edit Server Selection</w:t>
      </w:r>
      <w:r>
        <w:t xml:space="preserve">. If the NTP server that you want is not available, click </w:t>
      </w:r>
      <w:r>
        <w:rPr>
          <w:rStyle w:val="InlineUI"/>
        </w:rPr>
        <w:t>Add New Server</w:t>
      </w:r>
      <w:r>
        <w:t xml:space="preserve"> to add and select it.</w:t>
      </w:r>
    </w:p>
    <w:p w14:paraId="13FA17E2" w14:textId="77777777" w:rsidR="0010752C" w:rsidRDefault="00000000">
      <w:pPr>
        <w:pStyle w:val="BodyText"/>
        <w:numPr>
          <w:ilvl w:val="1"/>
          <w:numId w:val="10"/>
        </w:numPr>
      </w:pPr>
      <w:r>
        <w:t>IPv4 Details:</w:t>
      </w:r>
    </w:p>
    <w:p w14:paraId="7C72EBC0" w14:textId="77777777" w:rsidR="0010752C" w:rsidRDefault="00000000">
      <w:pPr>
        <w:pStyle w:val="BodyText"/>
        <w:numPr>
          <w:ilvl w:val="2"/>
          <w:numId w:val="10"/>
        </w:numPr>
      </w:pPr>
      <w:r>
        <w:t>IPv4 gateway: Default gateway of the network for VCF Automation to join.</w:t>
      </w:r>
    </w:p>
    <w:p w14:paraId="5FCB1CDC" w14:textId="77777777" w:rsidR="0010752C" w:rsidRDefault="00000000">
      <w:pPr>
        <w:pStyle w:val="BodyText"/>
        <w:numPr>
          <w:ilvl w:val="2"/>
          <w:numId w:val="10"/>
        </w:numPr>
      </w:pPr>
      <w:r>
        <w:t>IPv4 netmask: Netmask of the network for VCF Automation to join.</w:t>
      </w:r>
    </w:p>
    <w:p w14:paraId="0E1F045C" w14:textId="77777777" w:rsidR="0010752C" w:rsidRDefault="00000000">
      <w:pPr>
        <w:pStyle w:val="BodyText"/>
        <w:numPr>
          <w:ilvl w:val="0"/>
          <w:numId w:val="10"/>
        </w:numPr>
      </w:pPr>
      <w:r>
        <w:t>Enter the Component information.</w:t>
      </w:r>
    </w:p>
    <w:p w14:paraId="56F6E821" w14:textId="77777777" w:rsidR="0010752C" w:rsidRDefault="00000000">
      <w:pPr>
        <w:pStyle w:val="BodyText"/>
        <w:ind w:left="480"/>
      </w:pPr>
      <w:r>
        <w:t>Component Properties</w:t>
      </w:r>
    </w:p>
    <w:p w14:paraId="5934285B" w14:textId="77777777" w:rsidR="0010752C" w:rsidRDefault="00000000">
      <w:pPr>
        <w:pStyle w:val="BodyText"/>
        <w:numPr>
          <w:ilvl w:val="1"/>
          <w:numId w:val="10"/>
        </w:numPr>
      </w:pPr>
      <w:r>
        <w:t>FQDN -- Enter the component FQDN</w:t>
      </w:r>
    </w:p>
    <w:p w14:paraId="40FD1A41" w14:textId="77777777" w:rsidR="0010752C" w:rsidRDefault="00000000">
      <w:pPr>
        <w:pStyle w:val="BodyText"/>
        <w:numPr>
          <w:ilvl w:val="1"/>
          <w:numId w:val="10"/>
        </w:numPr>
      </w:pPr>
      <w:r>
        <w:t>Certificate is prepopulated with the value from the previously added or selected certificate.</w:t>
      </w:r>
    </w:p>
    <w:p w14:paraId="48E4F85E" w14:textId="77777777" w:rsidR="0010752C" w:rsidRDefault="00000000">
      <w:pPr>
        <w:pStyle w:val="BodyText"/>
        <w:ind w:left="960"/>
      </w:pPr>
      <w:r>
        <w:t xml:space="preserve">If you do not want to use the prepopulated certificate, click </w:t>
      </w:r>
      <w:r>
        <w:rPr>
          <w:rStyle w:val="InlineUI"/>
        </w:rPr>
        <w:t>Add Certificate</w:t>
      </w:r>
      <w:r>
        <w:t xml:space="preserve"> to create a new one.</w:t>
      </w:r>
    </w:p>
    <w:p w14:paraId="1319164D" w14:textId="77777777" w:rsidR="0010752C" w:rsidRDefault="00000000">
      <w:pPr>
        <w:pStyle w:val="BodyText"/>
        <w:numPr>
          <w:ilvl w:val="1"/>
          <w:numId w:val="10"/>
        </w:numPr>
      </w:pPr>
      <w:r>
        <w:t>Component Password -- Select one component password for two accounts:</w:t>
      </w:r>
    </w:p>
    <w:p w14:paraId="44794DE1" w14:textId="77777777" w:rsidR="0010752C" w:rsidRDefault="00000000">
      <w:pPr>
        <w:pStyle w:val="BodyText"/>
        <w:numPr>
          <w:ilvl w:val="2"/>
          <w:numId w:val="10"/>
        </w:numPr>
      </w:pPr>
      <w:r>
        <w:t>vmware-system-user</w:t>
      </w:r>
    </w:p>
    <w:p w14:paraId="7CAD9CA2" w14:textId="77777777" w:rsidR="0010752C" w:rsidRDefault="00000000">
      <w:pPr>
        <w:pStyle w:val="BodyText"/>
        <w:numPr>
          <w:ilvl w:val="2"/>
          <w:numId w:val="10"/>
        </w:numPr>
      </w:pPr>
      <w:r>
        <w:t>Provider's admin account</w:t>
      </w:r>
    </w:p>
    <w:p w14:paraId="2B5EE246" w14:textId="77777777" w:rsidR="0010752C" w:rsidRDefault="00000000">
      <w:pPr>
        <w:pStyle w:val="BodyText"/>
        <w:ind w:left="1680"/>
      </w:pPr>
      <w:r>
        <w:t xml:space="preserve">If you do not have a password, click </w:t>
      </w:r>
      <w:r>
        <w:rPr>
          <w:rStyle w:val="InlineUI"/>
        </w:rPr>
        <w:t>Add Password</w:t>
      </w:r>
      <w:r>
        <w:t xml:space="preserve"> to create a new one. Password must be a minimum of 15 characters.</w:t>
      </w:r>
    </w:p>
    <w:p w14:paraId="721B4ECD" w14:textId="77777777" w:rsidR="0010752C" w:rsidRDefault="00000000">
      <w:pPr>
        <w:pStyle w:val="BodyText"/>
        <w:ind w:left="1200"/>
      </w:pPr>
      <w:r>
        <w:t>Cluster VIP</w:t>
      </w:r>
    </w:p>
    <w:p w14:paraId="1CAAF13B" w14:textId="77777777" w:rsidR="0010752C" w:rsidRDefault="00000000">
      <w:pPr>
        <w:pStyle w:val="BodyText"/>
        <w:numPr>
          <w:ilvl w:val="1"/>
          <w:numId w:val="10"/>
        </w:numPr>
      </w:pPr>
      <w:r>
        <w:t>Choose internal or external load balancer:</w:t>
      </w:r>
    </w:p>
    <w:p w14:paraId="64F5277E" w14:textId="77777777" w:rsidR="0010752C" w:rsidRDefault="00000000">
      <w:pPr>
        <w:pStyle w:val="BodyText"/>
        <w:numPr>
          <w:ilvl w:val="2"/>
          <w:numId w:val="10"/>
        </w:numPr>
      </w:pPr>
      <w:r>
        <w:t>For internal load balancer, the FQDN should resolve to the primary VIP address.</w:t>
      </w:r>
    </w:p>
    <w:p w14:paraId="2BF8FC6B" w14:textId="77777777" w:rsidR="0010752C" w:rsidRDefault="00000000">
      <w:pPr>
        <w:pStyle w:val="BodyText"/>
        <w:numPr>
          <w:ilvl w:val="2"/>
          <w:numId w:val="10"/>
        </w:numPr>
      </w:pPr>
      <w:r>
        <w:t>For an external load balancer or others, the FQDN should resolve to the Virtual Server IP address of the load balancer.</w:t>
      </w:r>
    </w:p>
    <w:p w14:paraId="09F86114" w14:textId="77777777" w:rsidR="0010752C" w:rsidRDefault="00000000">
      <w:pPr>
        <w:pStyle w:val="BodyText"/>
        <w:ind w:left="1680"/>
      </w:pPr>
      <w:r>
        <w:t>Components</w:t>
      </w:r>
    </w:p>
    <w:p w14:paraId="18B0E554" w14:textId="77777777" w:rsidR="0010752C" w:rsidRDefault="00000000">
      <w:pPr>
        <w:pStyle w:val="BodyText"/>
        <w:numPr>
          <w:ilvl w:val="1"/>
          <w:numId w:val="10"/>
        </w:numPr>
      </w:pPr>
      <w:r>
        <w:t>VM Node Prefix</w:t>
      </w:r>
      <w:r>
        <w:rPr>
          <w:rStyle w:val="InlineBold"/>
        </w:rPr>
        <w:t>:</w:t>
      </w:r>
      <w:r>
        <w:t xml:space="preserve"> A unique identifier used to name component nodes. To avoid conflicts and maintain proper node identification within the cluster, ensure that the node prefix is unique.</w:t>
      </w:r>
    </w:p>
    <w:p w14:paraId="555A8FAC" w14:textId="77777777" w:rsidR="0010752C" w:rsidRDefault="00000000">
      <w:pPr>
        <w:pStyle w:val="BodyText"/>
        <w:numPr>
          <w:ilvl w:val="1"/>
          <w:numId w:val="10"/>
        </w:numPr>
      </w:pPr>
      <w:r>
        <w:t>Internal Cluster CIDR</w:t>
      </w:r>
      <w:r>
        <w:rPr>
          <w:rStyle w:val="InlineBold"/>
        </w:rPr>
        <w:t>:</w:t>
      </w:r>
      <w:r>
        <w:t xml:space="preserve"> IP Address range used for internal cluster communication within the cluster. Choose a range that does not conflict with existing networks in infrastructure</w:t>
      </w:r>
    </w:p>
    <w:p w14:paraId="0E469041" w14:textId="77777777" w:rsidR="0010752C" w:rsidRDefault="00000000">
      <w:pPr>
        <w:pStyle w:val="BodyText"/>
        <w:numPr>
          <w:ilvl w:val="1"/>
          <w:numId w:val="10"/>
        </w:numPr>
      </w:pPr>
      <w:r>
        <w:lastRenderedPageBreak/>
        <w:t>Primary VIP: The Primary Virtual IP Address is used for accessing component services</w:t>
      </w:r>
      <w:r>
        <w:rPr>
          <w:noProof/>
        </w:rPr>
        <w:drawing>
          <wp:inline distT="0" distB="0" distL="0" distR="0" wp14:anchorId="3E8BFFD9" wp14:editId="1BE2ECFE">
            <wp:extent cx="3657143" cy="761905"/>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12"/>
                    <a:stretch>
                      <a:fillRect/>
                    </a:stretch>
                  </pic:blipFill>
                  <pic:spPr>
                    <a:xfrm>
                      <a:off x="0" y="0"/>
                      <a:ext cx="3657143" cy="761905"/>
                    </a:xfrm>
                    <a:prstGeom prst="rect">
                      <a:avLst/>
                    </a:prstGeom>
                  </pic:spPr>
                </pic:pic>
              </a:graphicData>
            </a:graphic>
          </wp:inline>
        </w:drawing>
      </w:r>
      <w:r>
        <w:rPr>
          <w:noProof/>
        </w:rPr>
        <w:drawing>
          <wp:inline distT="0" distB="0" distL="0" distR="0" wp14:anchorId="6BAA98D9" wp14:editId="0AB6AF1A">
            <wp:extent cx="3657143" cy="1676191"/>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r:embed="rId13"/>
                    <a:stretch>
                      <a:fillRect/>
                    </a:stretch>
                  </pic:blipFill>
                  <pic:spPr>
                    <a:xfrm>
                      <a:off x="0" y="0"/>
                      <a:ext cx="3657143" cy="1676191"/>
                    </a:xfrm>
                    <a:prstGeom prst="rect">
                      <a:avLst/>
                    </a:prstGeom>
                  </pic:spPr>
                </pic:pic>
              </a:graphicData>
            </a:graphic>
          </wp:inline>
        </w:drawing>
      </w:r>
    </w:p>
    <w:p w14:paraId="4418CE20" w14:textId="77777777" w:rsidR="0010752C" w:rsidRDefault="00000000">
      <w:pPr>
        <w:pStyle w:val="FigureTitle"/>
        <w:numPr>
          <w:ilvl w:val="2"/>
          <w:numId w:val="10"/>
        </w:numPr>
      </w:pPr>
      <w:r>
        <w:t xml:space="preserve">Figure </w:t>
      </w:r>
      <w:fldSimple w:instr=" STYLEREF  &quot;Heading 1&quot; \n \* MERGEFORMAT">
        <w:r>
          <w:t>2</w:t>
        </w:r>
      </w:fldSimple>
      <w:r>
        <w:t>-</w:t>
      </w:r>
      <w:r>
        <w:fldChar w:fldCharType="begin"/>
      </w:r>
      <w:r>
        <w:instrText xml:space="preserve"> SEQ  Figure \* Arabic</w:instrText>
      </w:r>
      <w:r>
        <w:fldChar w:fldCharType="separate"/>
      </w:r>
      <w:r>
        <w:t>1</w:t>
      </w:r>
      <w:r>
        <w:fldChar w:fldCharType="end"/>
      </w:r>
      <w:r>
        <w:t>. Primary VIP if using internal load balancer</w:t>
      </w:r>
    </w:p>
    <w:p w14:paraId="06A88A87" w14:textId="77777777" w:rsidR="0010752C" w:rsidRDefault="00000000">
      <w:pPr>
        <w:pStyle w:val="FigureTitle"/>
        <w:numPr>
          <w:ilvl w:val="2"/>
          <w:numId w:val="10"/>
        </w:numPr>
      </w:pPr>
      <w:r>
        <w:t xml:space="preserve">Figure </w:t>
      </w:r>
      <w:fldSimple w:instr=" STYLEREF  &quot;Heading 1&quot; \n \* MERGEFORMAT">
        <w:r>
          <w:t>2</w:t>
        </w:r>
      </w:fldSimple>
      <w:r>
        <w:t>-</w:t>
      </w:r>
      <w:r>
        <w:fldChar w:fldCharType="begin"/>
      </w:r>
      <w:r>
        <w:instrText xml:space="preserve"> SEQ  Figure \* Arabic</w:instrText>
      </w:r>
      <w:r>
        <w:fldChar w:fldCharType="separate"/>
      </w:r>
      <w:r>
        <w:t>2</w:t>
      </w:r>
      <w:r>
        <w:fldChar w:fldCharType="end"/>
      </w:r>
      <w:r>
        <w:t>. Primary VIP if using external load balancer</w:t>
      </w:r>
    </w:p>
    <w:p w14:paraId="0AD71BE9" w14:textId="77777777" w:rsidR="0010752C" w:rsidRDefault="00000000">
      <w:pPr>
        <w:pStyle w:val="BodyText"/>
        <w:numPr>
          <w:ilvl w:val="1"/>
          <w:numId w:val="10"/>
        </w:numPr>
      </w:pPr>
      <w:r>
        <w:t>Additional VIP's</w:t>
      </w:r>
      <w:r>
        <w:rPr>
          <w:rStyle w:val="InlineBold"/>
        </w:rPr>
        <w:t>:</w:t>
      </w:r>
      <w:r>
        <w:t xml:space="preserve"> This is optional. Depending on the small, medium, or large deployment type, you may add up to two additional VIPs.</w:t>
      </w:r>
    </w:p>
    <w:p w14:paraId="79567C54" w14:textId="77777777" w:rsidR="0010752C" w:rsidRDefault="00000000">
      <w:pPr>
        <w:pStyle w:val="BodyText"/>
        <w:numPr>
          <w:ilvl w:val="1"/>
          <w:numId w:val="10"/>
        </w:numPr>
      </w:pPr>
      <w:r>
        <w:t>VM Node Prefix: Unique identifier used to name component nodes. Ensure this prefix is distinct for a cluster to avoid conflicts and maintain proper node identification</w:t>
      </w:r>
    </w:p>
    <w:p w14:paraId="05EC95AF" w14:textId="77777777" w:rsidR="0010752C" w:rsidRDefault="00000000">
      <w:pPr>
        <w:pStyle w:val="BodyText"/>
        <w:numPr>
          <w:ilvl w:val="1"/>
          <w:numId w:val="10"/>
        </w:numPr>
      </w:pPr>
      <w:r>
        <w:t>Cluster Node IP Pool</w:t>
      </w:r>
      <w:r>
        <w:rPr>
          <w:rStyle w:val="InlineBold"/>
        </w:rPr>
        <w:t>:</w:t>
      </w:r>
      <w:r>
        <w:t xml:space="preserve"> The Node IP Pool is a range of IP addresses allocated to cluster nodes. These IP's ensure that each node has a unique address for internal communication within the cluster. Additional IP's from the pool will be used during rolling cluster upgrades. The pool must contain a minimum of four IP addresses.</w:t>
      </w:r>
    </w:p>
    <w:p w14:paraId="60371517" w14:textId="77777777" w:rsidR="0010752C" w:rsidRDefault="00000000">
      <w:pPr>
        <w:pStyle w:val="BodyText"/>
        <w:numPr>
          <w:ilvl w:val="0"/>
          <w:numId w:val="10"/>
        </w:numPr>
      </w:pPr>
      <w:r>
        <w:t xml:space="preserve">Precheck: Click </w:t>
      </w:r>
      <w:r>
        <w:rPr>
          <w:rStyle w:val="InlineUI"/>
        </w:rPr>
        <w:t>Run Precheck</w:t>
      </w:r>
      <w:r>
        <w:t>.</w:t>
      </w:r>
    </w:p>
    <w:p w14:paraId="3C310E3D" w14:textId="77777777" w:rsidR="0010752C" w:rsidRDefault="00000000">
      <w:pPr>
        <w:pStyle w:val="BodyText"/>
        <w:numPr>
          <w:ilvl w:val="0"/>
          <w:numId w:val="10"/>
        </w:numPr>
      </w:pPr>
      <w:r>
        <w:t xml:space="preserve">Summary: To trigger the deployment after reviewing the summary, click </w:t>
      </w:r>
      <w:r>
        <w:rPr>
          <w:rStyle w:val="InlineUI"/>
        </w:rPr>
        <w:t>Submit</w:t>
      </w:r>
      <w:r>
        <w:t>.</w:t>
      </w:r>
    </w:p>
    <w:p w14:paraId="40FC0FCE" w14:textId="77777777" w:rsidR="0010752C" w:rsidRDefault="00000000">
      <w:pPr>
        <w:pStyle w:val="Heading1"/>
      </w:pPr>
      <w:bookmarkStart w:id="7" w:name="_Toc256000019"/>
      <w:r>
        <w:lastRenderedPageBreak/>
        <w:t>References</w:t>
      </w:r>
      <w:bookmarkEnd w:id="7"/>
    </w:p>
    <w:p w14:paraId="20F71CEB" w14:textId="77777777" w:rsidR="0010752C" w:rsidRDefault="00000000">
      <w:pPr>
        <w:pStyle w:val="BodyText"/>
      </w:pPr>
      <w:r>
        <w:t>The following section lists the documentation resources which were used for this document.</w:t>
      </w:r>
    </w:p>
    <w:p w14:paraId="431D16FF" w14:textId="77777777" w:rsidR="0010752C" w:rsidRDefault="00000000">
      <w:pPr>
        <w:pStyle w:val="Heading2"/>
      </w:pPr>
      <w:bookmarkStart w:id="8" w:name="_Toc256000020"/>
      <w:r>
        <w:t>References</w:t>
      </w:r>
      <w:bookmarkEnd w:id="8"/>
    </w:p>
    <w:p w14:paraId="4E08143F" w14:textId="77777777" w:rsidR="0010752C" w:rsidRDefault="00000000">
      <w:pPr>
        <w:pStyle w:val="BodyText"/>
      </w:pPr>
      <w:r>
        <w:t>For more information, see the following supplemental configuration and administration guides, white papers and best practices documents.</w:t>
      </w:r>
    </w:p>
    <w:p w14:paraId="26FD8609" w14:textId="77777777" w:rsidR="0010752C" w:rsidRDefault="00000000">
      <w:pPr>
        <w:pStyle w:val="SectionHeading3"/>
      </w:pPr>
      <w:r>
        <w:t>VMware Pro Cloud Services for Private Cloud Solution References</w:t>
      </w:r>
    </w:p>
    <w:p w14:paraId="670BD63E" w14:textId="77777777" w:rsidR="0010752C" w:rsidRDefault="00000000">
      <w:pPr>
        <w:pStyle w:val="BodyText"/>
        <w:pBdr>
          <w:top w:val="single" w:sz="8" w:space="2" w:color="D3D3D3"/>
          <w:bottom w:val="single" w:sz="8" w:space="2" w:color="D3D3D3"/>
        </w:pBdr>
      </w:pPr>
      <w:r>
        <w:t>Remember</w:t>
      </w:r>
      <w:r>
        <w:tab/>
        <w:t>Refine or add any additional links to product documentation</w:t>
      </w:r>
    </w:p>
    <w:p w14:paraId="4C26F398" w14:textId="77777777" w:rsidR="0010752C" w:rsidRDefault="00000000">
      <w:pPr>
        <w:pStyle w:val="BodyText"/>
      </w:pPr>
      <w:r>
        <w:t>See the VMware Cloud Foundation Documentation (</w:t>
      </w:r>
      <w:hyperlink r:id="rId14" w:tooltip="https://techdocs.broadcom.com/us/en/vmware-cis/vcf/vcf-9-0-and-later/9-0.html" w:history="1">
        <w:r>
          <w:rPr>
            <w:color w:val="0000FF"/>
            <w:u w:val="single"/>
          </w:rPr>
          <w:t>https://techdocs.broadcom.com/us/en/vmware-cis/vcf/vcf-9-0-and-later/9-0.html</w:t>
        </w:r>
      </w:hyperlink>
      <w:r>
        <w:t>) for product documentation for Cloud Foundation.</w:t>
      </w:r>
    </w:p>
    <w:p w14:paraId="0D5BFDB7" w14:textId="77777777" w:rsidR="0010752C" w:rsidRDefault="00000000">
      <w:pPr>
        <w:pStyle w:val="BodyText"/>
      </w:pPr>
      <w:r>
        <w:t>The information is arranged by topics that include the following:</w:t>
      </w:r>
    </w:p>
    <w:p w14:paraId="1D2113C0" w14:textId="77777777" w:rsidR="0010752C" w:rsidRDefault="00000000">
      <w:pPr>
        <w:pStyle w:val="BodyText"/>
        <w:numPr>
          <w:ilvl w:val="0"/>
          <w:numId w:val="11"/>
        </w:numPr>
      </w:pPr>
      <w:hyperlink r:id="rId15" w:tooltip="VMware Cloud Foundation 9.0 Release Notes" w:history="1">
        <w:r>
          <w:rPr>
            <w:color w:val="0000FF"/>
            <w:u w:val="single"/>
          </w:rPr>
          <w:t>VMware Cloud Foundation 9.0 Release Notes</w:t>
        </w:r>
      </w:hyperlink>
    </w:p>
    <w:p w14:paraId="18FF5E0E" w14:textId="77777777" w:rsidR="0010752C" w:rsidRDefault="00000000">
      <w:pPr>
        <w:pStyle w:val="BodyText"/>
        <w:numPr>
          <w:ilvl w:val="0"/>
          <w:numId w:val="11"/>
        </w:numPr>
      </w:pPr>
      <w:hyperlink r:id="rId16" w:tooltip="VMware Cloud Foundation Planning and Preparation Workbook" w:history="1">
        <w:r>
          <w:rPr>
            <w:color w:val="0000FF"/>
            <w:u w:val="single"/>
          </w:rPr>
          <w:t>VMware Cloud Foundation Planning and Preparation Workbook</w:t>
        </w:r>
      </w:hyperlink>
    </w:p>
    <w:p w14:paraId="17C8067F" w14:textId="77777777" w:rsidR="0010752C" w:rsidRDefault="00000000">
      <w:pPr>
        <w:pStyle w:val="BodyText"/>
        <w:numPr>
          <w:ilvl w:val="0"/>
          <w:numId w:val="11"/>
        </w:numPr>
      </w:pPr>
      <w:hyperlink r:id="rId17" w:tooltip="VMware Cloud Foundation Design Guide" w:history="1">
        <w:r>
          <w:rPr>
            <w:color w:val="0000FF"/>
            <w:u w:val="single"/>
          </w:rPr>
          <w:t>VMware Cloud Foundation Design Guide</w:t>
        </w:r>
      </w:hyperlink>
    </w:p>
    <w:p w14:paraId="6FADED95" w14:textId="77777777" w:rsidR="0010752C" w:rsidRDefault="00000000">
      <w:pPr>
        <w:pStyle w:val="BodyText"/>
        <w:numPr>
          <w:ilvl w:val="0"/>
          <w:numId w:val="11"/>
        </w:numPr>
      </w:pPr>
      <w:hyperlink r:id="rId18" w:tooltip="VMware Cloud Foundation Deployment, Convergence and Upgrade Guide" w:history="1">
        <w:r>
          <w:rPr>
            <w:color w:val="0000FF"/>
            <w:u w:val="single"/>
          </w:rPr>
          <w:t>VMware Cloud Foundation Deployment, Convergence and Upgrade Guide</w:t>
        </w:r>
      </w:hyperlink>
    </w:p>
    <w:p w14:paraId="7E8056D9" w14:textId="77777777" w:rsidR="0010752C" w:rsidRDefault="00000000">
      <w:pPr>
        <w:pStyle w:val="BodyText"/>
        <w:numPr>
          <w:ilvl w:val="0"/>
          <w:numId w:val="11"/>
        </w:numPr>
      </w:pPr>
      <w:hyperlink r:id="rId19" w:tooltip="VMware Cloud Foundation Building Cloud Infrastructure Guide" w:history="1">
        <w:r>
          <w:rPr>
            <w:color w:val="0000FF"/>
            <w:u w:val="single"/>
          </w:rPr>
          <w:t>VMware Cloud Foundation Building Cloud Infrastructure Guide</w:t>
        </w:r>
      </w:hyperlink>
    </w:p>
    <w:p w14:paraId="1C90CE6D" w14:textId="77777777" w:rsidR="0010752C" w:rsidRDefault="00000000">
      <w:pPr>
        <w:pStyle w:val="BodyText"/>
        <w:numPr>
          <w:ilvl w:val="0"/>
          <w:numId w:val="11"/>
        </w:numPr>
      </w:pPr>
      <w:hyperlink r:id="rId20" w:tooltip="VMware Cloud Foundation vSphere Guide" w:history="1">
        <w:r>
          <w:rPr>
            <w:color w:val="0000FF"/>
            <w:u w:val="single"/>
          </w:rPr>
          <w:t>VMware Cloud Foundation vSphere Guide</w:t>
        </w:r>
      </w:hyperlink>
    </w:p>
    <w:p w14:paraId="7A4BEE5B" w14:textId="77777777" w:rsidR="0010752C" w:rsidRDefault="00000000">
      <w:pPr>
        <w:pStyle w:val="BodyText"/>
        <w:numPr>
          <w:ilvl w:val="0"/>
          <w:numId w:val="11"/>
        </w:numPr>
      </w:pPr>
      <w:hyperlink r:id="rId21" w:tooltip="VMware Cloud Foundation vSAN Guide" w:history="1">
        <w:r>
          <w:rPr>
            <w:color w:val="0000FF"/>
            <w:u w:val="single"/>
          </w:rPr>
          <w:t>VMware Cloud Foundation vSAN Guide</w:t>
        </w:r>
      </w:hyperlink>
    </w:p>
    <w:p w14:paraId="4E041331" w14:textId="77777777" w:rsidR="0010752C" w:rsidRDefault="00000000">
      <w:pPr>
        <w:pStyle w:val="BodyText"/>
        <w:numPr>
          <w:ilvl w:val="0"/>
          <w:numId w:val="11"/>
        </w:numPr>
      </w:pPr>
      <w:hyperlink r:id="rId22" w:tooltip="VMware Cloud Foundation NSX Guide" w:history="1">
        <w:r>
          <w:rPr>
            <w:color w:val="0000FF"/>
            <w:u w:val="single"/>
          </w:rPr>
          <w:t>VMware Cloud Foundation NSX Guide</w:t>
        </w:r>
      </w:hyperlink>
    </w:p>
    <w:p w14:paraId="0D611BA4" w14:textId="77777777" w:rsidR="0010752C" w:rsidRDefault="00000000">
      <w:pPr>
        <w:pStyle w:val="BodyText"/>
        <w:numPr>
          <w:ilvl w:val="0"/>
          <w:numId w:val="11"/>
        </w:numPr>
      </w:pPr>
      <w:hyperlink r:id="rId23" w:tooltip="VMware Cloud Foundation Lifecycle Management Guide" w:history="1">
        <w:r>
          <w:rPr>
            <w:color w:val="0000FF"/>
            <w:u w:val="single"/>
          </w:rPr>
          <w:t>VMware Cloud Foundation Lifecycle Management Guide</w:t>
        </w:r>
      </w:hyperlink>
    </w:p>
    <w:p w14:paraId="616E1813" w14:textId="77777777" w:rsidR="0010752C" w:rsidRDefault="00000000">
      <w:pPr>
        <w:pStyle w:val="BodyText"/>
        <w:numPr>
          <w:ilvl w:val="0"/>
          <w:numId w:val="11"/>
        </w:numPr>
      </w:pPr>
      <w:hyperlink r:id="rId24" w:tooltip="VMware Cloud Foundation Fleet Management Guide" w:history="1">
        <w:r>
          <w:rPr>
            <w:color w:val="0000FF"/>
            <w:u w:val="single"/>
          </w:rPr>
          <w:t>VMware Cloud Foundation Fleet Management Guide</w:t>
        </w:r>
      </w:hyperlink>
    </w:p>
    <w:p w14:paraId="579E8544" w14:textId="77777777" w:rsidR="0010752C" w:rsidRDefault="00000000">
      <w:pPr>
        <w:pStyle w:val="BodyText"/>
        <w:numPr>
          <w:ilvl w:val="0"/>
          <w:numId w:val="11"/>
        </w:numPr>
      </w:pPr>
      <w:hyperlink r:id="rId25" w:tooltip="VMware Cloud Foundation Infrastructure Operations Guide" w:history="1">
        <w:r>
          <w:rPr>
            <w:color w:val="0000FF"/>
            <w:u w:val="single"/>
          </w:rPr>
          <w:t>VMware Cloud Foundation Infrastructure Operations Guide</w:t>
        </w:r>
      </w:hyperlink>
    </w:p>
    <w:p w14:paraId="776B5EE9" w14:textId="77777777" w:rsidR="0010752C" w:rsidRDefault="00000000">
      <w:pPr>
        <w:pStyle w:val="BodyText"/>
        <w:numPr>
          <w:ilvl w:val="0"/>
          <w:numId w:val="11"/>
        </w:numPr>
      </w:pPr>
      <w:hyperlink r:id="rId26" w:tooltip="VMware Cloud Foundation Workload Monitoring and Observability Guide" w:history="1">
        <w:r>
          <w:rPr>
            <w:color w:val="0000FF"/>
            <w:u w:val="single"/>
          </w:rPr>
          <w:t>VMware Cloud Foundation Workload Monitoring and Observability Guide</w:t>
        </w:r>
      </w:hyperlink>
    </w:p>
    <w:p w14:paraId="6D250F59" w14:textId="77777777" w:rsidR="0010752C" w:rsidRDefault="00000000">
      <w:pPr>
        <w:pStyle w:val="BodyText"/>
        <w:numPr>
          <w:ilvl w:val="0"/>
          <w:numId w:val="11"/>
        </w:numPr>
      </w:pPr>
      <w:hyperlink r:id="rId27" w:tooltip="VMware Cloud Foundation vSphere Supervisor Platform Guide" w:history="1">
        <w:r>
          <w:rPr>
            <w:color w:val="0000FF"/>
            <w:u w:val="single"/>
          </w:rPr>
          <w:t>VMware Cloud Foundation vSphere Supervisor Platform Guide</w:t>
        </w:r>
      </w:hyperlink>
    </w:p>
    <w:p w14:paraId="41CAA92A" w14:textId="77777777" w:rsidR="0010752C" w:rsidRDefault="00000000">
      <w:pPr>
        <w:pStyle w:val="BodyText"/>
        <w:numPr>
          <w:ilvl w:val="0"/>
          <w:numId w:val="11"/>
        </w:numPr>
      </w:pPr>
      <w:hyperlink r:id="rId28" w:tooltip="VMware Cloud Foundation Security and Compliance Guide" w:history="1">
        <w:r>
          <w:rPr>
            <w:color w:val="0000FF"/>
            <w:u w:val="single"/>
          </w:rPr>
          <w:t>VMware Cloud Foundation Security and Compliance Guide</w:t>
        </w:r>
      </w:hyperlink>
    </w:p>
    <w:p w14:paraId="16C89663" w14:textId="77777777" w:rsidR="0010752C" w:rsidRDefault="00000000">
      <w:pPr>
        <w:pStyle w:val="BodyText"/>
        <w:numPr>
          <w:ilvl w:val="0"/>
          <w:numId w:val="11"/>
        </w:numPr>
      </w:pPr>
      <w:hyperlink r:id="rId29" w:tooltip="VMware Cloud Foundation API Reference Guide" w:history="1">
        <w:r>
          <w:rPr>
            <w:color w:val="0000FF"/>
            <w:u w:val="single"/>
          </w:rPr>
          <w:t>VMware Cloud Foundation API Reference Guide</w:t>
        </w:r>
      </w:hyperlink>
    </w:p>
    <w:p w14:paraId="283E1D8C" w14:textId="77777777" w:rsidR="0010752C" w:rsidRDefault="00000000">
      <w:pPr>
        <w:pStyle w:val="BodyText"/>
      </w:pPr>
      <w:r>
        <w:t>VMware Validated Solutions Guides:</w:t>
      </w:r>
    </w:p>
    <w:p w14:paraId="72004592" w14:textId="77777777" w:rsidR="0010752C" w:rsidRDefault="00000000">
      <w:pPr>
        <w:pStyle w:val="BodyText"/>
        <w:numPr>
          <w:ilvl w:val="0"/>
          <w:numId w:val="12"/>
        </w:numPr>
      </w:pPr>
      <w:r>
        <w:lastRenderedPageBreak/>
        <w:t>&lt;Add as apporpriate&gt;</w:t>
      </w:r>
    </w:p>
    <w:sectPr w:rsidR="0010752C" w:rsidSect="0078571F">
      <w:headerReference w:type="default" r:id="rId30"/>
      <w:footerReference w:type="default" r:id="rId31"/>
      <w:pgSz w:w="12240" w:h="15840" w:code="1"/>
      <w:pgMar w:top="1140" w:right="1140" w:bottom="760" w:left="1140" w:header="550" w:footer="56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15CBD" w14:textId="77777777" w:rsidR="00AC22E8" w:rsidRDefault="00AC22E8">
      <w:r>
        <w:separator/>
      </w:r>
    </w:p>
  </w:endnote>
  <w:endnote w:type="continuationSeparator" w:id="0">
    <w:p w14:paraId="0614D3C8" w14:textId="77777777" w:rsidR="00AC22E8" w:rsidRDefault="00AC2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etropolis">
    <w:altName w:val="Calibri"/>
    <w:panose1 w:val="00000500000000000000"/>
    <w:charset w:val="00"/>
    <w:family w:val="auto"/>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Medium">
    <w:altName w:val="Calibri"/>
    <w:panose1 w:val="00000600000000000000"/>
    <w:charset w:val="00"/>
    <w:family w:val="auto"/>
    <w:pitch w:val="variable"/>
    <w:sig w:usb0="00000007" w:usb1="00000000" w:usb2="00000000" w:usb3="00000000" w:csb0="00000093" w:csb1="00000000"/>
  </w:font>
  <w:font w:name="Metropolis Semi Bold">
    <w:altName w:val="Calibri"/>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0EA77" w14:textId="77777777" w:rsidR="003E0018" w:rsidRDefault="00000000">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B6078" w14:textId="77777777" w:rsidR="00AC22E8" w:rsidRDefault="00AC22E8">
      <w:r>
        <w:separator/>
      </w:r>
    </w:p>
  </w:footnote>
  <w:footnote w:type="continuationSeparator" w:id="0">
    <w:p w14:paraId="3E80764A" w14:textId="77777777" w:rsidR="00AC22E8" w:rsidRDefault="00AC2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1E9C0" w14:textId="77777777" w:rsidR="003E0018" w:rsidRDefault="00000000">
    <w:pPr>
      <w:pStyle w:val="Header"/>
    </w:pPr>
    <w:fldSimple w:instr=" TITLE   \* MERGEFORMAT ">
      <w:r>
        <w:t>VMware Pro Cloud Service for Private Cloud Infrastructure - VMware VCF Automation Installation and Configuration Procedures 9.x</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15:restartNumberingAfterBreak="0">
    <w:nsid w:val="7A0F5666"/>
    <w:multiLevelType w:val="hybridMultilevel"/>
    <w:tmpl w:val="9154C4A0"/>
    <w:lvl w:ilvl="0" w:tplc="09AA3E26">
      <w:start w:val="1"/>
      <w:numFmt w:val="decimal"/>
      <w:pStyle w:val="Heading1"/>
      <w:lvlText w:val="%1."/>
      <w:lvlJc w:val="left"/>
      <w:pPr>
        <w:ind w:left="720" w:hanging="360"/>
      </w:pPr>
    </w:lvl>
    <w:lvl w:ilvl="1" w:tplc="9C10B258" w:tentative="1">
      <w:start w:val="1"/>
      <w:numFmt w:val="lowerLetter"/>
      <w:lvlText w:val="%2."/>
      <w:lvlJc w:val="left"/>
      <w:pPr>
        <w:ind w:left="1440" w:hanging="360"/>
      </w:pPr>
    </w:lvl>
    <w:lvl w:ilvl="2" w:tplc="86142480" w:tentative="1">
      <w:start w:val="1"/>
      <w:numFmt w:val="lowerRoman"/>
      <w:lvlText w:val="%3."/>
      <w:lvlJc w:val="right"/>
      <w:pPr>
        <w:ind w:left="2160" w:hanging="180"/>
      </w:pPr>
    </w:lvl>
    <w:lvl w:ilvl="3" w:tplc="8AE2A5B6" w:tentative="1">
      <w:start w:val="1"/>
      <w:numFmt w:val="decimal"/>
      <w:lvlText w:val="%4."/>
      <w:lvlJc w:val="left"/>
      <w:pPr>
        <w:ind w:left="2880" w:hanging="360"/>
      </w:pPr>
    </w:lvl>
    <w:lvl w:ilvl="4" w:tplc="CF0EC7AC" w:tentative="1">
      <w:start w:val="1"/>
      <w:numFmt w:val="lowerLetter"/>
      <w:lvlText w:val="%5."/>
      <w:lvlJc w:val="left"/>
      <w:pPr>
        <w:ind w:left="3600" w:hanging="360"/>
      </w:pPr>
    </w:lvl>
    <w:lvl w:ilvl="5" w:tplc="A09AB574" w:tentative="1">
      <w:start w:val="1"/>
      <w:numFmt w:val="lowerRoman"/>
      <w:lvlText w:val="%6."/>
      <w:lvlJc w:val="right"/>
      <w:pPr>
        <w:ind w:left="4320" w:hanging="180"/>
      </w:pPr>
    </w:lvl>
    <w:lvl w:ilvl="6" w:tplc="C6A068AC" w:tentative="1">
      <w:start w:val="1"/>
      <w:numFmt w:val="decimal"/>
      <w:lvlText w:val="%7."/>
      <w:lvlJc w:val="left"/>
      <w:pPr>
        <w:ind w:left="5040" w:hanging="360"/>
      </w:pPr>
    </w:lvl>
    <w:lvl w:ilvl="7" w:tplc="ED102D32" w:tentative="1">
      <w:start w:val="1"/>
      <w:numFmt w:val="lowerLetter"/>
      <w:lvlText w:val="%8."/>
      <w:lvlJc w:val="left"/>
      <w:pPr>
        <w:ind w:left="5760" w:hanging="360"/>
      </w:pPr>
    </w:lvl>
    <w:lvl w:ilvl="8" w:tplc="35905112" w:tentative="1">
      <w:start w:val="1"/>
      <w:numFmt w:val="lowerRoman"/>
      <w:lvlText w:val="%9."/>
      <w:lvlJc w:val="right"/>
      <w:pPr>
        <w:ind w:left="6480" w:hanging="180"/>
      </w:pPr>
    </w:lvl>
  </w:abstractNum>
  <w:abstractNum w:abstractNumId="7" w15:restartNumberingAfterBreak="0">
    <w:nsid w:val="7A0F5667"/>
    <w:multiLevelType w:val="hybridMultilevel"/>
    <w:tmpl w:val="7A0F5667"/>
    <w:lvl w:ilvl="0" w:tplc="144053F8">
      <w:start w:val="1"/>
      <w:numFmt w:val="bullet"/>
      <w:lvlText w:val=""/>
      <w:lvlJc w:val="left"/>
      <w:pPr>
        <w:tabs>
          <w:tab w:val="num" w:pos="480"/>
        </w:tabs>
        <w:ind w:left="480" w:hanging="480"/>
      </w:pPr>
      <w:rPr>
        <w:rFonts w:ascii="Wingdings" w:eastAsia="Wingdings" w:hAnsi="Wingdings" w:cs="Wingdings"/>
      </w:rPr>
    </w:lvl>
    <w:lvl w:ilvl="1" w:tplc="C19622EA">
      <w:start w:val="1"/>
      <w:numFmt w:val="bullet"/>
      <w:lvlText w:val="o"/>
      <w:lvlJc w:val="left"/>
      <w:pPr>
        <w:tabs>
          <w:tab w:val="num" w:pos="1440"/>
        </w:tabs>
        <w:ind w:left="1440" w:hanging="360"/>
      </w:pPr>
      <w:rPr>
        <w:rFonts w:ascii="Courier New" w:hAnsi="Courier New"/>
      </w:rPr>
    </w:lvl>
    <w:lvl w:ilvl="2" w:tplc="F5D6A7BC">
      <w:start w:val="1"/>
      <w:numFmt w:val="bullet"/>
      <w:lvlText w:val=""/>
      <w:lvlJc w:val="left"/>
      <w:pPr>
        <w:tabs>
          <w:tab w:val="num" w:pos="2160"/>
        </w:tabs>
        <w:ind w:left="2160" w:hanging="360"/>
      </w:pPr>
      <w:rPr>
        <w:rFonts w:ascii="Wingdings" w:hAnsi="Wingdings"/>
      </w:rPr>
    </w:lvl>
    <w:lvl w:ilvl="3" w:tplc="71D0D19C">
      <w:start w:val="1"/>
      <w:numFmt w:val="bullet"/>
      <w:lvlText w:val=""/>
      <w:lvlJc w:val="left"/>
      <w:pPr>
        <w:tabs>
          <w:tab w:val="num" w:pos="2880"/>
        </w:tabs>
        <w:ind w:left="2880" w:hanging="360"/>
      </w:pPr>
      <w:rPr>
        <w:rFonts w:ascii="Symbol" w:hAnsi="Symbol"/>
      </w:rPr>
    </w:lvl>
    <w:lvl w:ilvl="4" w:tplc="DD76A03C">
      <w:start w:val="1"/>
      <w:numFmt w:val="bullet"/>
      <w:lvlText w:val="o"/>
      <w:lvlJc w:val="left"/>
      <w:pPr>
        <w:tabs>
          <w:tab w:val="num" w:pos="3600"/>
        </w:tabs>
        <w:ind w:left="3600" w:hanging="360"/>
      </w:pPr>
      <w:rPr>
        <w:rFonts w:ascii="Courier New" w:hAnsi="Courier New"/>
      </w:rPr>
    </w:lvl>
    <w:lvl w:ilvl="5" w:tplc="BCB28C92">
      <w:start w:val="1"/>
      <w:numFmt w:val="bullet"/>
      <w:lvlText w:val=""/>
      <w:lvlJc w:val="left"/>
      <w:pPr>
        <w:tabs>
          <w:tab w:val="num" w:pos="4320"/>
        </w:tabs>
        <w:ind w:left="4320" w:hanging="360"/>
      </w:pPr>
      <w:rPr>
        <w:rFonts w:ascii="Wingdings" w:hAnsi="Wingdings"/>
      </w:rPr>
    </w:lvl>
    <w:lvl w:ilvl="6" w:tplc="6652E3E2">
      <w:start w:val="1"/>
      <w:numFmt w:val="bullet"/>
      <w:lvlText w:val=""/>
      <w:lvlJc w:val="left"/>
      <w:pPr>
        <w:tabs>
          <w:tab w:val="num" w:pos="5040"/>
        </w:tabs>
        <w:ind w:left="5040" w:hanging="360"/>
      </w:pPr>
      <w:rPr>
        <w:rFonts w:ascii="Symbol" w:hAnsi="Symbol"/>
      </w:rPr>
    </w:lvl>
    <w:lvl w:ilvl="7" w:tplc="045EF860">
      <w:start w:val="1"/>
      <w:numFmt w:val="bullet"/>
      <w:lvlText w:val="o"/>
      <w:lvlJc w:val="left"/>
      <w:pPr>
        <w:tabs>
          <w:tab w:val="num" w:pos="5760"/>
        </w:tabs>
        <w:ind w:left="5760" w:hanging="360"/>
      </w:pPr>
      <w:rPr>
        <w:rFonts w:ascii="Courier New" w:hAnsi="Courier New"/>
      </w:rPr>
    </w:lvl>
    <w:lvl w:ilvl="8" w:tplc="41E8AE90">
      <w:start w:val="1"/>
      <w:numFmt w:val="bullet"/>
      <w:lvlText w:val=""/>
      <w:lvlJc w:val="left"/>
      <w:pPr>
        <w:tabs>
          <w:tab w:val="num" w:pos="6480"/>
        </w:tabs>
        <w:ind w:left="6480" w:hanging="360"/>
      </w:pPr>
      <w:rPr>
        <w:rFonts w:ascii="Wingdings" w:hAnsi="Wingdings"/>
      </w:rPr>
    </w:lvl>
  </w:abstractNum>
  <w:abstractNum w:abstractNumId="8" w15:restartNumberingAfterBreak="0">
    <w:nsid w:val="7A0F5668"/>
    <w:multiLevelType w:val="hybridMultilevel"/>
    <w:tmpl w:val="7A0F5668"/>
    <w:lvl w:ilvl="0" w:tplc="1FBE2698">
      <w:start w:val="1"/>
      <w:numFmt w:val="bullet"/>
      <w:lvlText w:val=""/>
      <w:lvlJc w:val="left"/>
      <w:pPr>
        <w:tabs>
          <w:tab w:val="num" w:pos="480"/>
        </w:tabs>
        <w:ind w:left="480" w:hanging="480"/>
      </w:pPr>
      <w:rPr>
        <w:rFonts w:ascii="Wingdings" w:eastAsia="Wingdings" w:hAnsi="Wingdings" w:cs="Wingdings"/>
      </w:rPr>
    </w:lvl>
    <w:lvl w:ilvl="1" w:tplc="07EC46D0">
      <w:start w:val="1"/>
      <w:numFmt w:val="bullet"/>
      <w:lvlText w:val="o"/>
      <w:lvlJc w:val="left"/>
      <w:pPr>
        <w:tabs>
          <w:tab w:val="num" w:pos="1440"/>
        </w:tabs>
        <w:ind w:left="1440" w:hanging="360"/>
      </w:pPr>
      <w:rPr>
        <w:rFonts w:ascii="Courier New" w:hAnsi="Courier New"/>
      </w:rPr>
    </w:lvl>
    <w:lvl w:ilvl="2" w:tplc="22102F40">
      <w:start w:val="1"/>
      <w:numFmt w:val="bullet"/>
      <w:lvlText w:val=""/>
      <w:lvlJc w:val="left"/>
      <w:pPr>
        <w:tabs>
          <w:tab w:val="num" w:pos="2160"/>
        </w:tabs>
        <w:ind w:left="2160" w:hanging="360"/>
      </w:pPr>
      <w:rPr>
        <w:rFonts w:ascii="Wingdings" w:hAnsi="Wingdings"/>
      </w:rPr>
    </w:lvl>
    <w:lvl w:ilvl="3" w:tplc="3916903C">
      <w:start w:val="1"/>
      <w:numFmt w:val="bullet"/>
      <w:lvlText w:val=""/>
      <w:lvlJc w:val="left"/>
      <w:pPr>
        <w:tabs>
          <w:tab w:val="num" w:pos="2880"/>
        </w:tabs>
        <w:ind w:left="2880" w:hanging="360"/>
      </w:pPr>
      <w:rPr>
        <w:rFonts w:ascii="Symbol" w:hAnsi="Symbol"/>
      </w:rPr>
    </w:lvl>
    <w:lvl w:ilvl="4" w:tplc="F72C1242">
      <w:start w:val="1"/>
      <w:numFmt w:val="bullet"/>
      <w:lvlText w:val="o"/>
      <w:lvlJc w:val="left"/>
      <w:pPr>
        <w:tabs>
          <w:tab w:val="num" w:pos="3600"/>
        </w:tabs>
        <w:ind w:left="3600" w:hanging="360"/>
      </w:pPr>
      <w:rPr>
        <w:rFonts w:ascii="Courier New" w:hAnsi="Courier New"/>
      </w:rPr>
    </w:lvl>
    <w:lvl w:ilvl="5" w:tplc="EE327A74">
      <w:start w:val="1"/>
      <w:numFmt w:val="bullet"/>
      <w:lvlText w:val=""/>
      <w:lvlJc w:val="left"/>
      <w:pPr>
        <w:tabs>
          <w:tab w:val="num" w:pos="4320"/>
        </w:tabs>
        <w:ind w:left="4320" w:hanging="360"/>
      </w:pPr>
      <w:rPr>
        <w:rFonts w:ascii="Wingdings" w:hAnsi="Wingdings"/>
      </w:rPr>
    </w:lvl>
    <w:lvl w:ilvl="6" w:tplc="4D504A60">
      <w:start w:val="1"/>
      <w:numFmt w:val="bullet"/>
      <w:lvlText w:val=""/>
      <w:lvlJc w:val="left"/>
      <w:pPr>
        <w:tabs>
          <w:tab w:val="num" w:pos="5040"/>
        </w:tabs>
        <w:ind w:left="5040" w:hanging="360"/>
      </w:pPr>
      <w:rPr>
        <w:rFonts w:ascii="Symbol" w:hAnsi="Symbol"/>
      </w:rPr>
    </w:lvl>
    <w:lvl w:ilvl="7" w:tplc="CE541100">
      <w:start w:val="1"/>
      <w:numFmt w:val="bullet"/>
      <w:lvlText w:val="o"/>
      <w:lvlJc w:val="left"/>
      <w:pPr>
        <w:tabs>
          <w:tab w:val="num" w:pos="5760"/>
        </w:tabs>
        <w:ind w:left="5760" w:hanging="360"/>
      </w:pPr>
      <w:rPr>
        <w:rFonts w:ascii="Courier New" w:hAnsi="Courier New"/>
      </w:rPr>
    </w:lvl>
    <w:lvl w:ilvl="8" w:tplc="9B8A6398">
      <w:start w:val="1"/>
      <w:numFmt w:val="bullet"/>
      <w:lvlText w:val=""/>
      <w:lvlJc w:val="left"/>
      <w:pPr>
        <w:tabs>
          <w:tab w:val="num" w:pos="6480"/>
        </w:tabs>
        <w:ind w:left="6480" w:hanging="360"/>
      </w:pPr>
      <w:rPr>
        <w:rFonts w:ascii="Wingdings" w:hAnsi="Wingdings"/>
      </w:rPr>
    </w:lvl>
  </w:abstractNum>
  <w:abstractNum w:abstractNumId="9" w15:restartNumberingAfterBreak="0">
    <w:nsid w:val="7A0F5669"/>
    <w:multiLevelType w:val="multilevel"/>
    <w:tmpl w:val="7A0F5669"/>
    <w:lvl w:ilvl="0">
      <w:start w:val="1"/>
      <w:numFmt w:val="decimal"/>
      <w:lvlText w:val="%1"/>
      <w:lvlJc w:val="left"/>
      <w:pPr>
        <w:tabs>
          <w:tab w:val="num" w:pos="480"/>
        </w:tabs>
        <w:ind w:left="480" w:hanging="480"/>
      </w:pPr>
      <w:rPr>
        <w:rFonts w:ascii="Metropolis" w:eastAsia="Metropolis" w:hAnsi="Metropolis" w:cs="Metropolis"/>
        <w:b w:val="0"/>
      </w:rPr>
    </w:lvl>
    <w:lvl w:ilvl="1">
      <w:start w:val="1"/>
      <w:numFmt w:val="bullet"/>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7A0F566A"/>
    <w:multiLevelType w:val="hybridMultilevel"/>
    <w:tmpl w:val="7A0F566A"/>
    <w:lvl w:ilvl="0" w:tplc="6EBA3C7C">
      <w:start w:val="1"/>
      <w:numFmt w:val="bullet"/>
      <w:lvlText w:val=""/>
      <w:lvlJc w:val="left"/>
      <w:pPr>
        <w:tabs>
          <w:tab w:val="num" w:pos="480"/>
        </w:tabs>
        <w:ind w:left="480" w:hanging="480"/>
      </w:pPr>
      <w:rPr>
        <w:rFonts w:ascii="Wingdings" w:eastAsia="Wingdings" w:hAnsi="Wingdings" w:cs="Wingdings"/>
      </w:rPr>
    </w:lvl>
    <w:lvl w:ilvl="1" w:tplc="E7C638D8">
      <w:start w:val="1"/>
      <w:numFmt w:val="bullet"/>
      <w:lvlText w:val="o"/>
      <w:lvlJc w:val="left"/>
      <w:pPr>
        <w:tabs>
          <w:tab w:val="num" w:pos="1440"/>
        </w:tabs>
        <w:ind w:left="1440" w:hanging="360"/>
      </w:pPr>
      <w:rPr>
        <w:rFonts w:ascii="Courier New" w:hAnsi="Courier New"/>
      </w:rPr>
    </w:lvl>
    <w:lvl w:ilvl="2" w:tplc="1FA6AE0C">
      <w:start w:val="1"/>
      <w:numFmt w:val="bullet"/>
      <w:lvlText w:val=""/>
      <w:lvlJc w:val="left"/>
      <w:pPr>
        <w:tabs>
          <w:tab w:val="num" w:pos="2160"/>
        </w:tabs>
        <w:ind w:left="2160" w:hanging="360"/>
      </w:pPr>
      <w:rPr>
        <w:rFonts w:ascii="Wingdings" w:hAnsi="Wingdings"/>
      </w:rPr>
    </w:lvl>
    <w:lvl w:ilvl="3" w:tplc="B72485C8">
      <w:start w:val="1"/>
      <w:numFmt w:val="bullet"/>
      <w:lvlText w:val=""/>
      <w:lvlJc w:val="left"/>
      <w:pPr>
        <w:tabs>
          <w:tab w:val="num" w:pos="2880"/>
        </w:tabs>
        <w:ind w:left="2880" w:hanging="360"/>
      </w:pPr>
      <w:rPr>
        <w:rFonts w:ascii="Symbol" w:hAnsi="Symbol"/>
      </w:rPr>
    </w:lvl>
    <w:lvl w:ilvl="4" w:tplc="E66A0D0E">
      <w:start w:val="1"/>
      <w:numFmt w:val="bullet"/>
      <w:lvlText w:val="o"/>
      <w:lvlJc w:val="left"/>
      <w:pPr>
        <w:tabs>
          <w:tab w:val="num" w:pos="3600"/>
        </w:tabs>
        <w:ind w:left="3600" w:hanging="360"/>
      </w:pPr>
      <w:rPr>
        <w:rFonts w:ascii="Courier New" w:hAnsi="Courier New"/>
      </w:rPr>
    </w:lvl>
    <w:lvl w:ilvl="5" w:tplc="402C5AFC">
      <w:start w:val="1"/>
      <w:numFmt w:val="bullet"/>
      <w:lvlText w:val=""/>
      <w:lvlJc w:val="left"/>
      <w:pPr>
        <w:tabs>
          <w:tab w:val="num" w:pos="4320"/>
        </w:tabs>
        <w:ind w:left="4320" w:hanging="360"/>
      </w:pPr>
      <w:rPr>
        <w:rFonts w:ascii="Wingdings" w:hAnsi="Wingdings"/>
      </w:rPr>
    </w:lvl>
    <w:lvl w:ilvl="6" w:tplc="F0BAA2A4">
      <w:start w:val="1"/>
      <w:numFmt w:val="bullet"/>
      <w:lvlText w:val=""/>
      <w:lvlJc w:val="left"/>
      <w:pPr>
        <w:tabs>
          <w:tab w:val="num" w:pos="5040"/>
        </w:tabs>
        <w:ind w:left="5040" w:hanging="360"/>
      </w:pPr>
      <w:rPr>
        <w:rFonts w:ascii="Symbol" w:hAnsi="Symbol"/>
      </w:rPr>
    </w:lvl>
    <w:lvl w:ilvl="7" w:tplc="185A929C">
      <w:start w:val="1"/>
      <w:numFmt w:val="bullet"/>
      <w:lvlText w:val="o"/>
      <w:lvlJc w:val="left"/>
      <w:pPr>
        <w:tabs>
          <w:tab w:val="num" w:pos="5760"/>
        </w:tabs>
        <w:ind w:left="5760" w:hanging="360"/>
      </w:pPr>
      <w:rPr>
        <w:rFonts w:ascii="Courier New" w:hAnsi="Courier New"/>
      </w:rPr>
    </w:lvl>
    <w:lvl w:ilvl="8" w:tplc="D6B6A1F6">
      <w:start w:val="1"/>
      <w:numFmt w:val="bullet"/>
      <w:lvlText w:val=""/>
      <w:lvlJc w:val="left"/>
      <w:pPr>
        <w:tabs>
          <w:tab w:val="num" w:pos="6480"/>
        </w:tabs>
        <w:ind w:left="6480" w:hanging="360"/>
      </w:pPr>
      <w:rPr>
        <w:rFonts w:ascii="Wingdings" w:hAnsi="Wingdings"/>
      </w:rPr>
    </w:lvl>
  </w:abstractNum>
  <w:abstractNum w:abstractNumId="11" w15:restartNumberingAfterBreak="0">
    <w:nsid w:val="7A0F566B"/>
    <w:multiLevelType w:val="hybridMultilevel"/>
    <w:tmpl w:val="7A0F566B"/>
    <w:lvl w:ilvl="0" w:tplc="96D29E76">
      <w:start w:val="1"/>
      <w:numFmt w:val="bullet"/>
      <w:lvlText w:val=""/>
      <w:lvlJc w:val="left"/>
      <w:pPr>
        <w:tabs>
          <w:tab w:val="num" w:pos="480"/>
        </w:tabs>
        <w:ind w:left="480" w:hanging="480"/>
      </w:pPr>
      <w:rPr>
        <w:rFonts w:ascii="Wingdings" w:eastAsia="Wingdings" w:hAnsi="Wingdings" w:cs="Wingdings"/>
      </w:rPr>
    </w:lvl>
    <w:lvl w:ilvl="1" w:tplc="924873D0">
      <w:start w:val="1"/>
      <w:numFmt w:val="bullet"/>
      <w:lvlText w:val="o"/>
      <w:lvlJc w:val="left"/>
      <w:pPr>
        <w:tabs>
          <w:tab w:val="num" w:pos="1440"/>
        </w:tabs>
        <w:ind w:left="1440" w:hanging="360"/>
      </w:pPr>
      <w:rPr>
        <w:rFonts w:ascii="Courier New" w:hAnsi="Courier New"/>
      </w:rPr>
    </w:lvl>
    <w:lvl w:ilvl="2" w:tplc="7D48C25E">
      <w:start w:val="1"/>
      <w:numFmt w:val="bullet"/>
      <w:lvlText w:val=""/>
      <w:lvlJc w:val="left"/>
      <w:pPr>
        <w:tabs>
          <w:tab w:val="num" w:pos="2160"/>
        </w:tabs>
        <w:ind w:left="2160" w:hanging="360"/>
      </w:pPr>
      <w:rPr>
        <w:rFonts w:ascii="Wingdings" w:hAnsi="Wingdings"/>
      </w:rPr>
    </w:lvl>
    <w:lvl w:ilvl="3" w:tplc="07B04C3E">
      <w:start w:val="1"/>
      <w:numFmt w:val="bullet"/>
      <w:lvlText w:val=""/>
      <w:lvlJc w:val="left"/>
      <w:pPr>
        <w:tabs>
          <w:tab w:val="num" w:pos="2880"/>
        </w:tabs>
        <w:ind w:left="2880" w:hanging="360"/>
      </w:pPr>
      <w:rPr>
        <w:rFonts w:ascii="Symbol" w:hAnsi="Symbol"/>
      </w:rPr>
    </w:lvl>
    <w:lvl w:ilvl="4" w:tplc="65D2B2CA">
      <w:start w:val="1"/>
      <w:numFmt w:val="bullet"/>
      <w:lvlText w:val="o"/>
      <w:lvlJc w:val="left"/>
      <w:pPr>
        <w:tabs>
          <w:tab w:val="num" w:pos="3600"/>
        </w:tabs>
        <w:ind w:left="3600" w:hanging="360"/>
      </w:pPr>
      <w:rPr>
        <w:rFonts w:ascii="Courier New" w:hAnsi="Courier New"/>
      </w:rPr>
    </w:lvl>
    <w:lvl w:ilvl="5" w:tplc="6980BFE4">
      <w:start w:val="1"/>
      <w:numFmt w:val="bullet"/>
      <w:lvlText w:val=""/>
      <w:lvlJc w:val="left"/>
      <w:pPr>
        <w:tabs>
          <w:tab w:val="num" w:pos="4320"/>
        </w:tabs>
        <w:ind w:left="4320" w:hanging="360"/>
      </w:pPr>
      <w:rPr>
        <w:rFonts w:ascii="Wingdings" w:hAnsi="Wingdings"/>
      </w:rPr>
    </w:lvl>
    <w:lvl w:ilvl="6" w:tplc="40B03528">
      <w:start w:val="1"/>
      <w:numFmt w:val="bullet"/>
      <w:lvlText w:val=""/>
      <w:lvlJc w:val="left"/>
      <w:pPr>
        <w:tabs>
          <w:tab w:val="num" w:pos="5040"/>
        </w:tabs>
        <w:ind w:left="5040" w:hanging="360"/>
      </w:pPr>
      <w:rPr>
        <w:rFonts w:ascii="Symbol" w:hAnsi="Symbol"/>
      </w:rPr>
    </w:lvl>
    <w:lvl w:ilvl="7" w:tplc="A0205E40">
      <w:start w:val="1"/>
      <w:numFmt w:val="bullet"/>
      <w:lvlText w:val="o"/>
      <w:lvlJc w:val="left"/>
      <w:pPr>
        <w:tabs>
          <w:tab w:val="num" w:pos="5760"/>
        </w:tabs>
        <w:ind w:left="5760" w:hanging="360"/>
      </w:pPr>
      <w:rPr>
        <w:rFonts w:ascii="Courier New" w:hAnsi="Courier New"/>
      </w:rPr>
    </w:lvl>
    <w:lvl w:ilvl="8" w:tplc="31B439D2">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16cid:durableId="1549224255">
    <w:abstractNumId w:val="7"/>
  </w:num>
  <w:num w:numId="9" w16cid:durableId="2107916579">
    <w:abstractNumId w:val="8"/>
  </w:num>
  <w:num w:numId="10" w16cid:durableId="1053773608">
    <w:abstractNumId w:val="9"/>
  </w:num>
  <w:num w:numId="11" w16cid:durableId="612832585">
    <w:abstractNumId w:val="10"/>
  </w:num>
  <w:num w:numId="12" w16cid:durableId="2136558323">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8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82CAD"/>
    <w:rsid w:val="00094DCB"/>
    <w:rsid w:val="000A286B"/>
    <w:rsid w:val="000A3182"/>
    <w:rsid w:val="000B2CE0"/>
    <w:rsid w:val="000B77DE"/>
    <w:rsid w:val="000F0FFB"/>
    <w:rsid w:val="00100D56"/>
    <w:rsid w:val="0010752C"/>
    <w:rsid w:val="00110663"/>
    <w:rsid w:val="001262F4"/>
    <w:rsid w:val="0014481F"/>
    <w:rsid w:val="001553D5"/>
    <w:rsid w:val="00167885"/>
    <w:rsid w:val="0018044C"/>
    <w:rsid w:val="001929AA"/>
    <w:rsid w:val="001935AF"/>
    <w:rsid w:val="00195784"/>
    <w:rsid w:val="001B6182"/>
    <w:rsid w:val="00233391"/>
    <w:rsid w:val="00240F83"/>
    <w:rsid w:val="00243952"/>
    <w:rsid w:val="00255C62"/>
    <w:rsid w:val="00263AA1"/>
    <w:rsid w:val="002A34A5"/>
    <w:rsid w:val="002B5D2F"/>
    <w:rsid w:val="002E788E"/>
    <w:rsid w:val="002F45C1"/>
    <w:rsid w:val="0030710A"/>
    <w:rsid w:val="00317810"/>
    <w:rsid w:val="00322AFC"/>
    <w:rsid w:val="00327B21"/>
    <w:rsid w:val="003303E1"/>
    <w:rsid w:val="00353E9E"/>
    <w:rsid w:val="0037035E"/>
    <w:rsid w:val="003758A8"/>
    <w:rsid w:val="003C677C"/>
    <w:rsid w:val="003D6901"/>
    <w:rsid w:val="003E0018"/>
    <w:rsid w:val="003E3D16"/>
    <w:rsid w:val="00402A69"/>
    <w:rsid w:val="004079DD"/>
    <w:rsid w:val="004352D2"/>
    <w:rsid w:val="00435BD0"/>
    <w:rsid w:val="00440C96"/>
    <w:rsid w:val="004544C1"/>
    <w:rsid w:val="00461F79"/>
    <w:rsid w:val="004742D1"/>
    <w:rsid w:val="00494EF5"/>
    <w:rsid w:val="004A0D36"/>
    <w:rsid w:val="004D6206"/>
    <w:rsid w:val="004D628A"/>
    <w:rsid w:val="004F7B8D"/>
    <w:rsid w:val="00511235"/>
    <w:rsid w:val="00517528"/>
    <w:rsid w:val="005237DD"/>
    <w:rsid w:val="0052528F"/>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902"/>
    <w:rsid w:val="009B4645"/>
    <w:rsid w:val="009E7D74"/>
    <w:rsid w:val="009F728F"/>
    <w:rsid w:val="00A44FCE"/>
    <w:rsid w:val="00A534AE"/>
    <w:rsid w:val="00A64EB7"/>
    <w:rsid w:val="00A6666A"/>
    <w:rsid w:val="00A74796"/>
    <w:rsid w:val="00A93F22"/>
    <w:rsid w:val="00AA4169"/>
    <w:rsid w:val="00AC22E8"/>
    <w:rsid w:val="00AC4135"/>
    <w:rsid w:val="00AC4BAD"/>
    <w:rsid w:val="00AC54C6"/>
    <w:rsid w:val="00AD0040"/>
    <w:rsid w:val="00AD249B"/>
    <w:rsid w:val="00B270AD"/>
    <w:rsid w:val="00B50508"/>
    <w:rsid w:val="00B76941"/>
    <w:rsid w:val="00BA02B5"/>
    <w:rsid w:val="00BA4EB6"/>
    <w:rsid w:val="00BC3707"/>
    <w:rsid w:val="00BC5955"/>
    <w:rsid w:val="00BD493A"/>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61CF"/>
    <w:rsid w:val="00F60328"/>
    <w:rsid w:val="00F64BDD"/>
    <w:rsid w:val="00F76D81"/>
    <w:rsid w:val="00FA288B"/>
    <w:rsid w:val="00FC4A7D"/>
    <w:rsid w:val="00FE76C5"/>
    <w:rsid w:val="00FF1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980F7F"/>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eastAsiaTheme="majorEastAsia" w:hAnsi="Arial"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eastAsiaTheme="majorEastAsia" w:hAnsi="Arial"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eastAsiaTheme="majorEastAsia" w:hAnsi="Metropolis Medium"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eastAsiaTheme="minorEastAsia" w:hAnsi="Metropolis Medium"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eastAsiaTheme="minorEastAsia" w:hAnsi="Metropolis Medium"/>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eastAsiaTheme="majorEastAsia" w:hAnsi="Arial"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eastAsiaTheme="majorEastAsia" w:hAnsi="Arial"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eastAsiaTheme="majorEastAsia" w:hAnsi="Arial"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eastAsiaTheme="majorEastAsia" w:hAnsi="Arial"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eastAsiaTheme="majorEastAsia" w:hAnsi="Arial"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eastAsiaTheme="majorEastAsia" w:hAnsi="Arial" w:cstheme="majorBidi"/>
      <w:sz w:val="21"/>
      <w:szCs w:val="21"/>
    </w:rPr>
  </w:style>
  <w:style w:type="character" w:customStyle="1" w:styleId="Heading9Char">
    <w:name w:val="Heading 9 Char"/>
    <w:basedOn w:val="DefaultParagraphFont"/>
    <w:link w:val="Heading9"/>
    <w:uiPriority w:val="9"/>
    <w:rsid w:val="00D43171"/>
    <w:rPr>
      <w:rFonts w:ascii="Arial" w:eastAsiaTheme="majorEastAsia" w:hAnsi="Arial"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techdocs.broadcom.com/us/en/vmware-cis/vcf/vcf-9-0-and-later/9-0/deployment.html" TargetMode="External"/><Relationship Id="rId26" Type="http://schemas.openxmlformats.org/officeDocument/2006/relationships/hyperlink" Target="https://techdocs.broadcom.com/us/en/vmware-cis/vcf/vcf-9-0-and-later/9-0/workload-monitoring-and-observability.html" TargetMode="External"/><Relationship Id="rId3" Type="http://schemas.openxmlformats.org/officeDocument/2006/relationships/settings" Target="settings.xml"/><Relationship Id="rId21" Type="http://schemas.openxmlformats.org/officeDocument/2006/relationships/hyperlink" Target="https://techdocs.broadcom.com/us/en/vmware-cis/vcf/vcf-9-0-and-later/9-0/vsan-deployment-administration-and-monitoring.html" TargetMode="External"/><Relationship Id="rId34"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techdocs.broadcom.com/us/en/vmware-cis/vcf/vcf-9-0-and-later/9-0/design.html" TargetMode="External"/><Relationship Id="rId25" Type="http://schemas.openxmlformats.org/officeDocument/2006/relationships/hyperlink" Target="https://techdocs.broadcom.com/us/en/vmware-cis/vcf/vcf-9-0-and-later/9-0/infrastructure-operations.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echdocs.broadcom.com/content/dam/broadcom/techdocs/us/en/assets/vmware-cis/vcf/vcf-9.0-planning-and-preparation-workbook.xlsx" TargetMode="External"/><Relationship Id="rId20" Type="http://schemas.openxmlformats.org/officeDocument/2006/relationships/hyperlink" Target="https://techdocs.broadcom.com/us/en/vmware-cis/vcf/vcf-9-0-and-later/9-0/vsphere-in-vcf.html" TargetMode="External"/><Relationship Id="rId29" Type="http://schemas.openxmlformats.org/officeDocument/2006/relationships/hyperlink" Target="https://developer.broadcom.com/xapis/vmware-cloud-foundation-api/lates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techdocs.broadcom.com/us/en/vmware-cis/vcf/vcf-9-0-and-later/9-0/fleet-management.html"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techdocs.broadcom.com/us/en/vmware-cis/vcf/vcf-9-0-and-later/9-0/release-notes.html" TargetMode="External"/><Relationship Id="rId23" Type="http://schemas.openxmlformats.org/officeDocument/2006/relationships/hyperlink" Target="https://techdocs.broadcom.com/us/en/vmware-cis/vcf/vcf-9-0-and-later/9-0/lifecycle-management.html" TargetMode="External"/><Relationship Id="rId28" Type="http://schemas.openxmlformats.org/officeDocument/2006/relationships/hyperlink" Target="https://techdocs.broadcom.com/us/en/vmware-cis/vcf/vcf-9-0-and-later/9-0/security-and-compliance.html" TargetMode="External"/><Relationship Id="rId36" Type="http://schemas.openxmlformats.org/officeDocument/2006/relationships/customXml" Target="../customXml/item3.xml"/><Relationship Id="rId10" Type="http://schemas.openxmlformats.org/officeDocument/2006/relationships/hyperlink" Target="https://docs.vmware.com/copyright-trademark.html" TargetMode="External"/><Relationship Id="rId19" Type="http://schemas.openxmlformats.org/officeDocument/2006/relationships/hyperlink" Target="https://techdocs.broadcom.com/us/en/vmware-cis/vcf/vcf-9-0-and-later/9-0/building-your-private-cloud-infrastructure.html"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vmware.com/" TargetMode="External"/><Relationship Id="rId14" Type="http://schemas.openxmlformats.org/officeDocument/2006/relationships/hyperlink" Target="https://techdocs.broadcom.com/us/en/vmware-cis/vcf/vcf-9-0-and-later/9-0.html" TargetMode="External"/><Relationship Id="rId22" Type="http://schemas.openxmlformats.org/officeDocument/2006/relationships/hyperlink" Target="https://techdocs.broadcom.com/us/en/vmware-cis/vcf/vcf-9-0-and-later/9-0/advanced-network-management.html" TargetMode="External"/><Relationship Id="rId27" Type="http://schemas.openxmlformats.org/officeDocument/2006/relationships/hyperlink" Target="https://techdocs.broadcom.com/us/en/vmware-cis/vcf/vcf-9-0-and-later/9-0/vsphere-supervisor-installation-and-configuration.html" TargetMode="External"/><Relationship Id="rId30" Type="http://schemas.openxmlformats.org/officeDocument/2006/relationships/header" Target="header1.xml"/><Relationship Id="rId35" Type="http://schemas.openxmlformats.org/officeDocument/2006/relationships/customXml" Target="../customXml/item2.xml"/><Relationship Id="rId8" Type="http://schemas.openxmlformats.org/officeDocument/2006/relationships/hyperlink" Target="https://docs.vmwa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6D9DA77A-8602-4300-B3C1-D1DDD48B182C}"/>
</file>

<file path=customXml/itemProps2.xml><?xml version="1.0" encoding="utf-8"?>
<ds:datastoreItem xmlns:ds="http://schemas.openxmlformats.org/officeDocument/2006/customXml" ds:itemID="{85DF9A63-75F2-4D17-8C35-861AFA739196}"/>
</file>

<file path=customXml/itemProps3.xml><?xml version="1.0" encoding="utf-8"?>
<ds:datastoreItem xmlns:ds="http://schemas.openxmlformats.org/officeDocument/2006/customXml" ds:itemID="{EFF417C9-5259-49C3-9261-4039FA209FAA}"/>
</file>

<file path=docProps/app.xml><?xml version="1.0" encoding="utf-8"?>
<Properties xmlns="http://schemas.openxmlformats.org/officeDocument/2006/extended-properties" xmlns:vt="http://schemas.openxmlformats.org/officeDocument/2006/docPropsVTypes">
  <Template>Normal.dotm</Template>
  <TotalTime>143</TotalTime>
  <Pages>11</Pages>
  <Words>2058</Words>
  <Characters>11737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13768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 for Private Cloud Infrastructure - VMware VCF Automation Installation and Configuration Procedures 9.x</dc:title>
  <dc:creator>VMware, Inc.</dc:creator>
  <cp:lastModifiedBy>Jonathan McDonald</cp:lastModifiedBy>
  <cp:revision>52</cp:revision>
  <dcterms:created xsi:type="dcterms:W3CDTF">2022-05-31T18:02:00Z</dcterms:created>
  <dcterms:modified xsi:type="dcterms:W3CDTF">2026-01-06T13:11:00Z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