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svg" ContentType="image/svg+xml"/>
  <Override PartName="/word/media/image1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VCF Automation Organization Management for All Apps</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6"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8"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tabs>
          <w:tab w:val="left" w:pos="440"/>
          <w:tab w:val="right" w:leader="dot" w:pos="9950"/>
        </w:tabs>
        <w:rPr>
          <w:rFonts w:asciiTheme="minorHAnsi" w:hAnsiTheme="minorHAnsi"/>
          <w:noProof/>
          <w:sz w:val="22"/>
        </w:rPr>
      </w:pPr>
      <w:r>
        <w:rPr>
          <w:rFonts w:cs="Arial"/>
        </w:rPr>
        <w:fldChar w:fldCharType="begin"/>
      </w:r>
      <w:r>
        <w:rPr>
          <w:rFonts w:cs="Arial"/>
        </w:rPr>
        <w:instrText xml:space="preserve"> TOC \o "1-4" \h \z \u </w:instrText>
      </w:r>
      <w:r>
        <w:rPr>
          <w:rFonts w:cs="Arial"/>
        </w:rPr>
        <w:fldChar w:fldCharType="separate"/>
      </w:r>
      <w:hyperlink w:anchor="_Toc256000572"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_Toc256000572 \h </w:instrText>
        </w:r>
        <w:r>
          <w:fldChar w:fldCharType="separate"/>
        </w:r>
        <w:r>
          <w:t>11</w:t>
        </w:r>
        <w:r>
          <w:fldChar w:fldCharType="end"/>
        </w:r>
      </w:hyperlink>
    </w:p>
    <w:p>
      <w:pPr>
        <w:pStyle w:val="TOC2"/>
        <w:tabs>
          <w:tab w:val="right" w:leader="dot" w:pos="9950"/>
        </w:tabs>
        <w:rPr>
          <w:rFonts w:asciiTheme="minorHAnsi" w:hAnsiTheme="minorHAnsi"/>
          <w:noProof/>
          <w:sz w:val="22"/>
        </w:rPr>
      </w:pPr>
      <w:hyperlink w:anchor="_Toc256000573" w:history="1">
        <w:r>
          <w:rPr>
            <w:rStyle w:val="Hyperlink"/>
          </w:rPr>
          <w:t>Overview</w:t>
        </w:r>
        <w:r>
          <w:tab/>
        </w:r>
        <w:r>
          <w:fldChar w:fldCharType="begin"/>
        </w:r>
        <w:r>
          <w:instrText xml:space="preserve"> PAGEREF _Toc256000573 \h </w:instrText>
        </w:r>
        <w:r>
          <w:fldChar w:fldCharType="separate"/>
        </w:r>
        <w:r>
          <w:t>11</w:t>
        </w:r>
        <w:r>
          <w:fldChar w:fldCharType="end"/>
        </w:r>
      </w:hyperlink>
    </w:p>
    <w:p>
      <w:pPr>
        <w:pStyle w:val="TOC3"/>
        <w:tabs>
          <w:tab w:val="right" w:leader="dot" w:pos="9950"/>
        </w:tabs>
        <w:rPr>
          <w:rFonts w:asciiTheme="minorHAnsi" w:hAnsiTheme="minorHAnsi"/>
          <w:noProof/>
          <w:sz w:val="22"/>
        </w:rPr>
      </w:pPr>
      <w:hyperlink w:anchor="_Toc256000574" w:history="1">
        <w:r>
          <w:rPr>
            <w:rStyle w:val="Hyperlink"/>
          </w:rPr>
          <w:t>Executive Summary</w:t>
        </w:r>
        <w:r>
          <w:tab/>
        </w:r>
        <w:r>
          <w:fldChar w:fldCharType="begin"/>
        </w:r>
        <w:r>
          <w:instrText xml:space="preserve"> PAGEREF _Toc256000574 \h </w:instrText>
        </w:r>
        <w:r>
          <w:fldChar w:fldCharType="separate"/>
        </w:r>
        <w:r>
          <w:t>11</w:t>
        </w:r>
        <w:r>
          <w:fldChar w:fldCharType="end"/>
        </w:r>
      </w:hyperlink>
    </w:p>
    <w:p>
      <w:pPr>
        <w:pStyle w:val="TOC3"/>
        <w:tabs>
          <w:tab w:val="right" w:leader="dot" w:pos="9950"/>
        </w:tabs>
        <w:rPr>
          <w:rFonts w:asciiTheme="minorHAnsi" w:hAnsiTheme="minorHAnsi"/>
          <w:noProof/>
          <w:sz w:val="22"/>
        </w:rPr>
      </w:pPr>
      <w:hyperlink w:anchor="_Toc256000575" w:history="1">
        <w:r>
          <w:rPr>
            <w:rStyle w:val="Hyperlink"/>
          </w:rPr>
          <w:t>Document Focus</w:t>
        </w:r>
        <w:r>
          <w:tab/>
        </w:r>
        <w:r>
          <w:fldChar w:fldCharType="begin"/>
        </w:r>
        <w:r>
          <w:instrText xml:space="preserve"> PAGEREF _Toc256000575 \h </w:instrText>
        </w:r>
        <w:r>
          <w:fldChar w:fldCharType="separate"/>
        </w:r>
        <w:r>
          <w:t>11</w:t>
        </w:r>
        <w:r>
          <w:fldChar w:fldCharType="end"/>
        </w:r>
      </w:hyperlink>
    </w:p>
    <w:p>
      <w:pPr>
        <w:pStyle w:val="TOC4"/>
        <w:tabs>
          <w:tab w:val="right" w:leader="dot" w:pos="9950"/>
        </w:tabs>
        <w:rPr>
          <w:rFonts w:asciiTheme="minorHAnsi" w:hAnsiTheme="minorHAnsi"/>
          <w:noProof/>
          <w:sz w:val="22"/>
        </w:rPr>
      </w:pPr>
      <w:hyperlink w:anchor="_Toc256000576" w:history="1">
        <w:r>
          <w:rPr>
            <w:rStyle w:val="Hyperlink"/>
          </w:rPr>
          <w:t>Physical Design</w:t>
        </w:r>
        <w:r>
          <w:tab/>
        </w:r>
        <w:r>
          <w:fldChar w:fldCharType="begin"/>
        </w:r>
        <w:r>
          <w:instrText xml:space="preserve"> PAGEREF _Toc256000576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577" w:history="1">
        <w:r>
          <w:rPr>
            <w:rStyle w:val="Hyperlink"/>
          </w:rPr>
          <w:t>Sizing Workbook</w:t>
        </w:r>
        <w:r>
          <w:tab/>
        </w:r>
        <w:r>
          <w:fldChar w:fldCharType="begin"/>
        </w:r>
        <w:r>
          <w:instrText xml:space="preserve"> PAGEREF _Toc256000577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578" w:history="1">
        <w:r>
          <w:rPr>
            <w:rStyle w:val="Hyperlink"/>
          </w:rPr>
          <w:t>Naming Convention Document</w:t>
        </w:r>
        <w:r>
          <w:tab/>
        </w:r>
        <w:r>
          <w:fldChar w:fldCharType="begin"/>
        </w:r>
        <w:r>
          <w:instrText xml:space="preserve"> PAGEREF _Toc256000578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579" w:history="1">
        <w:r>
          <w:rPr>
            <w:rStyle w:val="Hyperlink"/>
          </w:rPr>
          <w:t>Solution Specification Workbook(s)</w:t>
        </w:r>
        <w:r>
          <w:tab/>
        </w:r>
        <w:r>
          <w:fldChar w:fldCharType="begin"/>
        </w:r>
        <w:r>
          <w:instrText xml:space="preserve"> PAGEREF _Toc256000579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580" w:history="1">
        <w:r>
          <w:rPr>
            <w:rStyle w:val="Hyperlink"/>
          </w:rPr>
          <w:t>Solution Verification Workbook(s)</w:t>
        </w:r>
        <w:r>
          <w:tab/>
        </w:r>
        <w:r>
          <w:fldChar w:fldCharType="begin"/>
        </w:r>
        <w:r>
          <w:instrText xml:space="preserve"> PAGEREF _Toc256000580 \h </w:instrText>
        </w:r>
        <w:r>
          <w:fldChar w:fldCharType="separate"/>
        </w:r>
        <w:r>
          <w:t>13</w:t>
        </w:r>
        <w:r>
          <w:fldChar w:fldCharType="end"/>
        </w:r>
      </w:hyperlink>
    </w:p>
    <w:p>
      <w:pPr>
        <w:pStyle w:val="TOC1"/>
        <w:tabs>
          <w:tab w:val="left" w:pos="440"/>
          <w:tab w:val="right" w:leader="dot" w:pos="9950"/>
        </w:tabs>
        <w:rPr>
          <w:rFonts w:asciiTheme="minorHAnsi" w:hAnsiTheme="minorHAnsi"/>
          <w:noProof/>
          <w:sz w:val="22"/>
        </w:rPr>
      </w:pPr>
      <w:hyperlink w:anchor="_Toc256000581" w:history="1">
        <w:r>
          <w:rPr>
            <w:rStyle w:val="Hyperlink"/>
          </w:rPr>
          <w:t>2.</w:t>
        </w:r>
        <w:r>
          <w:rPr>
            <w:rFonts w:asciiTheme="minorHAnsi" w:hAnsiTheme="minorHAnsi"/>
            <w:noProof/>
            <w:sz w:val="22"/>
          </w:rPr>
          <w:tab/>
        </w:r>
        <w:r>
          <w:rPr>
            <w:rStyle w:val="Hyperlink"/>
          </w:rPr>
          <w:t>Organization Management</w:t>
        </w:r>
        <w:r>
          <w:tab/>
        </w:r>
        <w:r>
          <w:fldChar w:fldCharType="begin"/>
        </w:r>
        <w:r>
          <w:instrText xml:space="preserve"> PAGEREF _Toc256000581 \h </w:instrText>
        </w:r>
        <w:r>
          <w:fldChar w:fldCharType="separate"/>
        </w:r>
        <w:r>
          <w:t>14</w:t>
        </w:r>
        <w:r>
          <w:fldChar w:fldCharType="end"/>
        </w:r>
      </w:hyperlink>
    </w:p>
    <w:p>
      <w:pPr>
        <w:pStyle w:val="TOC2"/>
        <w:tabs>
          <w:tab w:val="right" w:leader="dot" w:pos="9950"/>
        </w:tabs>
        <w:rPr>
          <w:rFonts w:asciiTheme="minorHAnsi" w:hAnsiTheme="minorHAnsi"/>
          <w:noProof/>
          <w:sz w:val="22"/>
        </w:rPr>
      </w:pPr>
      <w:hyperlink w:anchor="_Toc256000582" w:history="1">
        <w:r>
          <w:rPr>
            <w:rStyle w:val="Hyperlink"/>
          </w:rPr>
          <w:t>All Apps Organizations in VCF Automation</w:t>
        </w:r>
        <w:r>
          <w:tab/>
        </w:r>
        <w:r>
          <w:fldChar w:fldCharType="begin"/>
        </w:r>
        <w:r>
          <w:instrText xml:space="preserve"> PAGEREF _Toc256000582 \h </w:instrText>
        </w:r>
        <w:r>
          <w:fldChar w:fldCharType="separate"/>
        </w:r>
        <w:r>
          <w:t>14</w:t>
        </w:r>
        <w:r>
          <w:fldChar w:fldCharType="end"/>
        </w:r>
      </w:hyperlink>
    </w:p>
    <w:p>
      <w:pPr>
        <w:pStyle w:val="TOC2"/>
        <w:tabs>
          <w:tab w:val="right" w:leader="dot" w:pos="9950"/>
        </w:tabs>
        <w:rPr>
          <w:rFonts w:asciiTheme="minorHAnsi" w:hAnsiTheme="minorHAnsi"/>
          <w:noProof/>
          <w:sz w:val="22"/>
        </w:rPr>
      </w:pPr>
      <w:hyperlink w:anchor="_Toc256000583" w:history="1">
        <w:r>
          <w:rPr>
            <w:rStyle w:val="Hyperlink"/>
          </w:rPr>
          <w:t>Provider Consumption Organizations in VCF Automation</w:t>
        </w:r>
        <w:r>
          <w:tab/>
        </w:r>
        <w:r>
          <w:fldChar w:fldCharType="begin"/>
        </w:r>
        <w:r>
          <w:instrText xml:space="preserve"> PAGEREF _Toc256000583 \h </w:instrText>
        </w:r>
        <w:r>
          <w:fldChar w:fldCharType="separate"/>
        </w:r>
        <w:r>
          <w:t>15</w:t>
        </w:r>
        <w:r>
          <w:fldChar w:fldCharType="end"/>
        </w:r>
      </w:hyperlink>
    </w:p>
    <w:p>
      <w:pPr>
        <w:pStyle w:val="TOC2"/>
        <w:tabs>
          <w:tab w:val="right" w:leader="dot" w:pos="9950"/>
        </w:tabs>
        <w:rPr>
          <w:rFonts w:asciiTheme="minorHAnsi" w:hAnsiTheme="minorHAnsi"/>
          <w:noProof/>
          <w:sz w:val="22"/>
        </w:rPr>
      </w:pPr>
      <w:hyperlink w:anchor="_Toc256000584" w:history="1">
        <w:r>
          <w:rPr>
            <w:rStyle w:val="Hyperlink"/>
          </w:rPr>
          <w:t>VM Apps Organizations in VCF Automation</w:t>
        </w:r>
        <w:r>
          <w:tab/>
        </w:r>
        <w:r>
          <w:fldChar w:fldCharType="begin"/>
        </w:r>
        <w:r>
          <w:instrText xml:space="preserve"> PAGEREF _Toc256000584 \h </w:instrText>
        </w:r>
        <w:r>
          <w:fldChar w:fldCharType="separate"/>
        </w:r>
        <w:r>
          <w:t>15</w:t>
        </w:r>
        <w:r>
          <w:fldChar w:fldCharType="end"/>
        </w:r>
      </w:hyperlink>
    </w:p>
    <w:p>
      <w:pPr>
        <w:pStyle w:val="TOC2"/>
        <w:tabs>
          <w:tab w:val="right" w:leader="dot" w:pos="9950"/>
        </w:tabs>
        <w:rPr>
          <w:rFonts w:asciiTheme="minorHAnsi" w:hAnsiTheme="minorHAnsi"/>
          <w:noProof/>
          <w:sz w:val="22"/>
        </w:rPr>
      </w:pPr>
      <w:hyperlink w:anchor="_Toc256000585" w:history="1">
        <w:r>
          <w:rPr>
            <w:rStyle w:val="Hyperlink"/>
          </w:rPr>
          <w:t>Best Practices for Organizations in VCF Automation</w:t>
        </w:r>
        <w:r>
          <w:tab/>
        </w:r>
        <w:r>
          <w:fldChar w:fldCharType="begin"/>
        </w:r>
        <w:r>
          <w:instrText xml:space="preserve"> PAGEREF _Toc256000585 \h </w:instrText>
        </w:r>
        <w:r>
          <w:fldChar w:fldCharType="separate"/>
        </w:r>
        <w:r>
          <w:t>15</w:t>
        </w:r>
        <w:r>
          <w:fldChar w:fldCharType="end"/>
        </w:r>
      </w:hyperlink>
    </w:p>
    <w:p>
      <w:pPr>
        <w:pStyle w:val="TOC2"/>
        <w:tabs>
          <w:tab w:val="right" w:leader="dot" w:pos="9950"/>
        </w:tabs>
        <w:rPr>
          <w:rFonts w:asciiTheme="minorHAnsi" w:hAnsiTheme="minorHAnsi"/>
          <w:noProof/>
          <w:sz w:val="22"/>
        </w:rPr>
      </w:pPr>
      <w:hyperlink w:anchor="_Toc256000586" w:history="1">
        <w:r>
          <w:rPr>
            <w:rStyle w:val="Hyperlink"/>
          </w:rPr>
          <w:t>Getting to Know VCF</w:t>
        </w:r>
        <w:r>
          <w:tab/>
        </w:r>
        <w:r>
          <w:fldChar w:fldCharType="begin"/>
        </w:r>
        <w:r>
          <w:instrText xml:space="preserve"> PAGEREF _Toc256000586 \h </w:instrText>
        </w:r>
        <w:r>
          <w:fldChar w:fldCharType="separate"/>
        </w:r>
        <w:r>
          <w:t>16</w:t>
        </w:r>
        <w:r>
          <w:fldChar w:fldCharType="end"/>
        </w:r>
      </w:hyperlink>
    </w:p>
    <w:p>
      <w:pPr>
        <w:pStyle w:val="TOC2"/>
        <w:tabs>
          <w:tab w:val="right" w:leader="dot" w:pos="9950"/>
        </w:tabs>
        <w:rPr>
          <w:rFonts w:asciiTheme="minorHAnsi" w:hAnsiTheme="minorHAnsi"/>
          <w:noProof/>
          <w:sz w:val="22"/>
        </w:rPr>
      </w:pPr>
      <w:hyperlink w:anchor="_Toc256000587" w:history="1">
        <w:r>
          <w:rPr>
            <w:rStyle w:val="Hyperlink"/>
          </w:rPr>
          <w:t>SDKs, APIs, and CLI for VCF Administration</w:t>
        </w:r>
        <w:r>
          <w:tab/>
        </w:r>
        <w:r>
          <w:fldChar w:fldCharType="begin"/>
        </w:r>
        <w:r>
          <w:instrText xml:space="preserve"> PAGEREF _Toc256000587 \h </w:instrText>
        </w:r>
        <w:r>
          <w:fldChar w:fldCharType="separate"/>
        </w:r>
        <w:r>
          <w:t>16</w:t>
        </w:r>
        <w:r>
          <w:fldChar w:fldCharType="end"/>
        </w:r>
      </w:hyperlink>
    </w:p>
    <w:p>
      <w:pPr>
        <w:pStyle w:val="TOC2"/>
        <w:tabs>
          <w:tab w:val="right" w:leader="dot" w:pos="9950"/>
        </w:tabs>
        <w:rPr>
          <w:rFonts w:asciiTheme="minorHAnsi" w:hAnsiTheme="minorHAnsi"/>
          <w:noProof/>
          <w:sz w:val="22"/>
        </w:rPr>
      </w:pPr>
      <w:hyperlink w:anchor="_Toc256000588" w:history="1">
        <w:r>
          <w:rPr>
            <w:rStyle w:val="Hyperlink"/>
          </w:rPr>
          <w:t>Managing Organizations in VMware Cloud Foundation Automation</w:t>
        </w:r>
        <w:r>
          <w:tab/>
        </w:r>
        <w:r>
          <w:fldChar w:fldCharType="begin"/>
        </w:r>
        <w:r>
          <w:instrText xml:space="preserve"> PAGEREF _Toc256000588 \h </w:instrText>
        </w:r>
        <w:r>
          <w:fldChar w:fldCharType="separate"/>
        </w:r>
        <w:r>
          <w:t>16</w:t>
        </w:r>
        <w:r>
          <w:fldChar w:fldCharType="end"/>
        </w:r>
      </w:hyperlink>
    </w:p>
    <w:p>
      <w:pPr>
        <w:pStyle w:val="TOC3"/>
        <w:tabs>
          <w:tab w:val="right" w:leader="dot" w:pos="9950"/>
        </w:tabs>
        <w:rPr>
          <w:rFonts w:asciiTheme="minorHAnsi" w:hAnsiTheme="minorHAnsi"/>
          <w:noProof/>
          <w:sz w:val="22"/>
        </w:rPr>
      </w:pPr>
      <w:hyperlink w:anchor="_Toc256000589" w:history="1">
        <w:r>
          <w:rPr>
            <w:rStyle w:val="Hyperlink"/>
          </w:rPr>
          <w:t>Infrastructure Concepts</w:t>
        </w:r>
        <w:r>
          <w:tab/>
        </w:r>
        <w:r>
          <w:fldChar w:fldCharType="begin"/>
        </w:r>
        <w:r>
          <w:instrText xml:space="preserve"> PAGEREF _Toc256000589 \h </w:instrText>
        </w:r>
        <w:r>
          <w:fldChar w:fldCharType="separate"/>
        </w:r>
        <w:r>
          <w:t>16</w:t>
        </w:r>
        <w:r>
          <w:fldChar w:fldCharType="end"/>
        </w:r>
      </w:hyperlink>
    </w:p>
    <w:p>
      <w:pPr>
        <w:pStyle w:val="TOC3"/>
        <w:tabs>
          <w:tab w:val="right" w:leader="dot" w:pos="9950"/>
        </w:tabs>
        <w:rPr>
          <w:rFonts w:asciiTheme="minorHAnsi" w:hAnsiTheme="minorHAnsi"/>
          <w:noProof/>
          <w:sz w:val="22"/>
        </w:rPr>
      </w:pPr>
      <w:hyperlink w:anchor="_Toc256000590" w:history="1">
        <w:r>
          <w:rPr>
            <w:rStyle w:val="Hyperlink"/>
          </w:rPr>
          <w:t>Resources for Application Teams</w:t>
        </w:r>
        <w:r>
          <w:tab/>
        </w:r>
        <w:r>
          <w:fldChar w:fldCharType="begin"/>
        </w:r>
        <w:r>
          <w:instrText xml:space="preserve"> PAGEREF _Toc256000590 \h </w:instrText>
        </w:r>
        <w:r>
          <w:fldChar w:fldCharType="separate"/>
        </w:r>
        <w:r>
          <w:t>17</w:t>
        </w:r>
        <w:r>
          <w:fldChar w:fldCharType="end"/>
        </w:r>
      </w:hyperlink>
    </w:p>
    <w:p>
      <w:pPr>
        <w:pStyle w:val="TOC3"/>
        <w:tabs>
          <w:tab w:val="right" w:leader="dot" w:pos="9950"/>
        </w:tabs>
        <w:rPr>
          <w:rFonts w:asciiTheme="minorHAnsi" w:hAnsiTheme="minorHAnsi"/>
          <w:noProof/>
          <w:sz w:val="22"/>
        </w:rPr>
      </w:pPr>
      <w:hyperlink w:anchor="_Toc256000591" w:history="1">
        <w:r>
          <w:rPr>
            <w:rStyle w:val="Hyperlink"/>
          </w:rPr>
          <w:t>Networking Concepts</w:t>
        </w:r>
        <w:r>
          <w:tab/>
        </w:r>
        <w:r>
          <w:fldChar w:fldCharType="begin"/>
        </w:r>
        <w:r>
          <w:instrText xml:space="preserve"> PAGEREF _Toc256000591 \h </w:instrText>
        </w:r>
        <w:r>
          <w:fldChar w:fldCharType="separate"/>
        </w:r>
        <w:r>
          <w:t>17</w:t>
        </w:r>
        <w:r>
          <w:fldChar w:fldCharType="end"/>
        </w:r>
      </w:hyperlink>
    </w:p>
    <w:p>
      <w:pPr>
        <w:pStyle w:val="TOC3"/>
        <w:tabs>
          <w:tab w:val="right" w:leader="dot" w:pos="9950"/>
        </w:tabs>
        <w:rPr>
          <w:rFonts w:asciiTheme="minorHAnsi" w:hAnsiTheme="minorHAnsi"/>
          <w:noProof/>
          <w:sz w:val="22"/>
        </w:rPr>
      </w:pPr>
      <w:hyperlink w:anchor="_Toc256000592" w:history="1">
        <w:r>
          <w:rPr>
            <w:rStyle w:val="Hyperlink"/>
          </w:rPr>
          <w:t>Consumption Concepts</w:t>
        </w:r>
        <w:r>
          <w:tab/>
        </w:r>
        <w:r>
          <w:fldChar w:fldCharType="begin"/>
        </w:r>
        <w:r>
          <w:instrText xml:space="preserve"> PAGEREF _Toc256000592 \h </w:instrText>
        </w:r>
        <w:r>
          <w:fldChar w:fldCharType="separate"/>
        </w:r>
        <w:r>
          <w:t>18</w:t>
        </w:r>
        <w:r>
          <w:fldChar w:fldCharType="end"/>
        </w:r>
      </w:hyperlink>
    </w:p>
    <w:p>
      <w:pPr>
        <w:pStyle w:val="TOC2"/>
        <w:tabs>
          <w:tab w:val="right" w:leader="dot" w:pos="9950"/>
        </w:tabs>
        <w:rPr>
          <w:rFonts w:asciiTheme="minorHAnsi" w:hAnsiTheme="minorHAnsi"/>
          <w:noProof/>
          <w:sz w:val="22"/>
        </w:rPr>
      </w:pPr>
      <w:hyperlink w:anchor="_Toc256000593" w:history="1">
        <w:r>
          <w:rPr>
            <w:rStyle w:val="Hyperlink"/>
          </w:rPr>
          <w:t>Getting Started with Organizations in VCF Automation</w:t>
        </w:r>
        <w:r>
          <w:tab/>
        </w:r>
        <w:r>
          <w:fldChar w:fldCharType="begin"/>
        </w:r>
        <w:r>
          <w:instrText xml:space="preserve"> PAGEREF _Toc256000593 \h </w:instrText>
        </w:r>
        <w:r>
          <w:fldChar w:fldCharType="separate"/>
        </w:r>
        <w:r>
          <w:t>18</w:t>
        </w:r>
        <w:r>
          <w:fldChar w:fldCharType="end"/>
        </w:r>
      </w:hyperlink>
    </w:p>
    <w:p>
      <w:pPr>
        <w:pStyle w:val="TOC3"/>
        <w:tabs>
          <w:tab w:val="right" w:leader="dot" w:pos="9950"/>
        </w:tabs>
        <w:rPr>
          <w:rFonts w:asciiTheme="minorHAnsi" w:hAnsiTheme="minorHAnsi"/>
          <w:noProof/>
          <w:sz w:val="22"/>
        </w:rPr>
      </w:pPr>
      <w:hyperlink w:anchor="_Toc256000594" w:history="1">
        <w:r>
          <w:rPr>
            <w:rStyle w:val="Hyperlink"/>
          </w:rPr>
          <w:t>Using the VCF Automation Organization User Interface</w:t>
        </w:r>
        <w:r>
          <w:tab/>
        </w:r>
        <w:r>
          <w:fldChar w:fldCharType="begin"/>
        </w:r>
        <w:r>
          <w:instrText xml:space="preserve"> PAGEREF _Toc256000594 \h </w:instrText>
        </w:r>
        <w:r>
          <w:fldChar w:fldCharType="separate"/>
        </w:r>
        <w:r>
          <w:t>18</w:t>
        </w:r>
        <w:r>
          <w:fldChar w:fldCharType="end"/>
        </w:r>
      </w:hyperlink>
    </w:p>
    <w:p>
      <w:pPr>
        <w:pStyle w:val="TOC3"/>
        <w:tabs>
          <w:tab w:val="right" w:leader="dot" w:pos="9950"/>
        </w:tabs>
        <w:rPr>
          <w:rFonts w:asciiTheme="minorHAnsi" w:hAnsiTheme="minorHAnsi"/>
          <w:noProof/>
          <w:sz w:val="22"/>
        </w:rPr>
      </w:pPr>
      <w:hyperlink w:anchor="_Toc256000595" w:history="1">
        <w:r>
          <w:rPr>
            <w:rStyle w:val="Hyperlink"/>
          </w:rPr>
          <w:t>Review Assigned Resources</w:t>
        </w:r>
        <w:r>
          <w:tab/>
        </w:r>
        <w:r>
          <w:fldChar w:fldCharType="begin"/>
        </w:r>
        <w:r>
          <w:instrText xml:space="preserve"> PAGEREF _Toc256000595 \h </w:instrText>
        </w:r>
        <w:r>
          <w:fldChar w:fldCharType="separate"/>
        </w:r>
        <w:r>
          <w:t>19</w:t>
        </w:r>
        <w:r>
          <w:fldChar w:fldCharType="end"/>
        </w:r>
      </w:hyperlink>
    </w:p>
    <w:p>
      <w:pPr>
        <w:pStyle w:val="TOC3"/>
        <w:tabs>
          <w:tab w:val="right" w:leader="dot" w:pos="9950"/>
        </w:tabs>
        <w:rPr>
          <w:rFonts w:asciiTheme="minorHAnsi" w:hAnsiTheme="minorHAnsi"/>
          <w:noProof/>
          <w:sz w:val="22"/>
        </w:rPr>
      </w:pPr>
      <w:hyperlink w:anchor="_Toc256000596" w:history="1">
        <w:r>
          <w:rPr>
            <w:rStyle w:val="Hyperlink"/>
          </w:rPr>
          <w:t>Using the VCF Automation API Interfaces</w:t>
        </w:r>
        <w:r>
          <w:tab/>
        </w:r>
        <w:r>
          <w:fldChar w:fldCharType="begin"/>
        </w:r>
        <w:r>
          <w:instrText xml:space="preserve"> PAGEREF _Toc256000596 \h </w:instrText>
        </w:r>
        <w:r>
          <w:fldChar w:fldCharType="separate"/>
        </w:r>
        <w:r>
          <w:t>19</w:t>
        </w:r>
        <w:r>
          <w:fldChar w:fldCharType="end"/>
        </w:r>
      </w:hyperlink>
    </w:p>
    <w:p>
      <w:pPr>
        <w:pStyle w:val="TOC3"/>
        <w:tabs>
          <w:tab w:val="right" w:leader="dot" w:pos="9950"/>
        </w:tabs>
        <w:rPr>
          <w:rFonts w:asciiTheme="minorHAnsi" w:hAnsiTheme="minorHAnsi"/>
          <w:noProof/>
          <w:sz w:val="22"/>
        </w:rPr>
      </w:pPr>
      <w:hyperlink w:anchor="_Toc256000597" w:history="1">
        <w:r>
          <w:rPr>
            <w:rStyle w:val="Hyperlink"/>
          </w:rPr>
          <w:t>Set Up Your VCF Automation Organization</w:t>
        </w:r>
        <w:r>
          <w:tab/>
        </w:r>
        <w:r>
          <w:fldChar w:fldCharType="begin"/>
        </w:r>
        <w:r>
          <w:instrText xml:space="preserve"> PAGEREF _Toc256000597 \h </w:instrText>
        </w:r>
        <w:r>
          <w:fldChar w:fldCharType="separate"/>
        </w:r>
        <w:r>
          <w:t>20</w:t>
        </w:r>
        <w:r>
          <w:fldChar w:fldCharType="end"/>
        </w:r>
      </w:hyperlink>
    </w:p>
    <w:p>
      <w:pPr>
        <w:pStyle w:val="TOC2"/>
        <w:tabs>
          <w:tab w:val="right" w:leader="dot" w:pos="9950"/>
        </w:tabs>
        <w:rPr>
          <w:rFonts w:asciiTheme="minorHAnsi" w:hAnsiTheme="minorHAnsi"/>
          <w:noProof/>
          <w:sz w:val="22"/>
        </w:rPr>
      </w:pPr>
      <w:hyperlink w:anchor="_Toc256000598" w:history="1">
        <w:r>
          <w:rPr>
            <w:rStyle w:val="Hyperlink"/>
          </w:rPr>
          <w:t>Managing Identity Providers in VCF Automation Organizations</w:t>
        </w:r>
        <w:r>
          <w:tab/>
        </w:r>
        <w:r>
          <w:fldChar w:fldCharType="begin"/>
        </w:r>
        <w:r>
          <w:instrText xml:space="preserve"> PAGEREF _Toc256000598 \h </w:instrText>
        </w:r>
        <w:r>
          <w:fldChar w:fldCharType="separate"/>
        </w:r>
        <w:r>
          <w:t>22</w:t>
        </w:r>
        <w:r>
          <w:fldChar w:fldCharType="end"/>
        </w:r>
      </w:hyperlink>
    </w:p>
    <w:p>
      <w:pPr>
        <w:pStyle w:val="TOC3"/>
        <w:tabs>
          <w:tab w:val="right" w:leader="dot" w:pos="9950"/>
        </w:tabs>
        <w:rPr>
          <w:rFonts w:asciiTheme="minorHAnsi" w:hAnsiTheme="minorHAnsi"/>
          <w:noProof/>
          <w:sz w:val="22"/>
        </w:rPr>
      </w:pPr>
      <w:hyperlink w:anchor="_Toc256000599" w:history="1">
        <w:r>
          <w:rPr>
            <w:rStyle w:val="Hyperlink"/>
          </w:rPr>
          <w:t>Configure Your VCF Automation Organization to Use a Custom LDAP Connection</w:t>
        </w:r>
        <w:r>
          <w:tab/>
        </w:r>
        <w:r>
          <w:fldChar w:fldCharType="begin"/>
        </w:r>
        <w:r>
          <w:instrText xml:space="preserve"> PAGEREF _Toc256000599 \h </w:instrText>
        </w:r>
        <w:r>
          <w:fldChar w:fldCharType="separate"/>
        </w:r>
        <w:r>
          <w:t>22</w:t>
        </w:r>
        <w:r>
          <w:fldChar w:fldCharType="end"/>
        </w:r>
      </w:hyperlink>
    </w:p>
    <w:p>
      <w:pPr>
        <w:pStyle w:val="TOC3"/>
        <w:tabs>
          <w:tab w:val="right" w:leader="dot" w:pos="9950"/>
        </w:tabs>
        <w:rPr>
          <w:rFonts w:asciiTheme="minorHAnsi" w:hAnsiTheme="minorHAnsi"/>
          <w:noProof/>
          <w:sz w:val="22"/>
        </w:rPr>
      </w:pPr>
      <w:hyperlink w:anchor="_Toc256000600" w:history="1">
        <w:r>
          <w:rPr>
            <w:rStyle w:val="Hyperlink"/>
          </w:rPr>
          <w:t>Configure Your VCF Automation Organization to Use a SAML Identity Provider</w:t>
        </w:r>
        <w:r>
          <w:tab/>
        </w:r>
        <w:r>
          <w:fldChar w:fldCharType="begin"/>
        </w:r>
        <w:r>
          <w:instrText xml:space="preserve"> PAGEREF _Toc256000600 \h </w:instrText>
        </w:r>
        <w:r>
          <w:fldChar w:fldCharType="separate"/>
        </w:r>
        <w:r>
          <w:t>24</w:t>
        </w:r>
        <w:r>
          <w:fldChar w:fldCharType="end"/>
        </w:r>
      </w:hyperlink>
    </w:p>
    <w:p>
      <w:pPr>
        <w:pStyle w:val="TOC3"/>
        <w:tabs>
          <w:tab w:val="right" w:leader="dot" w:pos="9950"/>
        </w:tabs>
        <w:rPr>
          <w:rFonts w:asciiTheme="minorHAnsi" w:hAnsiTheme="minorHAnsi"/>
          <w:noProof/>
          <w:sz w:val="22"/>
        </w:rPr>
      </w:pPr>
      <w:hyperlink w:anchor="_Toc256000601" w:history="1">
        <w:r>
          <w:rPr>
            <w:rStyle w:val="Hyperlink"/>
          </w:rPr>
          <w:t>Configure Your VCF Automation Organization to Use an OpenID Identity Provider</w:t>
        </w:r>
        <w:r>
          <w:tab/>
        </w:r>
        <w:r>
          <w:fldChar w:fldCharType="begin"/>
        </w:r>
        <w:r>
          <w:instrText xml:space="preserve"> PAGEREF _Toc256000601 \h </w:instrText>
        </w:r>
        <w:r>
          <w:fldChar w:fldCharType="separate"/>
        </w:r>
        <w:r>
          <w:t>26</w:t>
        </w:r>
        <w:r>
          <w:fldChar w:fldCharType="end"/>
        </w:r>
      </w:hyperlink>
    </w:p>
    <w:p>
      <w:pPr>
        <w:pStyle w:val="TOC2"/>
        <w:tabs>
          <w:tab w:val="right" w:leader="dot" w:pos="9950"/>
        </w:tabs>
        <w:rPr>
          <w:rFonts w:asciiTheme="minorHAnsi" w:hAnsiTheme="minorHAnsi"/>
          <w:noProof/>
          <w:sz w:val="22"/>
        </w:rPr>
      </w:pPr>
      <w:hyperlink w:anchor="_Toc256000602" w:history="1">
        <w:r>
          <w:rPr>
            <w:rStyle w:val="Hyperlink"/>
          </w:rPr>
          <w:t>Managing Predefined User Roles in VCF Automation</w:t>
        </w:r>
        <w:r>
          <w:tab/>
        </w:r>
        <w:r>
          <w:fldChar w:fldCharType="begin"/>
        </w:r>
        <w:r>
          <w:instrText xml:space="preserve"> PAGEREF _Toc256000602 \h </w:instrText>
        </w:r>
        <w:r>
          <w:fldChar w:fldCharType="separate"/>
        </w:r>
        <w:r>
          <w:t>29</w:t>
        </w:r>
        <w:r>
          <w:fldChar w:fldCharType="end"/>
        </w:r>
      </w:hyperlink>
    </w:p>
    <w:p>
      <w:pPr>
        <w:pStyle w:val="TOC3"/>
        <w:tabs>
          <w:tab w:val="right" w:leader="dot" w:pos="9950"/>
        </w:tabs>
        <w:rPr>
          <w:rFonts w:asciiTheme="minorHAnsi" w:hAnsiTheme="minorHAnsi"/>
          <w:noProof/>
          <w:sz w:val="22"/>
        </w:rPr>
      </w:pPr>
      <w:hyperlink w:anchor="_Toc256000603" w:history="1">
        <w:r>
          <w:rPr>
            <w:rStyle w:val="Hyperlink"/>
          </w:rPr>
          <w:t>What are User Roles in VCF Automation</w:t>
        </w:r>
        <w:r>
          <w:tab/>
        </w:r>
        <w:r>
          <w:fldChar w:fldCharType="begin"/>
        </w:r>
        <w:r>
          <w:instrText xml:space="preserve"> PAGEREF _Toc256000603 \h </w:instrText>
        </w:r>
        <w:r>
          <w:fldChar w:fldCharType="separate"/>
        </w:r>
        <w:r>
          <w:t>29</w:t>
        </w:r>
        <w:r>
          <w:fldChar w:fldCharType="end"/>
        </w:r>
      </w:hyperlink>
    </w:p>
    <w:p>
      <w:pPr>
        <w:pStyle w:val="TOC3"/>
        <w:tabs>
          <w:tab w:val="right" w:leader="dot" w:pos="9950"/>
        </w:tabs>
        <w:rPr>
          <w:rFonts w:asciiTheme="minorHAnsi" w:hAnsiTheme="minorHAnsi"/>
          <w:noProof/>
          <w:sz w:val="22"/>
        </w:rPr>
      </w:pPr>
      <w:hyperlink w:anchor="_Toc256000604" w:history="1">
        <w:r>
          <w:rPr>
            <w:rStyle w:val="Hyperlink"/>
          </w:rPr>
          <w:t>Predefined Organization Roles</w:t>
        </w:r>
        <w:r>
          <w:tab/>
        </w:r>
        <w:r>
          <w:fldChar w:fldCharType="begin"/>
        </w:r>
        <w:r>
          <w:instrText xml:space="preserve"> PAGEREF _Toc256000604 \h </w:instrText>
        </w:r>
        <w:r>
          <w:fldChar w:fldCharType="separate"/>
        </w:r>
        <w:r>
          <w:t>30</w:t>
        </w:r>
        <w:r>
          <w:fldChar w:fldCharType="end"/>
        </w:r>
      </w:hyperlink>
    </w:p>
    <w:p>
      <w:pPr>
        <w:pStyle w:val="TOC3"/>
        <w:tabs>
          <w:tab w:val="right" w:leader="dot" w:pos="9950"/>
        </w:tabs>
        <w:rPr>
          <w:rFonts w:asciiTheme="minorHAnsi" w:hAnsiTheme="minorHAnsi"/>
          <w:noProof/>
          <w:sz w:val="22"/>
        </w:rPr>
      </w:pPr>
      <w:hyperlink w:anchor="_Toc256000605" w:history="1">
        <w:r>
          <w:rPr>
            <w:rStyle w:val="Hyperlink"/>
          </w:rPr>
          <w:t>Custom Organization Roles</w:t>
        </w:r>
        <w:r>
          <w:tab/>
        </w:r>
        <w:r>
          <w:fldChar w:fldCharType="begin"/>
        </w:r>
        <w:r>
          <w:instrText xml:space="preserve"> PAGEREF _Toc256000605 \h </w:instrText>
        </w:r>
        <w:r>
          <w:fldChar w:fldCharType="separate"/>
        </w:r>
        <w:r>
          <w:t>31</w:t>
        </w:r>
        <w:r>
          <w:fldChar w:fldCharType="end"/>
        </w:r>
      </w:hyperlink>
    </w:p>
    <w:p>
      <w:pPr>
        <w:pStyle w:val="TOC3"/>
        <w:tabs>
          <w:tab w:val="right" w:leader="dot" w:pos="9950"/>
        </w:tabs>
        <w:rPr>
          <w:rFonts w:asciiTheme="minorHAnsi" w:hAnsiTheme="minorHAnsi"/>
          <w:noProof/>
          <w:sz w:val="22"/>
        </w:rPr>
      </w:pPr>
      <w:hyperlink w:anchor="_Toc256000606" w:history="1">
        <w:r>
          <w:rPr>
            <w:rStyle w:val="Hyperlink"/>
          </w:rPr>
          <w:t>Project Roles</w:t>
        </w:r>
        <w:r>
          <w:tab/>
        </w:r>
        <w:r>
          <w:fldChar w:fldCharType="begin"/>
        </w:r>
        <w:r>
          <w:instrText xml:space="preserve"> PAGEREF _Toc256000606 \h </w:instrText>
        </w:r>
        <w:r>
          <w:fldChar w:fldCharType="separate"/>
        </w:r>
        <w:r>
          <w:t>31</w:t>
        </w:r>
        <w:r>
          <w:fldChar w:fldCharType="end"/>
        </w:r>
      </w:hyperlink>
    </w:p>
    <w:p>
      <w:pPr>
        <w:pStyle w:val="TOC3"/>
        <w:tabs>
          <w:tab w:val="right" w:leader="dot" w:pos="9950"/>
        </w:tabs>
        <w:rPr>
          <w:rFonts w:asciiTheme="minorHAnsi" w:hAnsiTheme="minorHAnsi"/>
          <w:noProof/>
          <w:sz w:val="22"/>
        </w:rPr>
      </w:pPr>
      <w:hyperlink w:anchor="_Toc256000607" w:history="1">
        <w:r>
          <w:rPr>
            <w:rStyle w:val="Hyperlink"/>
          </w:rPr>
          <w:t>Predefined Roles and Permissions in VCF Automation</w:t>
        </w:r>
        <w:r>
          <w:tab/>
        </w:r>
        <w:r>
          <w:fldChar w:fldCharType="begin"/>
        </w:r>
        <w:r>
          <w:instrText xml:space="preserve"> PAGEREF _Toc256000607 \h </w:instrText>
        </w:r>
        <w:r>
          <w:fldChar w:fldCharType="separate"/>
        </w:r>
        <w:r>
          <w:t>32</w:t>
        </w:r>
        <w:r>
          <w:fldChar w:fldCharType="end"/>
        </w:r>
      </w:hyperlink>
    </w:p>
    <w:p>
      <w:pPr>
        <w:pStyle w:val="TOC3"/>
        <w:tabs>
          <w:tab w:val="right" w:leader="dot" w:pos="9950"/>
        </w:tabs>
        <w:rPr>
          <w:rFonts w:asciiTheme="minorHAnsi" w:hAnsiTheme="minorHAnsi"/>
          <w:noProof/>
          <w:sz w:val="22"/>
        </w:rPr>
      </w:pPr>
      <w:hyperlink w:anchor="_Toc256000608" w:history="1">
        <w:r>
          <w:rPr>
            <w:rStyle w:val="Hyperlink"/>
          </w:rPr>
          <w:t>Add Users and Assign Roles in VCF Automation</w:t>
        </w:r>
        <w:r>
          <w:tab/>
        </w:r>
        <w:r>
          <w:fldChar w:fldCharType="begin"/>
        </w:r>
        <w:r>
          <w:instrText xml:space="preserve"> PAGEREF _Toc256000608 \h </w:instrText>
        </w:r>
        <w:r>
          <w:fldChar w:fldCharType="separate"/>
        </w:r>
        <w:r>
          <w:t>47</w:t>
        </w:r>
        <w:r>
          <w:fldChar w:fldCharType="end"/>
        </w:r>
      </w:hyperlink>
    </w:p>
    <w:p>
      <w:pPr>
        <w:pStyle w:val="TOC3"/>
        <w:tabs>
          <w:tab w:val="right" w:leader="dot" w:pos="9950"/>
        </w:tabs>
        <w:rPr>
          <w:rFonts w:asciiTheme="minorHAnsi" w:hAnsiTheme="minorHAnsi"/>
          <w:noProof/>
          <w:sz w:val="22"/>
        </w:rPr>
      </w:pPr>
      <w:hyperlink w:anchor="_Toc256000609" w:history="1">
        <w:r>
          <w:rPr>
            <w:rStyle w:val="Hyperlink"/>
          </w:rPr>
          <w:t>Add Group and Assign Roles in VCF Automation</w:t>
        </w:r>
        <w:r>
          <w:tab/>
        </w:r>
        <w:r>
          <w:fldChar w:fldCharType="begin"/>
        </w:r>
        <w:r>
          <w:instrText xml:space="preserve"> PAGEREF _Toc256000609 \h </w:instrText>
        </w:r>
        <w:r>
          <w:fldChar w:fldCharType="separate"/>
        </w:r>
        <w:r>
          <w:t>48</w:t>
        </w:r>
        <w:r>
          <w:fldChar w:fldCharType="end"/>
        </w:r>
      </w:hyperlink>
    </w:p>
    <w:p>
      <w:pPr>
        <w:pStyle w:val="TOC3"/>
        <w:tabs>
          <w:tab w:val="right" w:leader="dot" w:pos="9950"/>
        </w:tabs>
        <w:rPr>
          <w:rFonts w:asciiTheme="minorHAnsi" w:hAnsiTheme="minorHAnsi"/>
          <w:noProof/>
          <w:sz w:val="22"/>
        </w:rPr>
      </w:pPr>
      <w:hyperlink w:anchor="_Toc256000610" w:history="1">
        <w:r>
          <w:rPr>
            <w:rStyle w:val="Hyperlink"/>
          </w:rPr>
          <w:t>Disable and Delete Users in VCF Automation</w:t>
        </w:r>
        <w:r>
          <w:tab/>
        </w:r>
        <w:r>
          <w:fldChar w:fldCharType="begin"/>
        </w:r>
        <w:r>
          <w:instrText xml:space="preserve"> PAGEREF _Toc256000610 \h </w:instrText>
        </w:r>
        <w:r>
          <w:fldChar w:fldCharType="separate"/>
        </w:r>
        <w:r>
          <w:t>49</w:t>
        </w:r>
        <w:r>
          <w:fldChar w:fldCharType="end"/>
        </w:r>
      </w:hyperlink>
    </w:p>
    <w:p>
      <w:pPr>
        <w:pStyle w:val="TOC3"/>
        <w:tabs>
          <w:tab w:val="right" w:leader="dot" w:pos="9950"/>
        </w:tabs>
        <w:rPr>
          <w:rFonts w:asciiTheme="minorHAnsi" w:hAnsiTheme="minorHAnsi"/>
          <w:noProof/>
          <w:sz w:val="22"/>
        </w:rPr>
      </w:pPr>
      <w:hyperlink w:anchor="_Toc256000611" w:history="1">
        <w:r>
          <w:rPr>
            <w:rStyle w:val="Hyperlink"/>
          </w:rPr>
          <w:t>Create a Custom Role in VCF Automation</w:t>
        </w:r>
        <w:r>
          <w:tab/>
        </w:r>
        <w:r>
          <w:fldChar w:fldCharType="begin"/>
        </w:r>
        <w:r>
          <w:instrText xml:space="preserve"> PAGEREF _Toc256000611 \h </w:instrText>
        </w:r>
        <w:r>
          <w:fldChar w:fldCharType="separate"/>
        </w:r>
        <w:r>
          <w:t>50</w:t>
        </w:r>
        <w:r>
          <w:fldChar w:fldCharType="end"/>
        </w:r>
      </w:hyperlink>
    </w:p>
    <w:p>
      <w:pPr>
        <w:pStyle w:val="TOC2"/>
        <w:tabs>
          <w:tab w:val="right" w:leader="dot" w:pos="9950"/>
        </w:tabs>
        <w:rPr>
          <w:rFonts w:asciiTheme="minorHAnsi" w:hAnsiTheme="minorHAnsi"/>
          <w:noProof/>
          <w:sz w:val="22"/>
        </w:rPr>
      </w:pPr>
      <w:hyperlink w:anchor="_Toc256000612" w:history="1">
        <w:r>
          <w:rPr>
            <w:rStyle w:val="Hyperlink"/>
          </w:rPr>
          <w:t>Managing Networking in VCF Automation</w:t>
        </w:r>
        <w:r>
          <w:tab/>
        </w:r>
        <w:r>
          <w:fldChar w:fldCharType="begin"/>
        </w:r>
        <w:r>
          <w:instrText xml:space="preserve"> PAGEREF _Toc256000612 \h </w:instrText>
        </w:r>
        <w:r>
          <w:fldChar w:fldCharType="separate"/>
        </w:r>
        <w:r>
          <w:t>50</w:t>
        </w:r>
        <w:r>
          <w:fldChar w:fldCharType="end"/>
        </w:r>
      </w:hyperlink>
    </w:p>
    <w:p>
      <w:pPr>
        <w:pStyle w:val="TOC3"/>
        <w:tabs>
          <w:tab w:val="right" w:leader="dot" w:pos="9950"/>
        </w:tabs>
        <w:rPr>
          <w:rFonts w:asciiTheme="minorHAnsi" w:hAnsiTheme="minorHAnsi"/>
          <w:noProof/>
          <w:sz w:val="22"/>
        </w:rPr>
      </w:pPr>
      <w:hyperlink w:anchor="_Toc256000613" w:history="1">
        <w:r>
          <w:rPr>
            <w:rStyle w:val="Hyperlink"/>
          </w:rPr>
          <w:t>Virtual Private Clouds (VPCs)</w:t>
        </w:r>
        <w:r>
          <w:tab/>
        </w:r>
        <w:r>
          <w:fldChar w:fldCharType="begin"/>
        </w:r>
        <w:r>
          <w:instrText xml:space="preserve"> PAGEREF _Toc256000613 \h </w:instrText>
        </w:r>
        <w:r>
          <w:fldChar w:fldCharType="separate"/>
        </w:r>
        <w:r>
          <w:t>50</w:t>
        </w:r>
        <w:r>
          <w:fldChar w:fldCharType="end"/>
        </w:r>
      </w:hyperlink>
    </w:p>
    <w:p>
      <w:pPr>
        <w:pStyle w:val="TOC3"/>
        <w:tabs>
          <w:tab w:val="right" w:leader="dot" w:pos="9950"/>
        </w:tabs>
        <w:rPr>
          <w:rFonts w:asciiTheme="minorHAnsi" w:hAnsiTheme="minorHAnsi"/>
          <w:noProof/>
          <w:sz w:val="22"/>
        </w:rPr>
      </w:pPr>
      <w:hyperlink w:anchor="_Toc256000614" w:history="1">
        <w:r>
          <w:rPr>
            <w:rStyle w:val="Hyperlink"/>
          </w:rPr>
          <w:t>Connectivity profiles</w:t>
        </w:r>
        <w:r>
          <w:tab/>
        </w:r>
        <w:r>
          <w:fldChar w:fldCharType="begin"/>
        </w:r>
        <w:r>
          <w:instrText xml:space="preserve"> PAGEREF _Toc256000614 \h </w:instrText>
        </w:r>
        <w:r>
          <w:fldChar w:fldCharType="separate"/>
        </w:r>
        <w:r>
          <w:t>51</w:t>
        </w:r>
        <w:r>
          <w:fldChar w:fldCharType="end"/>
        </w:r>
      </w:hyperlink>
    </w:p>
    <w:p>
      <w:pPr>
        <w:pStyle w:val="TOC3"/>
        <w:tabs>
          <w:tab w:val="right" w:leader="dot" w:pos="9950"/>
        </w:tabs>
        <w:rPr>
          <w:rFonts w:asciiTheme="minorHAnsi" w:hAnsiTheme="minorHAnsi"/>
          <w:noProof/>
          <w:sz w:val="22"/>
        </w:rPr>
      </w:pPr>
      <w:hyperlink w:anchor="_Toc256000615" w:history="1">
        <w:r>
          <w:rPr>
            <w:rStyle w:val="Hyperlink"/>
          </w:rPr>
          <w:t>Transit gateways</w:t>
        </w:r>
        <w:r>
          <w:tab/>
        </w:r>
        <w:r>
          <w:fldChar w:fldCharType="begin"/>
        </w:r>
        <w:r>
          <w:instrText xml:space="preserve"> PAGEREF _Toc256000615 \h </w:instrText>
        </w:r>
        <w:r>
          <w:fldChar w:fldCharType="separate"/>
        </w:r>
        <w:r>
          <w:t>51</w:t>
        </w:r>
        <w:r>
          <w:fldChar w:fldCharType="end"/>
        </w:r>
      </w:hyperlink>
    </w:p>
    <w:p>
      <w:pPr>
        <w:pStyle w:val="TOC3"/>
        <w:tabs>
          <w:tab w:val="right" w:leader="dot" w:pos="9950"/>
        </w:tabs>
        <w:rPr>
          <w:rFonts w:asciiTheme="minorHAnsi" w:hAnsiTheme="minorHAnsi"/>
          <w:noProof/>
          <w:sz w:val="22"/>
        </w:rPr>
      </w:pPr>
      <w:hyperlink w:anchor="_Toc256000616" w:history="1">
        <w:r>
          <w:rPr>
            <w:rStyle w:val="Hyperlink"/>
          </w:rPr>
          <w:t>Best Practices for Organization Networking</w:t>
        </w:r>
        <w:r>
          <w:tab/>
        </w:r>
        <w:r>
          <w:fldChar w:fldCharType="begin"/>
        </w:r>
        <w:r>
          <w:instrText xml:space="preserve"> PAGEREF _Toc256000616 \h </w:instrText>
        </w:r>
        <w:r>
          <w:fldChar w:fldCharType="separate"/>
        </w:r>
        <w:r>
          <w:t>51</w:t>
        </w:r>
        <w:r>
          <w:fldChar w:fldCharType="end"/>
        </w:r>
      </w:hyperlink>
    </w:p>
    <w:p>
      <w:pPr>
        <w:pStyle w:val="TOC3"/>
        <w:tabs>
          <w:tab w:val="right" w:leader="dot" w:pos="9950"/>
        </w:tabs>
        <w:rPr>
          <w:rFonts w:asciiTheme="minorHAnsi" w:hAnsiTheme="minorHAnsi"/>
          <w:noProof/>
          <w:sz w:val="22"/>
        </w:rPr>
      </w:pPr>
      <w:hyperlink w:anchor="_Toc256000617" w:history="1">
        <w:r>
          <w:rPr>
            <w:rStyle w:val="Hyperlink"/>
          </w:rPr>
          <w:t>Create a Connectivity Profile in VCF Automation</w:t>
        </w:r>
        <w:r>
          <w:tab/>
        </w:r>
        <w:r>
          <w:fldChar w:fldCharType="begin"/>
        </w:r>
        <w:r>
          <w:instrText xml:space="preserve"> PAGEREF _Toc256000617 \h </w:instrText>
        </w:r>
        <w:r>
          <w:fldChar w:fldCharType="separate"/>
        </w:r>
        <w:r>
          <w:t>52</w:t>
        </w:r>
        <w:r>
          <w:fldChar w:fldCharType="end"/>
        </w:r>
      </w:hyperlink>
    </w:p>
    <w:p>
      <w:pPr>
        <w:pStyle w:val="TOC3"/>
        <w:tabs>
          <w:tab w:val="right" w:leader="dot" w:pos="9950"/>
        </w:tabs>
        <w:rPr>
          <w:rFonts w:asciiTheme="minorHAnsi" w:hAnsiTheme="minorHAnsi"/>
          <w:noProof/>
          <w:sz w:val="22"/>
        </w:rPr>
      </w:pPr>
      <w:hyperlink w:anchor="_Toc256000618" w:history="1">
        <w:r>
          <w:rPr>
            <w:rStyle w:val="Hyperlink"/>
          </w:rPr>
          <w:t>Create a Virtual Private Cloud in VCF Automation</w:t>
        </w:r>
        <w:r>
          <w:tab/>
        </w:r>
        <w:r>
          <w:fldChar w:fldCharType="begin"/>
        </w:r>
        <w:r>
          <w:instrText xml:space="preserve"> PAGEREF _Toc256000618 \h </w:instrText>
        </w:r>
        <w:r>
          <w:fldChar w:fldCharType="separate"/>
        </w:r>
        <w:r>
          <w:t>52</w:t>
        </w:r>
        <w:r>
          <w:fldChar w:fldCharType="end"/>
        </w:r>
      </w:hyperlink>
    </w:p>
    <w:p>
      <w:pPr>
        <w:pStyle w:val="TOC3"/>
        <w:tabs>
          <w:tab w:val="right" w:leader="dot" w:pos="9950"/>
        </w:tabs>
        <w:rPr>
          <w:rFonts w:asciiTheme="minorHAnsi" w:hAnsiTheme="minorHAnsi"/>
          <w:noProof/>
          <w:sz w:val="22"/>
        </w:rPr>
      </w:pPr>
      <w:hyperlink w:anchor="_Toc256000619" w:history="1">
        <w:r>
          <w:rPr>
            <w:rStyle w:val="Hyperlink"/>
          </w:rPr>
          <w:t>Managing IP Address Blocks and IP Quotas in VCF Automation</w:t>
        </w:r>
        <w:r>
          <w:tab/>
        </w:r>
        <w:r>
          <w:fldChar w:fldCharType="begin"/>
        </w:r>
        <w:r>
          <w:instrText xml:space="preserve"> PAGEREF _Toc256000619 \h </w:instrText>
        </w:r>
        <w:r>
          <w:fldChar w:fldCharType="separate"/>
        </w:r>
        <w:r>
          <w:t>53</w:t>
        </w:r>
        <w:r>
          <w:fldChar w:fldCharType="end"/>
        </w:r>
      </w:hyperlink>
    </w:p>
    <w:p>
      <w:pPr>
        <w:pStyle w:val="TOC4"/>
        <w:tabs>
          <w:tab w:val="right" w:leader="dot" w:pos="9950"/>
        </w:tabs>
        <w:rPr>
          <w:rFonts w:asciiTheme="minorHAnsi" w:hAnsiTheme="minorHAnsi"/>
          <w:noProof/>
          <w:sz w:val="22"/>
        </w:rPr>
      </w:pPr>
      <w:hyperlink w:anchor="_Toc256000620" w:history="1">
        <w:r>
          <w:rPr>
            <w:rStyle w:val="Hyperlink"/>
          </w:rPr>
          <w:t>Prerequisites</w:t>
        </w:r>
        <w:r>
          <w:tab/>
        </w:r>
        <w:r>
          <w:fldChar w:fldCharType="begin"/>
        </w:r>
        <w:r>
          <w:instrText xml:space="preserve"> PAGEREF _Toc256000620 \h </w:instrText>
        </w:r>
        <w:r>
          <w:fldChar w:fldCharType="separate"/>
        </w:r>
        <w:r>
          <w:t>54</w:t>
        </w:r>
        <w:r>
          <w:fldChar w:fldCharType="end"/>
        </w:r>
      </w:hyperlink>
    </w:p>
    <w:p>
      <w:pPr>
        <w:pStyle w:val="TOC4"/>
        <w:tabs>
          <w:tab w:val="right" w:leader="dot" w:pos="9950"/>
        </w:tabs>
        <w:rPr>
          <w:rFonts w:asciiTheme="minorHAnsi" w:hAnsiTheme="minorHAnsi"/>
          <w:noProof/>
          <w:sz w:val="22"/>
        </w:rPr>
      </w:pPr>
      <w:hyperlink w:anchor="_Toc256000621" w:history="1">
        <w:r>
          <w:rPr>
            <w:rStyle w:val="Hyperlink"/>
          </w:rPr>
          <w:t>Create an IP Address Block</w:t>
        </w:r>
        <w:r>
          <w:tab/>
        </w:r>
        <w:r>
          <w:fldChar w:fldCharType="begin"/>
        </w:r>
        <w:r>
          <w:instrText xml:space="preserve"> PAGEREF _Toc256000621 \h </w:instrText>
        </w:r>
        <w:r>
          <w:fldChar w:fldCharType="separate"/>
        </w:r>
        <w:r>
          <w:t>54</w:t>
        </w:r>
        <w:r>
          <w:fldChar w:fldCharType="end"/>
        </w:r>
      </w:hyperlink>
    </w:p>
    <w:p>
      <w:pPr>
        <w:pStyle w:val="TOC4"/>
        <w:tabs>
          <w:tab w:val="right" w:leader="dot" w:pos="9950"/>
        </w:tabs>
        <w:rPr>
          <w:rFonts w:asciiTheme="minorHAnsi" w:hAnsiTheme="minorHAnsi"/>
          <w:noProof/>
          <w:sz w:val="22"/>
        </w:rPr>
      </w:pPr>
      <w:hyperlink w:anchor="_Toc256000622" w:history="1">
        <w:r>
          <w:rPr>
            <w:rStyle w:val="Hyperlink"/>
          </w:rPr>
          <w:t>Create an IP Quota</w:t>
        </w:r>
        <w:r>
          <w:tab/>
        </w:r>
        <w:r>
          <w:fldChar w:fldCharType="begin"/>
        </w:r>
        <w:r>
          <w:instrText xml:space="preserve"> PAGEREF _Toc256000622 \h </w:instrText>
        </w:r>
        <w:r>
          <w:fldChar w:fldCharType="separate"/>
        </w:r>
        <w:r>
          <w:t>54</w:t>
        </w:r>
        <w:r>
          <w:fldChar w:fldCharType="end"/>
        </w:r>
      </w:hyperlink>
    </w:p>
    <w:p>
      <w:pPr>
        <w:pStyle w:val="TOC2"/>
        <w:tabs>
          <w:tab w:val="right" w:leader="dot" w:pos="9950"/>
        </w:tabs>
        <w:rPr>
          <w:rFonts w:asciiTheme="minorHAnsi" w:hAnsiTheme="minorHAnsi"/>
          <w:noProof/>
          <w:sz w:val="22"/>
        </w:rPr>
      </w:pPr>
      <w:hyperlink w:anchor="_Toc256000623" w:history="1">
        <w:r>
          <w:rPr>
            <w:rStyle w:val="Hyperlink"/>
          </w:rPr>
          <w:t>Managing Content Libraries in VCF Automation</w:t>
        </w:r>
        <w:r>
          <w:tab/>
        </w:r>
        <w:r>
          <w:fldChar w:fldCharType="begin"/>
        </w:r>
        <w:r>
          <w:instrText xml:space="preserve"> PAGEREF _Toc256000623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624" w:history="1">
        <w:r>
          <w:rPr>
            <w:rStyle w:val="Hyperlink"/>
          </w:rPr>
          <w:t>Provider Content Libraries</w:t>
        </w:r>
        <w:r>
          <w:tab/>
        </w:r>
        <w:r>
          <w:fldChar w:fldCharType="begin"/>
        </w:r>
        <w:r>
          <w:instrText xml:space="preserve"> PAGEREF _Toc256000624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625" w:history="1">
        <w:r>
          <w:rPr>
            <w:rStyle w:val="Hyperlink"/>
          </w:rPr>
          <w:t>Organization Content Libraries</w:t>
        </w:r>
        <w:r>
          <w:tab/>
        </w:r>
        <w:r>
          <w:fldChar w:fldCharType="begin"/>
        </w:r>
        <w:r>
          <w:instrText xml:space="preserve"> PAGEREF _Toc256000625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626" w:history="1">
        <w:r>
          <w:rPr>
            <w:rStyle w:val="Hyperlink"/>
          </w:rPr>
          <w:t>Content Library Concepts</w:t>
        </w:r>
        <w:r>
          <w:tab/>
        </w:r>
        <w:r>
          <w:fldChar w:fldCharType="begin"/>
        </w:r>
        <w:r>
          <w:instrText xml:space="preserve"> PAGEREF _Toc256000626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627" w:history="1">
        <w:r>
          <w:rPr>
            <w:rStyle w:val="Hyperlink"/>
          </w:rPr>
          <w:t>Create a Content Library in VCF Automation</w:t>
        </w:r>
        <w:r>
          <w:tab/>
        </w:r>
        <w:r>
          <w:fldChar w:fldCharType="begin"/>
        </w:r>
        <w:r>
          <w:instrText xml:space="preserve"> PAGEREF _Toc256000627 \h </w:instrText>
        </w:r>
        <w:r>
          <w:fldChar w:fldCharType="separate"/>
        </w:r>
        <w:r>
          <w:t>56</w:t>
        </w:r>
        <w:r>
          <w:fldChar w:fldCharType="end"/>
        </w:r>
      </w:hyperlink>
    </w:p>
    <w:p>
      <w:pPr>
        <w:pStyle w:val="TOC3"/>
        <w:tabs>
          <w:tab w:val="right" w:leader="dot" w:pos="9950"/>
        </w:tabs>
        <w:rPr>
          <w:rFonts w:asciiTheme="minorHAnsi" w:hAnsiTheme="minorHAnsi"/>
          <w:noProof/>
          <w:sz w:val="22"/>
        </w:rPr>
      </w:pPr>
      <w:hyperlink w:anchor="_Toc256000628" w:history="1">
        <w:r>
          <w:rPr>
            <w:rStyle w:val="Hyperlink"/>
          </w:rPr>
          <w:t>Create a Subscribed Content Library in VCF Automation</w:t>
        </w:r>
        <w:r>
          <w:tab/>
        </w:r>
        <w:r>
          <w:fldChar w:fldCharType="begin"/>
        </w:r>
        <w:r>
          <w:instrText xml:space="preserve"> PAGEREF _Toc256000628 \h </w:instrText>
        </w:r>
        <w:r>
          <w:fldChar w:fldCharType="separate"/>
        </w:r>
        <w:r>
          <w:t>57</w:t>
        </w:r>
        <w:r>
          <w:fldChar w:fldCharType="end"/>
        </w:r>
      </w:hyperlink>
    </w:p>
    <w:p>
      <w:pPr>
        <w:pStyle w:val="TOC3"/>
        <w:tabs>
          <w:tab w:val="right" w:leader="dot" w:pos="9950"/>
        </w:tabs>
        <w:rPr>
          <w:rFonts w:asciiTheme="minorHAnsi" w:hAnsiTheme="minorHAnsi"/>
          <w:noProof/>
          <w:sz w:val="22"/>
        </w:rPr>
      </w:pPr>
      <w:hyperlink w:anchor="_Toc256000629" w:history="1">
        <w:r>
          <w:rPr>
            <w:rStyle w:val="Hyperlink"/>
          </w:rPr>
          <w:t>Add a VM Image to a Content Library and Publish It to the Catalog in VCF Automation</w:t>
        </w:r>
        <w:r>
          <w:tab/>
        </w:r>
        <w:r>
          <w:fldChar w:fldCharType="begin"/>
        </w:r>
        <w:r>
          <w:instrText xml:space="preserve"> PAGEREF _Toc256000629 \h </w:instrText>
        </w:r>
        <w:r>
          <w:fldChar w:fldCharType="separate"/>
        </w:r>
        <w:r>
          <w:t>57</w:t>
        </w:r>
        <w:r>
          <w:fldChar w:fldCharType="end"/>
        </w:r>
      </w:hyperlink>
    </w:p>
    <w:p>
      <w:pPr>
        <w:pStyle w:val="TOC4"/>
        <w:tabs>
          <w:tab w:val="right" w:leader="dot" w:pos="9950"/>
        </w:tabs>
        <w:rPr>
          <w:rFonts w:asciiTheme="minorHAnsi" w:hAnsiTheme="minorHAnsi"/>
          <w:noProof/>
          <w:sz w:val="22"/>
        </w:rPr>
      </w:pPr>
      <w:hyperlink w:anchor="_Toc256000630" w:history="1">
        <w:r>
          <w:rPr>
            <w:rStyle w:val="Hyperlink"/>
          </w:rPr>
          <w:t>Add a VM Image to a Content Library</w:t>
        </w:r>
        <w:r>
          <w:tab/>
        </w:r>
        <w:r>
          <w:fldChar w:fldCharType="begin"/>
        </w:r>
        <w:r>
          <w:instrText xml:space="preserve"> PAGEREF _Toc256000630 \h </w:instrText>
        </w:r>
        <w:r>
          <w:fldChar w:fldCharType="separate"/>
        </w:r>
        <w:r>
          <w:t>58</w:t>
        </w:r>
        <w:r>
          <w:fldChar w:fldCharType="end"/>
        </w:r>
      </w:hyperlink>
    </w:p>
    <w:p>
      <w:pPr>
        <w:pStyle w:val="TOC4"/>
        <w:tabs>
          <w:tab w:val="right" w:leader="dot" w:pos="9950"/>
        </w:tabs>
        <w:rPr>
          <w:rFonts w:asciiTheme="minorHAnsi" w:hAnsiTheme="minorHAnsi"/>
          <w:noProof/>
          <w:sz w:val="22"/>
        </w:rPr>
      </w:pPr>
      <w:hyperlink w:anchor="_Toc256000631" w:history="1">
        <w:r>
          <w:rPr>
            <w:rStyle w:val="Hyperlink"/>
          </w:rPr>
          <w:t>Publish a VM image to the Catalog</w:t>
        </w:r>
        <w:r>
          <w:tab/>
        </w:r>
        <w:r>
          <w:fldChar w:fldCharType="begin"/>
        </w:r>
        <w:r>
          <w:instrText xml:space="preserve"> PAGEREF _Toc256000631 \h </w:instrText>
        </w:r>
        <w:r>
          <w:fldChar w:fldCharType="separate"/>
        </w:r>
        <w:r>
          <w:t>58</w:t>
        </w:r>
        <w:r>
          <w:fldChar w:fldCharType="end"/>
        </w:r>
      </w:hyperlink>
    </w:p>
    <w:p>
      <w:pPr>
        <w:pStyle w:val="TOC2"/>
        <w:tabs>
          <w:tab w:val="right" w:leader="dot" w:pos="9950"/>
        </w:tabs>
        <w:rPr>
          <w:rFonts w:asciiTheme="minorHAnsi" w:hAnsiTheme="minorHAnsi"/>
          <w:noProof/>
          <w:sz w:val="22"/>
        </w:rPr>
      </w:pPr>
      <w:hyperlink w:anchor="_Toc256000632" w:history="1">
        <w:r>
          <w:rPr>
            <w:rStyle w:val="Hyperlink"/>
          </w:rPr>
          <w:t>Managing Projects in VCF Automation</w:t>
        </w:r>
        <w:r>
          <w:tab/>
        </w:r>
        <w:r>
          <w:fldChar w:fldCharType="begin"/>
        </w:r>
        <w:r>
          <w:instrText xml:space="preserve"> PAGEREF _Toc256000632 \h </w:instrText>
        </w:r>
        <w:r>
          <w:fldChar w:fldCharType="separate"/>
        </w:r>
        <w:r>
          <w:t>58</w:t>
        </w:r>
        <w:r>
          <w:fldChar w:fldCharType="end"/>
        </w:r>
      </w:hyperlink>
    </w:p>
    <w:p>
      <w:pPr>
        <w:pStyle w:val="TOC3"/>
        <w:tabs>
          <w:tab w:val="right" w:leader="dot" w:pos="9950"/>
        </w:tabs>
        <w:rPr>
          <w:rFonts w:asciiTheme="minorHAnsi" w:hAnsiTheme="minorHAnsi"/>
          <w:noProof/>
          <w:sz w:val="22"/>
        </w:rPr>
      </w:pPr>
      <w:hyperlink w:anchor="_Toc256000633" w:history="1">
        <w:r>
          <w:rPr>
            <w:rStyle w:val="Hyperlink"/>
          </w:rPr>
          <w:t>Project Concepts</w:t>
        </w:r>
        <w:r>
          <w:tab/>
        </w:r>
        <w:r>
          <w:fldChar w:fldCharType="begin"/>
        </w:r>
        <w:r>
          <w:instrText xml:space="preserve"> PAGEREF _Toc256000633 \h </w:instrText>
        </w:r>
        <w:r>
          <w:fldChar w:fldCharType="separate"/>
        </w:r>
        <w:r>
          <w:t>59</w:t>
        </w:r>
        <w:r>
          <w:fldChar w:fldCharType="end"/>
        </w:r>
      </w:hyperlink>
    </w:p>
    <w:p>
      <w:pPr>
        <w:pStyle w:val="TOC3"/>
        <w:tabs>
          <w:tab w:val="right" w:leader="dot" w:pos="9950"/>
        </w:tabs>
        <w:rPr>
          <w:rFonts w:asciiTheme="minorHAnsi" w:hAnsiTheme="minorHAnsi"/>
          <w:noProof/>
          <w:sz w:val="22"/>
        </w:rPr>
      </w:pPr>
      <w:hyperlink w:anchor="_Toc256000634" w:history="1">
        <w:r>
          <w:rPr>
            <w:rStyle w:val="Hyperlink"/>
          </w:rPr>
          <w:t>Best Practices for Projects</w:t>
        </w:r>
        <w:r>
          <w:tab/>
        </w:r>
        <w:r>
          <w:fldChar w:fldCharType="begin"/>
        </w:r>
        <w:r>
          <w:instrText xml:space="preserve"> PAGEREF _Toc256000634 \h </w:instrText>
        </w:r>
        <w:r>
          <w:fldChar w:fldCharType="separate"/>
        </w:r>
        <w:r>
          <w:t>59</w:t>
        </w:r>
        <w:r>
          <w:fldChar w:fldCharType="end"/>
        </w:r>
      </w:hyperlink>
    </w:p>
    <w:p>
      <w:pPr>
        <w:pStyle w:val="TOC3"/>
        <w:tabs>
          <w:tab w:val="right" w:leader="dot" w:pos="9950"/>
        </w:tabs>
        <w:rPr>
          <w:rFonts w:asciiTheme="minorHAnsi" w:hAnsiTheme="minorHAnsi"/>
          <w:noProof/>
          <w:sz w:val="22"/>
        </w:rPr>
      </w:pPr>
      <w:hyperlink w:anchor="_Toc256000635" w:history="1">
        <w:r>
          <w:rPr>
            <w:rStyle w:val="Hyperlink"/>
          </w:rPr>
          <w:t>Create a Project in VCF Automation</w:t>
        </w:r>
        <w:r>
          <w:tab/>
        </w:r>
        <w:r>
          <w:fldChar w:fldCharType="begin"/>
        </w:r>
        <w:r>
          <w:instrText xml:space="preserve"> PAGEREF _Toc256000635 \h </w:instrText>
        </w:r>
        <w:r>
          <w:fldChar w:fldCharType="separate"/>
        </w:r>
        <w:r>
          <w:t>59</w:t>
        </w:r>
        <w:r>
          <w:fldChar w:fldCharType="end"/>
        </w:r>
      </w:hyperlink>
    </w:p>
    <w:p>
      <w:pPr>
        <w:pStyle w:val="TOC3"/>
        <w:tabs>
          <w:tab w:val="right" w:leader="dot" w:pos="9950"/>
        </w:tabs>
        <w:rPr>
          <w:rFonts w:asciiTheme="minorHAnsi" w:hAnsiTheme="minorHAnsi"/>
          <w:noProof/>
          <w:sz w:val="22"/>
        </w:rPr>
      </w:pPr>
      <w:hyperlink w:anchor="_Toc256000636" w:history="1">
        <w:r>
          <w:rPr>
            <w:rStyle w:val="Hyperlink"/>
          </w:rPr>
          <w:t>Create a Namespace Class in VCF Automation</w:t>
        </w:r>
        <w:r>
          <w:tab/>
        </w:r>
        <w:r>
          <w:fldChar w:fldCharType="begin"/>
        </w:r>
        <w:r>
          <w:instrText xml:space="preserve"> PAGEREF _Toc256000636 \h </w:instrText>
        </w:r>
        <w:r>
          <w:fldChar w:fldCharType="separate"/>
        </w:r>
        <w:r>
          <w:t>60</w:t>
        </w:r>
        <w:r>
          <w:fldChar w:fldCharType="end"/>
        </w:r>
      </w:hyperlink>
    </w:p>
    <w:p>
      <w:pPr>
        <w:pStyle w:val="TOC3"/>
        <w:tabs>
          <w:tab w:val="right" w:leader="dot" w:pos="9950"/>
        </w:tabs>
        <w:rPr>
          <w:rFonts w:asciiTheme="minorHAnsi" w:hAnsiTheme="minorHAnsi"/>
          <w:noProof/>
          <w:sz w:val="22"/>
        </w:rPr>
      </w:pPr>
      <w:hyperlink w:anchor="_Toc256000637" w:history="1">
        <w:r>
          <w:rPr>
            <w:rStyle w:val="Hyperlink"/>
          </w:rPr>
          <w:t>Create a Namespace in VCF Automation</w:t>
        </w:r>
        <w:r>
          <w:tab/>
        </w:r>
        <w:r>
          <w:fldChar w:fldCharType="begin"/>
        </w:r>
        <w:r>
          <w:instrText xml:space="preserve"> PAGEREF _Toc256000637 \h </w:instrText>
        </w:r>
        <w:r>
          <w:fldChar w:fldCharType="separate"/>
        </w:r>
        <w:r>
          <w:t>61</w:t>
        </w:r>
        <w:r>
          <w:fldChar w:fldCharType="end"/>
        </w:r>
      </w:hyperlink>
    </w:p>
    <w:p>
      <w:pPr>
        <w:pStyle w:val="TOC3"/>
        <w:tabs>
          <w:tab w:val="right" w:leader="dot" w:pos="9950"/>
        </w:tabs>
        <w:rPr>
          <w:rFonts w:asciiTheme="minorHAnsi" w:hAnsiTheme="minorHAnsi"/>
          <w:noProof/>
          <w:sz w:val="22"/>
        </w:rPr>
      </w:pPr>
      <w:hyperlink w:anchor="_Toc256000638" w:history="1">
        <w:r>
          <w:rPr>
            <w:rStyle w:val="Hyperlink"/>
          </w:rPr>
          <w:t>Assign Project Roles to Users and Groups in VCF Automation</w:t>
        </w:r>
        <w:r>
          <w:tab/>
        </w:r>
        <w:r>
          <w:fldChar w:fldCharType="begin"/>
        </w:r>
        <w:r>
          <w:instrText xml:space="preserve"> PAGEREF _Toc256000638 \h </w:instrText>
        </w:r>
        <w:r>
          <w:fldChar w:fldCharType="separate"/>
        </w:r>
        <w:r>
          <w:t>63</w:t>
        </w:r>
        <w:r>
          <w:fldChar w:fldCharType="end"/>
        </w:r>
      </w:hyperlink>
    </w:p>
    <w:p>
      <w:pPr>
        <w:pStyle w:val="TOC2"/>
        <w:tabs>
          <w:tab w:val="right" w:leader="dot" w:pos="9950"/>
        </w:tabs>
        <w:rPr>
          <w:rFonts w:asciiTheme="minorHAnsi" w:hAnsiTheme="minorHAnsi"/>
          <w:noProof/>
          <w:sz w:val="22"/>
        </w:rPr>
      </w:pPr>
      <w:hyperlink w:anchor="_Toc256000639" w:history="1">
        <w:r>
          <w:rPr>
            <w:rStyle w:val="Hyperlink"/>
          </w:rPr>
          <w:t>Managing Blueprints in VCF Automation</w:t>
        </w:r>
        <w:r>
          <w:tab/>
        </w:r>
        <w:r>
          <w:fldChar w:fldCharType="begin"/>
        </w:r>
        <w:r>
          <w:instrText xml:space="preserve"> PAGEREF _Toc256000639 \h </w:instrText>
        </w:r>
        <w:r>
          <w:fldChar w:fldCharType="separate"/>
        </w:r>
        <w:r>
          <w:t>63</w:t>
        </w:r>
        <w:r>
          <w:fldChar w:fldCharType="end"/>
        </w:r>
      </w:hyperlink>
    </w:p>
    <w:p>
      <w:pPr>
        <w:pStyle w:val="TOC3"/>
        <w:tabs>
          <w:tab w:val="right" w:leader="dot" w:pos="9950"/>
        </w:tabs>
        <w:rPr>
          <w:rFonts w:asciiTheme="minorHAnsi" w:hAnsiTheme="minorHAnsi"/>
          <w:noProof/>
          <w:sz w:val="22"/>
        </w:rPr>
      </w:pPr>
      <w:hyperlink w:anchor="_Toc256000640" w:history="1">
        <w:r>
          <w:rPr>
            <w:rStyle w:val="Hyperlink"/>
          </w:rPr>
          <w:t>Blueprint Features</w:t>
        </w:r>
        <w:r>
          <w:tab/>
        </w:r>
        <w:r>
          <w:fldChar w:fldCharType="begin"/>
        </w:r>
        <w:r>
          <w:instrText xml:space="preserve"> PAGEREF _Toc256000640 \h </w:instrText>
        </w:r>
        <w:r>
          <w:fldChar w:fldCharType="separate"/>
        </w:r>
        <w:r>
          <w:t>63</w:t>
        </w:r>
        <w:r>
          <w:fldChar w:fldCharType="end"/>
        </w:r>
      </w:hyperlink>
    </w:p>
    <w:p>
      <w:pPr>
        <w:pStyle w:val="TOC3"/>
        <w:tabs>
          <w:tab w:val="right" w:leader="dot" w:pos="9950"/>
        </w:tabs>
        <w:rPr>
          <w:rFonts w:asciiTheme="minorHAnsi" w:hAnsiTheme="minorHAnsi"/>
          <w:noProof/>
          <w:sz w:val="22"/>
        </w:rPr>
      </w:pPr>
      <w:hyperlink w:anchor="_Toc256000641" w:history="1">
        <w:r>
          <w:rPr>
            <w:rStyle w:val="Hyperlink"/>
          </w:rPr>
          <w:t>Blueprint Concepts</w:t>
        </w:r>
        <w:r>
          <w:tab/>
        </w:r>
        <w:r>
          <w:fldChar w:fldCharType="begin"/>
        </w:r>
        <w:r>
          <w:instrText xml:space="preserve"> PAGEREF _Toc256000641 \h </w:instrText>
        </w:r>
        <w:r>
          <w:fldChar w:fldCharType="separate"/>
        </w:r>
        <w:r>
          <w:t>64</w:t>
        </w:r>
        <w:r>
          <w:fldChar w:fldCharType="end"/>
        </w:r>
      </w:hyperlink>
    </w:p>
    <w:p>
      <w:pPr>
        <w:pStyle w:val="TOC3"/>
        <w:tabs>
          <w:tab w:val="right" w:leader="dot" w:pos="9950"/>
        </w:tabs>
        <w:rPr>
          <w:rFonts w:asciiTheme="minorHAnsi" w:hAnsiTheme="minorHAnsi"/>
          <w:noProof/>
          <w:sz w:val="22"/>
        </w:rPr>
      </w:pPr>
      <w:hyperlink w:anchor="_Toc256000642" w:history="1">
        <w:r>
          <w:rPr>
            <w:rStyle w:val="Hyperlink"/>
          </w:rPr>
          <w:t>When to Use Blueprints</w:t>
        </w:r>
        <w:r>
          <w:tab/>
        </w:r>
        <w:r>
          <w:fldChar w:fldCharType="begin"/>
        </w:r>
        <w:r>
          <w:instrText xml:space="preserve"> PAGEREF _Toc256000642 \h </w:instrText>
        </w:r>
        <w:r>
          <w:fldChar w:fldCharType="separate"/>
        </w:r>
        <w:r>
          <w:t>65</w:t>
        </w:r>
        <w:r>
          <w:fldChar w:fldCharType="end"/>
        </w:r>
      </w:hyperlink>
    </w:p>
    <w:p>
      <w:pPr>
        <w:pStyle w:val="TOC3"/>
        <w:tabs>
          <w:tab w:val="right" w:leader="dot" w:pos="9950"/>
        </w:tabs>
        <w:rPr>
          <w:rFonts w:asciiTheme="minorHAnsi" w:hAnsiTheme="minorHAnsi"/>
          <w:noProof/>
          <w:sz w:val="22"/>
        </w:rPr>
      </w:pPr>
      <w:hyperlink w:anchor="_Toc256000643" w:history="1">
        <w:r>
          <w:rPr>
            <w:rStyle w:val="Hyperlink"/>
          </w:rPr>
          <w:t>Example Blueprint Scenarios</w:t>
        </w:r>
        <w:r>
          <w:tab/>
        </w:r>
        <w:r>
          <w:fldChar w:fldCharType="begin"/>
        </w:r>
        <w:r>
          <w:instrText xml:space="preserve"> PAGEREF _Toc256000643 \h </w:instrText>
        </w:r>
        <w:r>
          <w:fldChar w:fldCharType="separate"/>
        </w:r>
        <w:r>
          <w:t>65</w:t>
        </w:r>
        <w:r>
          <w:fldChar w:fldCharType="end"/>
        </w:r>
      </w:hyperlink>
    </w:p>
    <w:p>
      <w:pPr>
        <w:pStyle w:val="TOC3"/>
        <w:tabs>
          <w:tab w:val="right" w:leader="dot" w:pos="9950"/>
        </w:tabs>
        <w:rPr>
          <w:rFonts w:asciiTheme="minorHAnsi" w:hAnsiTheme="minorHAnsi"/>
          <w:noProof/>
          <w:sz w:val="22"/>
        </w:rPr>
      </w:pPr>
      <w:hyperlink w:anchor="_Toc256000644" w:history="1">
        <w:r>
          <w:rPr>
            <w:rStyle w:val="Hyperlink"/>
          </w:rPr>
          <w:t>Best Practices for Designing Blueprints</w:t>
        </w:r>
        <w:r>
          <w:tab/>
        </w:r>
        <w:r>
          <w:fldChar w:fldCharType="begin"/>
        </w:r>
        <w:r>
          <w:instrText xml:space="preserve"> PAGEREF _Toc256000644 \h </w:instrText>
        </w:r>
        <w:r>
          <w:fldChar w:fldCharType="separate"/>
        </w:r>
        <w:r>
          <w:t>65</w:t>
        </w:r>
        <w:r>
          <w:fldChar w:fldCharType="end"/>
        </w:r>
      </w:hyperlink>
    </w:p>
    <w:p>
      <w:pPr>
        <w:pStyle w:val="TOC3"/>
        <w:tabs>
          <w:tab w:val="right" w:leader="dot" w:pos="9950"/>
        </w:tabs>
        <w:rPr>
          <w:rFonts w:asciiTheme="minorHAnsi" w:hAnsiTheme="minorHAnsi"/>
          <w:noProof/>
          <w:sz w:val="22"/>
        </w:rPr>
      </w:pPr>
      <w:hyperlink w:anchor="_Toc256000645" w:history="1">
        <w:r>
          <w:rPr>
            <w:rStyle w:val="Hyperlink"/>
          </w:rPr>
          <w:t>Sharing Blueprints with Projects and Organizations</w:t>
        </w:r>
        <w:r>
          <w:tab/>
        </w:r>
        <w:r>
          <w:fldChar w:fldCharType="begin"/>
        </w:r>
        <w:r>
          <w:instrText xml:space="preserve"> PAGEREF _Toc256000645 \h </w:instrText>
        </w:r>
        <w:r>
          <w:fldChar w:fldCharType="separate"/>
        </w:r>
        <w:r>
          <w:t>65</w:t>
        </w:r>
        <w:r>
          <w:fldChar w:fldCharType="end"/>
        </w:r>
      </w:hyperlink>
    </w:p>
    <w:p>
      <w:pPr>
        <w:pStyle w:val="TOC3"/>
        <w:tabs>
          <w:tab w:val="right" w:leader="dot" w:pos="9950"/>
        </w:tabs>
        <w:rPr>
          <w:rFonts w:asciiTheme="minorHAnsi" w:hAnsiTheme="minorHAnsi"/>
          <w:noProof/>
          <w:sz w:val="22"/>
        </w:rPr>
      </w:pPr>
      <w:hyperlink w:anchor="_Toc256000646" w:history="1">
        <w:r>
          <w:rPr>
            <w:rStyle w:val="Hyperlink"/>
          </w:rPr>
          <w:t>Creating Blueprints in VCF Automation</w:t>
        </w:r>
        <w:r>
          <w:tab/>
        </w:r>
        <w:r>
          <w:fldChar w:fldCharType="begin"/>
        </w:r>
        <w:r>
          <w:instrText xml:space="preserve"> PAGEREF _Toc256000646 \h </w:instrText>
        </w:r>
        <w:r>
          <w:fldChar w:fldCharType="separate"/>
        </w:r>
        <w:r>
          <w:t>66</w:t>
        </w:r>
        <w:r>
          <w:fldChar w:fldCharType="end"/>
        </w:r>
      </w:hyperlink>
    </w:p>
    <w:p>
      <w:pPr>
        <w:pStyle w:val="TOC4"/>
        <w:tabs>
          <w:tab w:val="right" w:leader="dot" w:pos="9950"/>
        </w:tabs>
        <w:rPr>
          <w:rFonts w:asciiTheme="minorHAnsi" w:hAnsiTheme="minorHAnsi"/>
          <w:noProof/>
          <w:sz w:val="22"/>
        </w:rPr>
      </w:pPr>
      <w:hyperlink w:anchor="_Toc256000647" w:history="1">
        <w:r>
          <w:rPr>
            <w:rStyle w:val="Hyperlink"/>
          </w:rPr>
          <w:t>How blueprints work</w:t>
        </w:r>
        <w:r>
          <w:tab/>
        </w:r>
        <w:r>
          <w:fldChar w:fldCharType="begin"/>
        </w:r>
        <w:r>
          <w:instrText xml:space="preserve"> PAGEREF _Toc256000647 \h </w:instrText>
        </w:r>
        <w:r>
          <w:fldChar w:fldCharType="separate"/>
        </w:r>
        <w:r>
          <w:t>66</w:t>
        </w:r>
        <w:r>
          <w:fldChar w:fldCharType="end"/>
        </w:r>
      </w:hyperlink>
    </w:p>
    <w:p>
      <w:pPr>
        <w:pStyle w:val="TOC4"/>
        <w:tabs>
          <w:tab w:val="right" w:leader="dot" w:pos="9950"/>
        </w:tabs>
        <w:rPr>
          <w:rFonts w:asciiTheme="minorHAnsi" w:hAnsiTheme="minorHAnsi"/>
          <w:noProof/>
          <w:sz w:val="22"/>
        </w:rPr>
      </w:pPr>
      <w:hyperlink w:anchor="_Toc256000648" w:history="1">
        <w:r>
          <w:rPr>
            <w:rStyle w:val="Hyperlink"/>
          </w:rPr>
          <w:t>Designing blueprints</w:t>
        </w:r>
        <w:r>
          <w:tab/>
        </w:r>
        <w:r>
          <w:fldChar w:fldCharType="begin"/>
        </w:r>
        <w:r>
          <w:instrText xml:space="preserve"> PAGEREF _Toc256000648 \h </w:instrText>
        </w:r>
        <w:r>
          <w:fldChar w:fldCharType="separate"/>
        </w:r>
        <w:r>
          <w:t>66</w:t>
        </w:r>
        <w:r>
          <w:fldChar w:fldCharType="end"/>
        </w:r>
      </w:hyperlink>
    </w:p>
    <w:p>
      <w:pPr>
        <w:pStyle w:val="TOC4"/>
        <w:tabs>
          <w:tab w:val="right" w:leader="dot" w:pos="9950"/>
        </w:tabs>
        <w:rPr>
          <w:rFonts w:asciiTheme="minorHAnsi" w:hAnsiTheme="minorHAnsi"/>
          <w:noProof/>
          <w:sz w:val="22"/>
        </w:rPr>
      </w:pPr>
      <w:hyperlink w:anchor="_Toc256000649" w:history="1">
        <w:r>
          <w:rPr>
            <w:rStyle w:val="Hyperlink"/>
          </w:rPr>
          <w:t>Working with the Blueprint Design Page</w:t>
        </w:r>
        <w:r>
          <w:tab/>
        </w:r>
        <w:r>
          <w:fldChar w:fldCharType="begin"/>
        </w:r>
        <w:r>
          <w:instrText xml:space="preserve"> PAGEREF _Toc256000649 \h </w:instrText>
        </w:r>
        <w:r>
          <w:fldChar w:fldCharType="separate"/>
        </w:r>
        <w:r>
          <w:t>66</w:t>
        </w:r>
        <w:r>
          <w:fldChar w:fldCharType="end"/>
        </w:r>
      </w:hyperlink>
    </w:p>
    <w:p>
      <w:pPr>
        <w:pStyle w:val="TOC4"/>
        <w:tabs>
          <w:tab w:val="right" w:leader="dot" w:pos="9950"/>
        </w:tabs>
        <w:rPr>
          <w:rFonts w:asciiTheme="minorHAnsi" w:hAnsiTheme="minorHAnsi"/>
          <w:noProof/>
          <w:sz w:val="22"/>
        </w:rPr>
      </w:pPr>
      <w:hyperlink w:anchor="_Toc256000650" w:history="1">
        <w:r>
          <w:rPr>
            <w:rStyle w:val="Hyperlink"/>
          </w:rPr>
          <w:t>Selecting and adding resources to the design canvas</w:t>
        </w:r>
        <w:r>
          <w:tab/>
        </w:r>
        <w:r>
          <w:fldChar w:fldCharType="begin"/>
        </w:r>
        <w:r>
          <w:instrText xml:space="preserve"> PAGEREF _Toc256000650 \h </w:instrText>
        </w:r>
        <w:r>
          <w:fldChar w:fldCharType="separate"/>
        </w:r>
        <w:r>
          <w:t>67</w:t>
        </w:r>
        <w:r>
          <w:fldChar w:fldCharType="end"/>
        </w:r>
      </w:hyperlink>
    </w:p>
    <w:p>
      <w:pPr>
        <w:pStyle w:val="TOC4"/>
        <w:tabs>
          <w:tab w:val="right" w:leader="dot" w:pos="9950"/>
        </w:tabs>
        <w:rPr>
          <w:rFonts w:asciiTheme="minorHAnsi" w:hAnsiTheme="minorHAnsi"/>
          <w:noProof/>
          <w:sz w:val="22"/>
        </w:rPr>
      </w:pPr>
      <w:hyperlink w:anchor="_Toc256000651" w:history="1">
        <w:r>
          <w:rPr>
            <w:rStyle w:val="Hyperlink"/>
          </w:rPr>
          <w:t>Connecting resources</w:t>
        </w:r>
        <w:r>
          <w:tab/>
        </w:r>
        <w:r>
          <w:fldChar w:fldCharType="begin"/>
        </w:r>
        <w:r>
          <w:instrText xml:space="preserve"> PAGEREF _Toc256000651 \h </w:instrText>
        </w:r>
        <w:r>
          <w:fldChar w:fldCharType="separate"/>
        </w:r>
        <w:r>
          <w:t>67</w:t>
        </w:r>
        <w:r>
          <w:fldChar w:fldCharType="end"/>
        </w:r>
      </w:hyperlink>
    </w:p>
    <w:p>
      <w:pPr>
        <w:pStyle w:val="TOC4"/>
        <w:tabs>
          <w:tab w:val="right" w:leader="dot" w:pos="9950"/>
        </w:tabs>
        <w:rPr>
          <w:rFonts w:asciiTheme="minorHAnsi" w:hAnsiTheme="minorHAnsi"/>
          <w:noProof/>
          <w:sz w:val="22"/>
        </w:rPr>
      </w:pPr>
      <w:hyperlink w:anchor="_Toc256000652" w:history="1">
        <w:r>
          <w:rPr>
            <w:rStyle w:val="Hyperlink"/>
          </w:rPr>
          <w:t>Editing blueprint code</w:t>
        </w:r>
        <w:r>
          <w:tab/>
        </w:r>
        <w:r>
          <w:fldChar w:fldCharType="begin"/>
        </w:r>
        <w:r>
          <w:instrText xml:space="preserve"> PAGEREF _Toc256000652 \h </w:instrText>
        </w:r>
        <w:r>
          <w:fldChar w:fldCharType="separate"/>
        </w:r>
        <w:r>
          <w:t>67</w:t>
        </w:r>
        <w:r>
          <w:fldChar w:fldCharType="end"/>
        </w:r>
      </w:hyperlink>
    </w:p>
    <w:p>
      <w:pPr>
        <w:pStyle w:val="TOC4"/>
        <w:tabs>
          <w:tab w:val="right" w:leader="dot" w:pos="9950"/>
        </w:tabs>
        <w:rPr>
          <w:rFonts w:asciiTheme="minorHAnsi" w:hAnsiTheme="minorHAnsi"/>
          <w:noProof/>
          <w:sz w:val="22"/>
        </w:rPr>
      </w:pPr>
      <w:hyperlink w:anchor="_Toc256000653" w:history="1">
        <w:r>
          <w:rPr>
            <w:rStyle w:val="Hyperlink"/>
          </w:rPr>
          <w:t>Code completion help</w:t>
        </w:r>
        <w:r>
          <w:tab/>
        </w:r>
        <w:r>
          <w:fldChar w:fldCharType="begin"/>
        </w:r>
        <w:r>
          <w:instrText xml:space="preserve"> PAGEREF _Toc256000653 \h </w:instrText>
        </w:r>
        <w:r>
          <w:fldChar w:fldCharType="separate"/>
        </w:r>
        <w:r>
          <w:t>67</w:t>
        </w:r>
        <w:r>
          <w:fldChar w:fldCharType="end"/>
        </w:r>
      </w:hyperlink>
    </w:p>
    <w:p>
      <w:pPr>
        <w:pStyle w:val="TOC4"/>
        <w:tabs>
          <w:tab w:val="right" w:leader="dot" w:pos="9950"/>
        </w:tabs>
        <w:rPr>
          <w:rFonts w:asciiTheme="minorHAnsi" w:hAnsiTheme="minorHAnsi"/>
          <w:noProof/>
          <w:sz w:val="22"/>
        </w:rPr>
      </w:pPr>
      <w:hyperlink w:anchor="_Toc256000654" w:history="1">
        <w:r>
          <w:rPr>
            <w:rStyle w:val="Hyperlink"/>
          </w:rPr>
          <w:t>Other ways to create blueprints</w:t>
        </w:r>
        <w:r>
          <w:tab/>
        </w:r>
        <w:r>
          <w:fldChar w:fldCharType="begin"/>
        </w:r>
        <w:r>
          <w:instrText xml:space="preserve"> PAGEREF _Toc256000654 \h </w:instrText>
        </w:r>
        <w:r>
          <w:fldChar w:fldCharType="separate"/>
        </w:r>
        <w:r>
          <w:t>67</w:t>
        </w:r>
        <w:r>
          <w:fldChar w:fldCharType="end"/>
        </w:r>
      </w:hyperlink>
    </w:p>
    <w:p>
      <w:pPr>
        <w:pStyle w:val="TOC3"/>
        <w:tabs>
          <w:tab w:val="right" w:leader="dot" w:pos="9950"/>
        </w:tabs>
        <w:rPr>
          <w:rFonts w:asciiTheme="minorHAnsi" w:hAnsiTheme="minorHAnsi"/>
          <w:noProof/>
          <w:sz w:val="22"/>
        </w:rPr>
      </w:pPr>
      <w:hyperlink w:anchor="_Toc256000655" w:history="1">
        <w:r>
          <w:rPr>
            <w:rStyle w:val="Hyperlink"/>
          </w:rPr>
          <w:t>Creating bindings and dependencies between resources in blueprints in VCF Automation</w:t>
        </w:r>
        <w:r>
          <w:tab/>
        </w:r>
        <w:r>
          <w:fldChar w:fldCharType="begin"/>
        </w:r>
        <w:r>
          <w:instrText xml:space="preserve"> PAGEREF _Toc256000655 \h </w:instrText>
        </w:r>
        <w:r>
          <w:fldChar w:fldCharType="separate"/>
        </w:r>
        <w:r>
          <w:t>68</w:t>
        </w:r>
        <w:r>
          <w:fldChar w:fldCharType="end"/>
        </w:r>
      </w:hyperlink>
    </w:p>
    <w:p>
      <w:pPr>
        <w:pStyle w:val="TOC4"/>
        <w:tabs>
          <w:tab w:val="right" w:leader="dot" w:pos="9950"/>
        </w:tabs>
        <w:rPr>
          <w:rFonts w:asciiTheme="minorHAnsi" w:hAnsiTheme="minorHAnsi"/>
          <w:noProof/>
          <w:sz w:val="22"/>
        </w:rPr>
      </w:pPr>
      <w:hyperlink w:anchor="_Toc256000656" w:history="1">
        <w:r>
          <w:rPr>
            <w:rStyle w:val="Hyperlink"/>
          </w:rPr>
          <w:t>Explicit dependencies</w:t>
        </w:r>
        <w:r>
          <w:tab/>
        </w:r>
        <w:r>
          <w:fldChar w:fldCharType="begin"/>
        </w:r>
        <w:r>
          <w:instrText xml:space="preserve"> PAGEREF _Toc256000656 \h </w:instrText>
        </w:r>
        <w:r>
          <w:fldChar w:fldCharType="separate"/>
        </w:r>
        <w:r>
          <w:t>68</w:t>
        </w:r>
        <w:r>
          <w:fldChar w:fldCharType="end"/>
        </w:r>
      </w:hyperlink>
    </w:p>
    <w:p>
      <w:pPr>
        <w:pStyle w:val="TOC4"/>
        <w:tabs>
          <w:tab w:val="right" w:leader="dot" w:pos="9950"/>
        </w:tabs>
        <w:rPr>
          <w:rFonts w:asciiTheme="minorHAnsi" w:hAnsiTheme="minorHAnsi"/>
          <w:noProof/>
          <w:sz w:val="22"/>
        </w:rPr>
      </w:pPr>
      <w:hyperlink w:anchor="_Toc256000657" w:history="1">
        <w:r>
          <w:rPr>
            <w:rStyle w:val="Hyperlink"/>
          </w:rPr>
          <w:t>Property bindings</w:t>
        </w:r>
        <w:r>
          <w:tab/>
        </w:r>
        <w:r>
          <w:fldChar w:fldCharType="begin"/>
        </w:r>
        <w:r>
          <w:instrText xml:space="preserve"> PAGEREF _Toc256000657 \h </w:instrText>
        </w:r>
        <w:r>
          <w:fldChar w:fldCharType="separate"/>
        </w:r>
        <w:r>
          <w:t>68</w:t>
        </w:r>
        <w:r>
          <w:fldChar w:fldCharType="end"/>
        </w:r>
      </w:hyperlink>
    </w:p>
    <w:p>
      <w:pPr>
        <w:pStyle w:val="TOC3"/>
        <w:tabs>
          <w:tab w:val="right" w:leader="dot" w:pos="9950"/>
        </w:tabs>
        <w:rPr>
          <w:rFonts w:asciiTheme="minorHAnsi" w:hAnsiTheme="minorHAnsi"/>
          <w:noProof/>
          <w:sz w:val="22"/>
        </w:rPr>
      </w:pPr>
      <w:hyperlink w:anchor="_Toc256000658" w:history="1">
        <w:r>
          <w:rPr>
            <w:rStyle w:val="Hyperlink"/>
          </w:rPr>
          <w:t>Versioning Blueprints in VCF Automation</w:t>
        </w:r>
        <w:r>
          <w:tab/>
        </w:r>
        <w:r>
          <w:fldChar w:fldCharType="begin"/>
        </w:r>
        <w:r>
          <w:instrText xml:space="preserve"> PAGEREF _Toc256000658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59" w:history="1">
        <w:r>
          <w:rPr>
            <w:rStyle w:val="Hyperlink"/>
          </w:rPr>
          <w:t>Capturing a Blueprint Version</w:t>
        </w:r>
        <w:r>
          <w:tab/>
        </w:r>
        <w:r>
          <w:fldChar w:fldCharType="begin"/>
        </w:r>
        <w:r>
          <w:instrText xml:space="preserve"> PAGEREF _Toc256000659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60" w:history="1">
        <w:r>
          <w:rPr>
            <w:rStyle w:val="Hyperlink"/>
          </w:rPr>
          <w:t>Restoring an older version</w:t>
        </w:r>
        <w:r>
          <w:tab/>
        </w:r>
        <w:r>
          <w:fldChar w:fldCharType="begin"/>
        </w:r>
        <w:r>
          <w:instrText xml:space="preserve"> PAGEREF _Toc256000660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61" w:history="1">
        <w:r>
          <w:rPr>
            <w:rStyle w:val="Hyperlink"/>
          </w:rPr>
          <w:t>Publishing a Blueprint Version to the Catalog</w:t>
        </w:r>
        <w:r>
          <w:tab/>
        </w:r>
        <w:r>
          <w:fldChar w:fldCharType="begin"/>
        </w:r>
        <w:r>
          <w:instrText xml:space="preserve"> PAGEREF _Toc256000661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62" w:history="1">
        <w:r>
          <w:rPr>
            <w:rStyle w:val="Hyperlink"/>
          </w:rPr>
          <w:t>Comparing Blueprint Versions</w:t>
        </w:r>
        <w:r>
          <w:tab/>
        </w:r>
        <w:r>
          <w:fldChar w:fldCharType="begin"/>
        </w:r>
        <w:r>
          <w:instrText xml:space="preserve"> PAGEREF _Toc256000662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63" w:history="1">
        <w:r>
          <w:rPr>
            <w:rStyle w:val="Hyperlink"/>
          </w:rPr>
          <w:t>Cloning a Blueprint</w:t>
        </w:r>
        <w:r>
          <w:tab/>
        </w:r>
        <w:r>
          <w:fldChar w:fldCharType="begin"/>
        </w:r>
        <w:r>
          <w:instrText xml:space="preserve"> PAGEREF _Toc256000663 \h </w:instrText>
        </w:r>
        <w:r>
          <w:fldChar w:fldCharType="separate"/>
        </w:r>
        <w:r>
          <w:t>69</w:t>
        </w:r>
        <w:r>
          <w:fldChar w:fldCharType="end"/>
        </w:r>
      </w:hyperlink>
    </w:p>
    <w:p>
      <w:pPr>
        <w:pStyle w:val="TOC3"/>
        <w:tabs>
          <w:tab w:val="right" w:leader="dot" w:pos="9950"/>
        </w:tabs>
        <w:rPr>
          <w:rFonts w:asciiTheme="minorHAnsi" w:hAnsiTheme="minorHAnsi"/>
          <w:noProof/>
          <w:sz w:val="22"/>
        </w:rPr>
      </w:pPr>
      <w:hyperlink w:anchor="_Toc256000664" w:history="1">
        <w:r>
          <w:rPr>
            <w:rStyle w:val="Hyperlink"/>
          </w:rPr>
          <w:t>Specifying formatVersion in Blueprints in VCF Automation</w:t>
        </w:r>
        <w:r>
          <w:tab/>
        </w:r>
        <w:r>
          <w:fldChar w:fldCharType="begin"/>
        </w:r>
        <w:r>
          <w:instrText xml:space="preserve"> PAGEREF _Toc256000664 \h </w:instrText>
        </w:r>
        <w:r>
          <w:fldChar w:fldCharType="separate"/>
        </w:r>
        <w:r>
          <w:t>69</w:t>
        </w:r>
        <w:r>
          <w:fldChar w:fldCharType="end"/>
        </w:r>
      </w:hyperlink>
    </w:p>
    <w:p>
      <w:pPr>
        <w:pStyle w:val="TOC4"/>
        <w:tabs>
          <w:tab w:val="right" w:leader="dot" w:pos="9950"/>
        </w:tabs>
        <w:rPr>
          <w:rFonts w:asciiTheme="minorHAnsi" w:hAnsiTheme="minorHAnsi"/>
          <w:noProof/>
          <w:sz w:val="22"/>
        </w:rPr>
      </w:pPr>
      <w:hyperlink w:anchor="_Toc256000665" w:history="1">
        <w:r>
          <w:rPr>
            <w:rStyle w:val="Hyperlink"/>
          </w:rPr>
          <w:t>Metadata blueprint specification</w:t>
        </w:r>
        <w:r>
          <w:tab/>
        </w:r>
        <w:r>
          <w:fldChar w:fldCharType="begin"/>
        </w:r>
        <w:r>
          <w:instrText xml:space="preserve"> PAGEREF _Toc256000665 \h </w:instrText>
        </w:r>
        <w:r>
          <w:fldChar w:fldCharType="separate"/>
        </w:r>
        <w:r>
          <w:t>70</w:t>
        </w:r>
        <w:r>
          <w:fldChar w:fldCharType="end"/>
        </w:r>
      </w:hyperlink>
    </w:p>
    <w:p>
      <w:pPr>
        <w:pStyle w:val="TOC4"/>
        <w:tabs>
          <w:tab w:val="right" w:leader="dot" w:pos="9950"/>
        </w:tabs>
        <w:rPr>
          <w:rFonts w:asciiTheme="minorHAnsi" w:hAnsiTheme="minorHAnsi"/>
          <w:noProof/>
          <w:sz w:val="22"/>
        </w:rPr>
      </w:pPr>
      <w:hyperlink w:anchor="_Toc256000666" w:history="1">
        <w:r>
          <w:rPr>
            <w:rStyle w:val="Hyperlink"/>
          </w:rPr>
          <w:t>Variables blueprint specification</w:t>
        </w:r>
        <w:r>
          <w:tab/>
        </w:r>
        <w:r>
          <w:fldChar w:fldCharType="begin"/>
        </w:r>
        <w:r>
          <w:instrText xml:space="preserve"> PAGEREF _Toc256000666 \h </w:instrText>
        </w:r>
        <w:r>
          <w:fldChar w:fldCharType="separate"/>
        </w:r>
        <w:r>
          <w:t>70</w:t>
        </w:r>
        <w:r>
          <w:fldChar w:fldCharType="end"/>
        </w:r>
      </w:hyperlink>
    </w:p>
    <w:p>
      <w:pPr>
        <w:pStyle w:val="TOC4"/>
        <w:tabs>
          <w:tab w:val="right" w:leader="dot" w:pos="9950"/>
        </w:tabs>
        <w:rPr>
          <w:rFonts w:asciiTheme="minorHAnsi" w:hAnsiTheme="minorHAnsi"/>
          <w:noProof/>
          <w:sz w:val="22"/>
        </w:rPr>
      </w:pPr>
      <w:hyperlink w:anchor="_Toc256000667" w:history="1">
        <w:r>
          <w:rPr>
            <w:rStyle w:val="Hyperlink"/>
          </w:rPr>
          <w:t>Outputs blueprint specification</w:t>
        </w:r>
        <w:r>
          <w:tab/>
        </w:r>
        <w:r>
          <w:fldChar w:fldCharType="begin"/>
        </w:r>
        <w:r>
          <w:instrText xml:space="preserve"> PAGEREF _Toc256000667 \h </w:instrText>
        </w:r>
        <w:r>
          <w:fldChar w:fldCharType="separate"/>
        </w:r>
        <w:r>
          <w:t>70</w:t>
        </w:r>
        <w:r>
          <w:fldChar w:fldCharType="end"/>
        </w:r>
      </w:hyperlink>
    </w:p>
    <w:p>
      <w:pPr>
        <w:pStyle w:val="TOC3"/>
        <w:tabs>
          <w:tab w:val="right" w:leader="dot" w:pos="9950"/>
        </w:tabs>
        <w:rPr>
          <w:rFonts w:asciiTheme="minorHAnsi" w:hAnsiTheme="minorHAnsi"/>
          <w:noProof/>
          <w:sz w:val="22"/>
        </w:rPr>
      </w:pPr>
      <w:hyperlink w:anchor="_Toc256000668" w:history="1">
        <w:r>
          <w:rPr>
            <w:rStyle w:val="Hyperlink"/>
          </w:rPr>
          <w:t>User Inputs in Requests in VCF Automation</w:t>
        </w:r>
        <w:r>
          <w:tab/>
        </w:r>
        <w:r>
          <w:fldChar w:fldCharType="begin"/>
        </w:r>
        <w:r>
          <w:instrText xml:space="preserve"> PAGEREF _Toc256000668 \h </w:instrText>
        </w:r>
        <w:r>
          <w:fldChar w:fldCharType="separate"/>
        </w:r>
        <w:r>
          <w:t>71</w:t>
        </w:r>
        <w:r>
          <w:fldChar w:fldCharType="end"/>
        </w:r>
      </w:hyperlink>
    </w:p>
    <w:p>
      <w:pPr>
        <w:pStyle w:val="TOC4"/>
        <w:tabs>
          <w:tab w:val="right" w:leader="dot" w:pos="9950"/>
        </w:tabs>
        <w:rPr>
          <w:rFonts w:asciiTheme="minorHAnsi" w:hAnsiTheme="minorHAnsi"/>
          <w:noProof/>
          <w:sz w:val="22"/>
        </w:rPr>
      </w:pPr>
      <w:hyperlink w:anchor="_Toc256000669" w:history="1">
        <w:r>
          <w:rPr>
            <w:rStyle w:val="Hyperlink"/>
          </w:rPr>
          <w:t>How inputs work</w:t>
        </w:r>
        <w:r>
          <w:tab/>
        </w:r>
        <w:r>
          <w:fldChar w:fldCharType="begin"/>
        </w:r>
        <w:r>
          <w:instrText xml:space="preserve"> PAGEREF _Toc256000669 \h </w:instrText>
        </w:r>
        <w:r>
          <w:fldChar w:fldCharType="separate"/>
        </w:r>
        <w:r>
          <w:t>71</w:t>
        </w:r>
        <w:r>
          <w:fldChar w:fldCharType="end"/>
        </w:r>
      </w:hyperlink>
    </w:p>
    <w:p>
      <w:pPr>
        <w:pStyle w:val="TOC4"/>
        <w:tabs>
          <w:tab w:val="right" w:leader="dot" w:pos="9950"/>
        </w:tabs>
        <w:rPr>
          <w:rFonts w:asciiTheme="minorHAnsi" w:hAnsiTheme="minorHAnsi"/>
          <w:noProof/>
          <w:sz w:val="22"/>
        </w:rPr>
      </w:pPr>
      <w:hyperlink w:anchor="_Toc256000670" w:history="1">
        <w:r>
          <w:rPr>
            <w:rStyle w:val="Hyperlink"/>
          </w:rPr>
          <w:t>Adding Input Parameters</w:t>
        </w:r>
        <w:r>
          <w:tab/>
        </w:r>
        <w:r>
          <w:fldChar w:fldCharType="begin"/>
        </w:r>
        <w:r>
          <w:instrText xml:space="preserve"> PAGEREF _Toc256000670 \h </w:instrText>
        </w:r>
        <w:r>
          <w:fldChar w:fldCharType="separate"/>
        </w:r>
        <w:r>
          <w:t>71</w:t>
        </w:r>
        <w:r>
          <w:fldChar w:fldCharType="end"/>
        </w:r>
      </w:hyperlink>
    </w:p>
    <w:p>
      <w:pPr>
        <w:pStyle w:val="TOC4"/>
        <w:tabs>
          <w:tab w:val="right" w:leader="dot" w:pos="9950"/>
        </w:tabs>
        <w:rPr>
          <w:rFonts w:asciiTheme="minorHAnsi" w:hAnsiTheme="minorHAnsi"/>
          <w:noProof/>
          <w:sz w:val="22"/>
        </w:rPr>
      </w:pPr>
      <w:hyperlink w:anchor="_Toc256000671" w:history="1">
        <w:r>
          <w:rPr>
            <w:rStyle w:val="Hyperlink"/>
          </w:rPr>
          <w:t>Referencing Input Parameters</w:t>
        </w:r>
        <w:r>
          <w:tab/>
        </w:r>
        <w:r>
          <w:fldChar w:fldCharType="begin"/>
        </w:r>
        <w:r>
          <w:instrText xml:space="preserve"> PAGEREF _Toc256000671 \h </w:instrText>
        </w:r>
        <w:r>
          <w:fldChar w:fldCharType="separate"/>
        </w:r>
        <w:r>
          <w:t>71</w:t>
        </w:r>
        <w:r>
          <w:fldChar w:fldCharType="end"/>
        </w:r>
      </w:hyperlink>
    </w:p>
    <w:p>
      <w:pPr>
        <w:pStyle w:val="TOC4"/>
        <w:tabs>
          <w:tab w:val="right" w:leader="dot" w:pos="9950"/>
        </w:tabs>
        <w:rPr>
          <w:rFonts w:asciiTheme="minorHAnsi" w:hAnsiTheme="minorHAnsi"/>
          <w:noProof/>
          <w:sz w:val="22"/>
        </w:rPr>
      </w:pPr>
      <w:hyperlink w:anchor="_Toc256000672" w:history="1">
        <w:r>
          <w:rPr>
            <w:rStyle w:val="Hyperlink"/>
          </w:rPr>
          <w:t>Nested Input</w:t>
        </w:r>
        <w:r>
          <w:tab/>
        </w:r>
        <w:r>
          <w:fldChar w:fldCharType="begin"/>
        </w:r>
        <w:r>
          <w:instrText xml:space="preserve"> PAGEREF _Toc256000672 \h </w:instrText>
        </w:r>
        <w:r>
          <w:fldChar w:fldCharType="separate"/>
        </w:r>
        <w:r>
          <w:t>72</w:t>
        </w:r>
        <w:r>
          <w:fldChar w:fldCharType="end"/>
        </w:r>
      </w:hyperlink>
    </w:p>
    <w:p>
      <w:pPr>
        <w:pStyle w:val="TOC4"/>
        <w:tabs>
          <w:tab w:val="right" w:leader="dot" w:pos="9950"/>
        </w:tabs>
        <w:rPr>
          <w:rFonts w:asciiTheme="minorHAnsi" w:hAnsiTheme="minorHAnsi"/>
          <w:noProof/>
          <w:sz w:val="22"/>
        </w:rPr>
      </w:pPr>
      <w:hyperlink w:anchor="_Toc256000673" w:history="1">
        <w:r>
          <w:rPr>
            <w:rStyle w:val="Hyperlink"/>
          </w:rPr>
          <w:t>Optional versus required input</w:t>
        </w:r>
        <w:r>
          <w:tab/>
        </w:r>
        <w:r>
          <w:fldChar w:fldCharType="begin"/>
        </w:r>
        <w:r>
          <w:instrText xml:space="preserve"> PAGEREF _Toc256000673 \h </w:instrText>
        </w:r>
        <w:r>
          <w:fldChar w:fldCharType="separate"/>
        </w:r>
        <w:r>
          <w:t>72</w:t>
        </w:r>
        <w:r>
          <w:fldChar w:fldCharType="end"/>
        </w:r>
      </w:hyperlink>
    </w:p>
    <w:p>
      <w:pPr>
        <w:pStyle w:val="TOC4"/>
        <w:tabs>
          <w:tab w:val="right" w:leader="dot" w:pos="9950"/>
        </w:tabs>
        <w:rPr>
          <w:rFonts w:asciiTheme="minorHAnsi" w:hAnsiTheme="minorHAnsi"/>
          <w:noProof/>
          <w:sz w:val="22"/>
        </w:rPr>
      </w:pPr>
      <w:hyperlink w:anchor="_Toc256000674" w:history="1">
        <w:r>
          <w:rPr>
            <w:rStyle w:val="Hyperlink"/>
          </w:rPr>
          <w:t>Sending inputs to VCF Operations orchestratorrelevant?</w:t>
        </w:r>
        <w:r>
          <w:tab/>
        </w:r>
        <w:r>
          <w:fldChar w:fldCharType="begin"/>
        </w:r>
        <w:r>
          <w:instrText xml:space="preserve"> PAGEREF _Toc256000674 \h </w:instrText>
        </w:r>
        <w:r>
          <w:fldChar w:fldCharType="separate"/>
        </w:r>
        <w:r>
          <w:t>73</w:t>
        </w:r>
        <w:r>
          <w:fldChar w:fldCharType="end"/>
        </w:r>
      </w:hyperlink>
    </w:p>
    <w:p>
      <w:pPr>
        <w:pStyle w:val="TOC4"/>
        <w:tabs>
          <w:tab w:val="right" w:leader="dot" w:pos="9950"/>
        </w:tabs>
        <w:rPr>
          <w:rFonts w:asciiTheme="minorHAnsi" w:hAnsiTheme="minorHAnsi"/>
          <w:noProof/>
          <w:sz w:val="22"/>
        </w:rPr>
      </w:pPr>
      <w:hyperlink w:anchor="_Toc256000675" w:history="1">
        <w:r>
          <w:rPr>
            <w:rStyle w:val="Hyperlink"/>
          </w:rPr>
          <w:t>List of input properties</w:t>
        </w:r>
        <w:r>
          <w:tab/>
        </w:r>
        <w:r>
          <w:fldChar w:fldCharType="begin"/>
        </w:r>
        <w:r>
          <w:instrText xml:space="preserve"> PAGEREF _Toc256000675 \h </w:instrText>
        </w:r>
        <w:r>
          <w:fldChar w:fldCharType="separate"/>
        </w:r>
        <w:r>
          <w:t>73</w:t>
        </w:r>
        <w:r>
          <w:fldChar w:fldCharType="end"/>
        </w:r>
      </w:hyperlink>
    </w:p>
    <w:p>
      <w:pPr>
        <w:pStyle w:val="TOC4"/>
        <w:tabs>
          <w:tab w:val="right" w:leader="dot" w:pos="9950"/>
        </w:tabs>
        <w:rPr>
          <w:rFonts w:asciiTheme="minorHAnsi" w:hAnsiTheme="minorHAnsi"/>
          <w:noProof/>
          <w:sz w:val="22"/>
        </w:rPr>
      </w:pPr>
      <w:hyperlink w:anchor="_Toc256000676" w:history="1">
        <w:r>
          <w:rPr>
            <w:rStyle w:val="Hyperlink"/>
          </w:rPr>
          <w:t>Additional examples</w:t>
        </w:r>
        <w:r>
          <w:tab/>
        </w:r>
        <w:r>
          <w:fldChar w:fldCharType="begin"/>
        </w:r>
        <w:r>
          <w:instrText xml:space="preserve"> PAGEREF _Toc256000676 \h </w:instrText>
        </w:r>
        <w:r>
          <w:fldChar w:fldCharType="separate"/>
        </w:r>
        <w:r>
          <w:t>74</w:t>
        </w:r>
        <w:r>
          <w:fldChar w:fldCharType="end"/>
        </w:r>
      </w:hyperlink>
    </w:p>
    <w:p>
      <w:pPr>
        <w:pStyle w:val="TOC3"/>
        <w:tabs>
          <w:tab w:val="right" w:leader="dot" w:pos="9950"/>
        </w:tabs>
        <w:rPr>
          <w:rFonts w:asciiTheme="minorHAnsi" w:hAnsiTheme="minorHAnsi"/>
          <w:noProof/>
          <w:sz w:val="22"/>
        </w:rPr>
      </w:pPr>
      <w:hyperlink w:anchor="_Toc256000677" w:history="1">
        <w:r>
          <w:rPr>
            <w:rStyle w:val="Hyperlink"/>
          </w:rPr>
          <w:t>Reusing a Group of Properties in VCF Automation</w:t>
        </w:r>
        <w:r>
          <w:tab/>
        </w:r>
        <w:r>
          <w:fldChar w:fldCharType="begin"/>
        </w:r>
        <w:r>
          <w:instrText xml:space="preserve"> PAGEREF _Toc256000677 \h </w:instrText>
        </w:r>
        <w:r>
          <w:fldChar w:fldCharType="separate"/>
        </w:r>
        <w:r>
          <w:t>75</w:t>
        </w:r>
        <w:r>
          <w:fldChar w:fldCharType="end"/>
        </w:r>
      </w:hyperlink>
    </w:p>
    <w:p>
      <w:pPr>
        <w:pStyle w:val="TOC4"/>
        <w:tabs>
          <w:tab w:val="right" w:leader="dot" w:pos="9950"/>
        </w:tabs>
        <w:rPr>
          <w:rFonts w:asciiTheme="minorHAnsi" w:hAnsiTheme="minorHAnsi"/>
          <w:noProof/>
          <w:sz w:val="22"/>
        </w:rPr>
      </w:pPr>
      <w:hyperlink w:anchor="_Toc256000678" w:history="1">
        <w:r>
          <w:rPr>
            <w:rStyle w:val="Hyperlink"/>
          </w:rPr>
          <w:t>Modifying a Property Group</w:t>
        </w:r>
        <w:r>
          <w:tab/>
        </w:r>
        <w:r>
          <w:fldChar w:fldCharType="begin"/>
        </w:r>
        <w:r>
          <w:instrText xml:space="preserve"> PAGEREF _Toc256000678 \h </w:instrText>
        </w:r>
        <w:r>
          <w:fldChar w:fldCharType="separate"/>
        </w:r>
        <w:r>
          <w:t>76</w:t>
        </w:r>
        <w:r>
          <w:fldChar w:fldCharType="end"/>
        </w:r>
      </w:hyperlink>
    </w:p>
    <w:p>
      <w:pPr>
        <w:pStyle w:val="TOC4"/>
        <w:tabs>
          <w:tab w:val="right" w:leader="dot" w:pos="9950"/>
        </w:tabs>
        <w:rPr>
          <w:rFonts w:asciiTheme="minorHAnsi" w:hAnsiTheme="minorHAnsi"/>
          <w:noProof/>
          <w:sz w:val="22"/>
        </w:rPr>
      </w:pPr>
      <w:hyperlink w:anchor="_Toc256000679" w:history="1">
        <w:r>
          <w:rPr>
            <w:rStyle w:val="Hyperlink"/>
          </w:rPr>
          <w:t>Deleting a Property Group</w:t>
        </w:r>
        <w:r>
          <w:tab/>
        </w:r>
        <w:r>
          <w:fldChar w:fldCharType="begin"/>
        </w:r>
        <w:r>
          <w:instrText xml:space="preserve"> PAGEREF _Toc256000679 \h </w:instrText>
        </w:r>
        <w:r>
          <w:fldChar w:fldCharType="separate"/>
        </w:r>
        <w:r>
          <w:t>76</w:t>
        </w:r>
        <w:r>
          <w:fldChar w:fldCharType="end"/>
        </w:r>
      </w:hyperlink>
    </w:p>
    <w:p>
      <w:pPr>
        <w:pStyle w:val="TOC4"/>
        <w:tabs>
          <w:tab w:val="right" w:leader="dot" w:pos="9950"/>
        </w:tabs>
        <w:rPr>
          <w:rFonts w:asciiTheme="minorHAnsi" w:hAnsiTheme="minorHAnsi"/>
          <w:noProof/>
          <w:sz w:val="22"/>
        </w:rPr>
      </w:pPr>
      <w:hyperlink w:anchor="_Toc256000680" w:history="1">
        <w:r>
          <w:rPr>
            <w:rStyle w:val="Hyperlink"/>
          </w:rPr>
          <w:t>Input Property Groups in VCF Automation</w:t>
        </w:r>
        <w:r>
          <w:tab/>
        </w:r>
        <w:r>
          <w:fldChar w:fldCharType="begin"/>
        </w:r>
        <w:r>
          <w:instrText xml:space="preserve"> PAGEREF _Toc256000680 \h </w:instrText>
        </w:r>
        <w:r>
          <w:fldChar w:fldCharType="separate"/>
        </w:r>
        <w:r>
          <w:t>76</w:t>
        </w:r>
        <w:r>
          <w:fldChar w:fldCharType="end"/>
        </w:r>
      </w:hyperlink>
    </w:p>
    <w:p>
      <w:pPr>
        <w:pStyle w:val="TOC4"/>
        <w:tabs>
          <w:tab w:val="right" w:leader="dot" w:pos="9950"/>
        </w:tabs>
        <w:rPr>
          <w:rFonts w:asciiTheme="minorHAnsi" w:hAnsiTheme="minorHAnsi"/>
          <w:noProof/>
          <w:sz w:val="22"/>
        </w:rPr>
      </w:pPr>
      <w:hyperlink w:anchor="_Toc256000681" w:history="1">
        <w:r>
          <w:rPr>
            <w:rStyle w:val="Hyperlink"/>
          </w:rPr>
          <w:t>Constant Property Groups in VCF Automation</w:t>
        </w:r>
        <w:r>
          <w:tab/>
        </w:r>
        <w:r>
          <w:fldChar w:fldCharType="begin"/>
        </w:r>
        <w:r>
          <w:instrText xml:space="preserve"> PAGEREF _Toc256000681 \h </w:instrText>
        </w:r>
        <w:r>
          <w:fldChar w:fldCharType="separate"/>
        </w:r>
        <w:r>
          <w:t>78</w:t>
        </w:r>
        <w:r>
          <w:fldChar w:fldCharType="end"/>
        </w:r>
      </w:hyperlink>
    </w:p>
    <w:p>
      <w:pPr>
        <w:pStyle w:val="TOC3"/>
        <w:tabs>
          <w:tab w:val="right" w:leader="dot" w:pos="9950"/>
        </w:tabs>
        <w:rPr>
          <w:rFonts w:asciiTheme="minorHAnsi" w:hAnsiTheme="minorHAnsi"/>
          <w:noProof/>
          <w:sz w:val="22"/>
        </w:rPr>
      </w:pPr>
      <w:hyperlink w:anchor="_Toc256000682" w:history="1">
        <w:r>
          <w:rPr>
            <w:rStyle w:val="Hyperlink"/>
          </w:rPr>
          <w:t>Using Expressions in blueprints in VCF Automation</w:t>
        </w:r>
        <w:r>
          <w:tab/>
        </w:r>
        <w:r>
          <w:fldChar w:fldCharType="begin"/>
        </w:r>
        <w:r>
          <w:instrText xml:space="preserve"> PAGEREF _Toc256000682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683" w:history="1">
        <w:r>
          <w:rPr>
            <w:rStyle w:val="Hyperlink"/>
          </w:rPr>
          <w:t>How expressions work</w:t>
        </w:r>
        <w:r>
          <w:tab/>
        </w:r>
        <w:r>
          <w:fldChar w:fldCharType="begin"/>
        </w:r>
        <w:r>
          <w:instrText xml:space="preserve"> PAGEREF _Toc256000683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684" w:history="1">
        <w:r>
          <w:rPr>
            <w:rStyle w:val="Hyperlink"/>
          </w:rPr>
          <w:t>Literals</w:t>
        </w:r>
        <w:r>
          <w:tab/>
        </w:r>
        <w:r>
          <w:fldChar w:fldCharType="begin"/>
        </w:r>
        <w:r>
          <w:instrText xml:space="preserve"> PAGEREF _Toc256000684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685" w:history="1">
        <w:r>
          <w:rPr>
            <w:rStyle w:val="Hyperlink"/>
          </w:rPr>
          <w:t>Environment variables</w:t>
        </w:r>
        <w:r>
          <w:tab/>
        </w:r>
        <w:r>
          <w:fldChar w:fldCharType="begin"/>
        </w:r>
        <w:r>
          <w:instrText xml:space="preserve"> PAGEREF _Toc256000685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686" w:history="1">
        <w:r>
          <w:rPr>
            <w:rStyle w:val="Hyperlink"/>
          </w:rPr>
          <w:t>Resource variables</w:t>
        </w:r>
        <w:r>
          <w:tab/>
        </w:r>
        <w:r>
          <w:fldChar w:fldCharType="begin"/>
        </w:r>
        <w:r>
          <w:instrText xml:space="preserve"> PAGEREF _Toc256000686 \h </w:instrText>
        </w:r>
        <w:r>
          <w:fldChar w:fldCharType="separate"/>
        </w:r>
        <w:r>
          <w:t>81</w:t>
        </w:r>
        <w:r>
          <w:fldChar w:fldCharType="end"/>
        </w:r>
      </w:hyperlink>
    </w:p>
    <w:p>
      <w:pPr>
        <w:pStyle w:val="TOC4"/>
        <w:tabs>
          <w:tab w:val="right" w:leader="dot" w:pos="9950"/>
        </w:tabs>
        <w:rPr>
          <w:rFonts w:asciiTheme="minorHAnsi" w:hAnsiTheme="minorHAnsi"/>
          <w:noProof/>
          <w:sz w:val="22"/>
        </w:rPr>
      </w:pPr>
      <w:hyperlink w:anchor="_Toc256000687" w:history="1">
        <w:r>
          <w:rPr>
            <w:rStyle w:val="Hyperlink"/>
          </w:rPr>
          <w:t>Resource self variables</w:t>
        </w:r>
        <w:r>
          <w:tab/>
        </w:r>
        <w:r>
          <w:fldChar w:fldCharType="begin"/>
        </w:r>
        <w:r>
          <w:instrText xml:space="preserve"> PAGEREF _Toc256000687 \h </w:instrText>
        </w:r>
        <w:r>
          <w:fldChar w:fldCharType="separate"/>
        </w:r>
        <w:r>
          <w:t>81</w:t>
        </w:r>
        <w:r>
          <w:fldChar w:fldCharType="end"/>
        </w:r>
      </w:hyperlink>
    </w:p>
    <w:p>
      <w:pPr>
        <w:pStyle w:val="TOC4"/>
        <w:tabs>
          <w:tab w:val="right" w:leader="dot" w:pos="9950"/>
        </w:tabs>
        <w:rPr>
          <w:rFonts w:asciiTheme="minorHAnsi" w:hAnsiTheme="minorHAnsi"/>
          <w:noProof/>
          <w:sz w:val="22"/>
        </w:rPr>
      </w:pPr>
      <w:hyperlink w:anchor="_Toc256000688" w:history="1">
        <w:r>
          <w:rPr>
            <w:rStyle w:val="Hyperlink"/>
          </w:rPr>
          <w:t>Conditions</w:t>
        </w:r>
        <w:r>
          <w:tab/>
        </w:r>
        <w:r>
          <w:fldChar w:fldCharType="begin"/>
        </w:r>
        <w:r>
          <w:instrText xml:space="preserve"> PAGEREF _Toc256000688 \h </w:instrText>
        </w:r>
        <w:r>
          <w:fldChar w:fldCharType="separate"/>
        </w:r>
        <w:r>
          <w:t>81</w:t>
        </w:r>
        <w:r>
          <w:fldChar w:fldCharType="end"/>
        </w:r>
      </w:hyperlink>
    </w:p>
    <w:p>
      <w:pPr>
        <w:pStyle w:val="TOC4"/>
        <w:tabs>
          <w:tab w:val="right" w:leader="dot" w:pos="9950"/>
        </w:tabs>
        <w:rPr>
          <w:rFonts w:asciiTheme="minorHAnsi" w:hAnsiTheme="minorHAnsi"/>
          <w:noProof/>
          <w:sz w:val="22"/>
        </w:rPr>
      </w:pPr>
      <w:hyperlink w:anchor="_Toc256000689" w:history="1">
        <w:r>
          <w:rPr>
            <w:rStyle w:val="Hyperlink"/>
          </w:rPr>
          <w:t>Cluster count index</w:t>
        </w:r>
        <w:r>
          <w:tab/>
        </w:r>
        <w:r>
          <w:fldChar w:fldCharType="begin"/>
        </w:r>
        <w:r>
          <w:instrText xml:space="preserve"> PAGEREF _Toc256000689 \h </w:instrText>
        </w:r>
        <w:r>
          <w:fldChar w:fldCharType="separate"/>
        </w:r>
        <w:r>
          <w:t>82</w:t>
        </w:r>
        <w:r>
          <w:fldChar w:fldCharType="end"/>
        </w:r>
      </w:hyperlink>
    </w:p>
    <w:p>
      <w:pPr>
        <w:pStyle w:val="TOC4"/>
        <w:tabs>
          <w:tab w:val="right" w:leader="dot" w:pos="9950"/>
        </w:tabs>
        <w:rPr>
          <w:rFonts w:asciiTheme="minorHAnsi" w:hAnsiTheme="minorHAnsi"/>
          <w:noProof/>
          <w:sz w:val="22"/>
        </w:rPr>
      </w:pPr>
      <w:hyperlink w:anchor="_Toc256000690" w:history="1">
        <w:r>
          <w:rPr>
            <w:rStyle w:val="Hyperlink"/>
          </w:rPr>
          <w:t>Arithmetic operators</w:t>
        </w:r>
        <w:r>
          <w:tab/>
        </w:r>
        <w:r>
          <w:fldChar w:fldCharType="begin"/>
        </w:r>
        <w:r>
          <w:instrText xml:space="preserve"> PAGEREF _Toc256000690 \h </w:instrText>
        </w:r>
        <w:r>
          <w:fldChar w:fldCharType="separate"/>
        </w:r>
        <w:r>
          <w:t>82</w:t>
        </w:r>
        <w:r>
          <w:fldChar w:fldCharType="end"/>
        </w:r>
      </w:hyperlink>
    </w:p>
    <w:p>
      <w:pPr>
        <w:pStyle w:val="TOC4"/>
        <w:tabs>
          <w:tab w:val="right" w:leader="dot" w:pos="9950"/>
        </w:tabs>
        <w:rPr>
          <w:rFonts w:asciiTheme="minorHAnsi" w:hAnsiTheme="minorHAnsi"/>
          <w:noProof/>
          <w:sz w:val="22"/>
        </w:rPr>
      </w:pPr>
      <w:hyperlink w:anchor="_Toc256000691" w:history="1">
        <w:r>
          <w:rPr>
            <w:rStyle w:val="Hyperlink"/>
          </w:rPr>
          <w:t>String concatenation</w:t>
        </w:r>
        <w:r>
          <w:tab/>
        </w:r>
        <w:r>
          <w:fldChar w:fldCharType="begin"/>
        </w:r>
        <w:r>
          <w:instrText xml:space="preserve"> PAGEREF _Toc256000691 \h </w:instrText>
        </w:r>
        <w:r>
          <w:fldChar w:fldCharType="separate"/>
        </w:r>
        <w:r>
          <w:t>82</w:t>
        </w:r>
        <w:r>
          <w:fldChar w:fldCharType="end"/>
        </w:r>
      </w:hyperlink>
    </w:p>
    <w:p>
      <w:pPr>
        <w:pStyle w:val="TOC4"/>
        <w:tabs>
          <w:tab w:val="right" w:leader="dot" w:pos="9950"/>
        </w:tabs>
        <w:rPr>
          <w:rFonts w:asciiTheme="minorHAnsi" w:hAnsiTheme="minorHAnsi"/>
          <w:noProof/>
          <w:sz w:val="22"/>
        </w:rPr>
      </w:pPr>
      <w:hyperlink w:anchor="_Toc256000692" w:history="1">
        <w:r>
          <w:rPr>
            <w:rStyle w:val="Hyperlink"/>
          </w:rPr>
          <w:t>Operators [ ] and .</w:t>
        </w:r>
        <w:r>
          <w:tab/>
        </w:r>
        <w:r>
          <w:fldChar w:fldCharType="begin"/>
        </w:r>
        <w:r>
          <w:instrText xml:space="preserve"> PAGEREF _Toc256000692 \h </w:instrText>
        </w:r>
        <w:r>
          <w:fldChar w:fldCharType="separate"/>
        </w:r>
        <w:r>
          <w:t>82</w:t>
        </w:r>
        <w:r>
          <w:fldChar w:fldCharType="end"/>
        </w:r>
      </w:hyperlink>
    </w:p>
    <w:p>
      <w:pPr>
        <w:pStyle w:val="TOC4"/>
        <w:tabs>
          <w:tab w:val="right" w:leader="dot" w:pos="9950"/>
        </w:tabs>
        <w:rPr>
          <w:rFonts w:asciiTheme="minorHAnsi" w:hAnsiTheme="minorHAnsi"/>
          <w:noProof/>
          <w:sz w:val="22"/>
        </w:rPr>
      </w:pPr>
      <w:hyperlink w:anchor="_Toc256000693" w:history="1">
        <w:r>
          <w:rPr>
            <w:rStyle w:val="Hyperlink"/>
          </w:rPr>
          <w:t>Construction of map</w:t>
        </w:r>
        <w:r>
          <w:tab/>
        </w:r>
        <w:r>
          <w:fldChar w:fldCharType="begin"/>
        </w:r>
        <w:r>
          <w:instrText xml:space="preserve"> PAGEREF _Toc256000693 \h </w:instrText>
        </w:r>
        <w:r>
          <w:fldChar w:fldCharType="separate"/>
        </w:r>
        <w:r>
          <w:t>83</w:t>
        </w:r>
        <w:r>
          <w:fldChar w:fldCharType="end"/>
        </w:r>
      </w:hyperlink>
    </w:p>
    <w:p>
      <w:pPr>
        <w:pStyle w:val="TOC4"/>
        <w:tabs>
          <w:tab w:val="right" w:leader="dot" w:pos="9950"/>
        </w:tabs>
        <w:rPr>
          <w:rFonts w:asciiTheme="minorHAnsi" w:hAnsiTheme="minorHAnsi"/>
          <w:noProof/>
          <w:sz w:val="22"/>
        </w:rPr>
      </w:pPr>
      <w:hyperlink w:anchor="_Toc256000694" w:history="1">
        <w:r>
          <w:rPr>
            <w:rStyle w:val="Hyperlink"/>
          </w:rPr>
          <w:t>Construction of array</w:t>
        </w:r>
        <w:r>
          <w:tab/>
        </w:r>
        <w:r>
          <w:fldChar w:fldCharType="begin"/>
        </w:r>
        <w:r>
          <w:instrText xml:space="preserve"> PAGEREF _Toc256000694 \h </w:instrText>
        </w:r>
        <w:r>
          <w:fldChar w:fldCharType="separate"/>
        </w:r>
        <w:r>
          <w:t>83</w:t>
        </w:r>
        <w:r>
          <w:fldChar w:fldCharType="end"/>
        </w:r>
      </w:hyperlink>
    </w:p>
    <w:p>
      <w:pPr>
        <w:pStyle w:val="TOC4"/>
        <w:tabs>
          <w:tab w:val="right" w:leader="dot" w:pos="9950"/>
        </w:tabs>
        <w:rPr>
          <w:rFonts w:asciiTheme="minorHAnsi" w:hAnsiTheme="minorHAnsi"/>
          <w:noProof/>
          <w:sz w:val="22"/>
        </w:rPr>
      </w:pPr>
      <w:hyperlink w:anchor="_Toc256000695" w:history="1">
        <w:r>
          <w:rPr>
            <w:rStyle w:val="Hyperlink"/>
          </w:rPr>
          <w:t>Functions</w:t>
        </w:r>
        <w:r>
          <w:tab/>
        </w:r>
        <w:r>
          <w:fldChar w:fldCharType="begin"/>
        </w:r>
        <w:r>
          <w:instrText xml:space="preserve"> PAGEREF _Toc256000695 \h </w:instrText>
        </w:r>
        <w:r>
          <w:fldChar w:fldCharType="separate"/>
        </w:r>
        <w:r>
          <w:t>83</w:t>
        </w:r>
        <w:r>
          <w:fldChar w:fldCharType="end"/>
        </w:r>
      </w:hyperlink>
    </w:p>
    <w:p>
      <w:pPr>
        <w:pStyle w:val="TOC4"/>
        <w:tabs>
          <w:tab w:val="right" w:leader="dot" w:pos="9950"/>
        </w:tabs>
        <w:rPr>
          <w:rFonts w:asciiTheme="minorHAnsi" w:hAnsiTheme="minorHAnsi"/>
          <w:noProof/>
          <w:sz w:val="22"/>
        </w:rPr>
      </w:pPr>
      <w:hyperlink w:anchor="_Toc256000696" w:history="1">
        <w:r>
          <w:rPr>
            <w:rStyle w:val="Hyperlink"/>
          </w:rPr>
          <w:t>Troubleshooting</w:t>
        </w:r>
        <w:r>
          <w:tab/>
        </w:r>
        <w:r>
          <w:fldChar w:fldCharType="begin"/>
        </w:r>
        <w:r>
          <w:instrText xml:space="preserve"> PAGEREF _Toc256000696 \h </w:instrText>
        </w:r>
        <w:r>
          <w:fldChar w:fldCharType="separate"/>
        </w:r>
        <w:r>
          <w:t>86</w:t>
        </w:r>
        <w:r>
          <w:fldChar w:fldCharType="end"/>
        </w:r>
      </w:hyperlink>
    </w:p>
    <w:p>
      <w:pPr>
        <w:pStyle w:val="TOC3"/>
        <w:tabs>
          <w:tab w:val="right" w:leader="dot" w:pos="9950"/>
        </w:tabs>
        <w:rPr>
          <w:rFonts w:asciiTheme="minorHAnsi" w:hAnsiTheme="minorHAnsi"/>
          <w:noProof/>
          <w:sz w:val="22"/>
        </w:rPr>
      </w:pPr>
      <w:hyperlink w:anchor="_Toc256000697" w:history="1">
        <w:r>
          <w:rPr>
            <w:rStyle w:val="Hyperlink"/>
          </w:rPr>
          <w:t>Creating Custom Forms for Blueprints in VCF Automation</w:t>
        </w:r>
        <w:r>
          <w:tab/>
        </w:r>
        <w:r>
          <w:fldChar w:fldCharType="begin"/>
        </w:r>
        <w:r>
          <w:instrText xml:space="preserve"> PAGEREF _Toc256000697 \h </w:instrText>
        </w:r>
        <w:r>
          <w:fldChar w:fldCharType="separate"/>
        </w:r>
        <w:r>
          <w:t>86</w:t>
        </w:r>
        <w:r>
          <w:fldChar w:fldCharType="end"/>
        </w:r>
      </w:hyperlink>
    </w:p>
    <w:p>
      <w:pPr>
        <w:pStyle w:val="TOC4"/>
        <w:tabs>
          <w:tab w:val="right" w:leader="dot" w:pos="9950"/>
        </w:tabs>
        <w:rPr>
          <w:rFonts w:asciiTheme="minorHAnsi" w:hAnsiTheme="minorHAnsi"/>
          <w:noProof/>
          <w:sz w:val="22"/>
        </w:rPr>
      </w:pPr>
      <w:hyperlink w:anchor="_Toc256000698" w:history="1">
        <w:r>
          <w:rPr>
            <w:rStyle w:val="Hyperlink"/>
          </w:rPr>
          <w:t>Custom Request Form Designer</w:t>
        </w:r>
        <w:r>
          <w:tab/>
        </w:r>
        <w:r>
          <w:fldChar w:fldCharType="begin"/>
        </w:r>
        <w:r>
          <w:instrText xml:space="preserve"> PAGEREF _Toc256000698 \h </w:instrText>
        </w:r>
        <w:r>
          <w:fldChar w:fldCharType="separate"/>
        </w:r>
        <w:r>
          <w:t>86</w:t>
        </w:r>
        <w:r>
          <w:fldChar w:fldCharType="end"/>
        </w:r>
      </w:hyperlink>
    </w:p>
    <w:p>
      <w:pPr>
        <w:pStyle w:val="TOC4"/>
        <w:tabs>
          <w:tab w:val="right" w:leader="dot" w:pos="9950"/>
        </w:tabs>
        <w:rPr>
          <w:rFonts w:asciiTheme="minorHAnsi" w:hAnsiTheme="minorHAnsi"/>
          <w:noProof/>
          <w:sz w:val="22"/>
        </w:rPr>
      </w:pPr>
      <w:hyperlink w:anchor="_Toc256000699" w:history="1">
        <w:r>
          <w:rPr>
            <w:rStyle w:val="Hyperlink"/>
          </w:rPr>
          <w:t>Importing and exporting custom forms between blueprints</w:t>
        </w:r>
        <w:r>
          <w:tab/>
        </w:r>
        <w:r>
          <w:fldChar w:fldCharType="begin"/>
        </w:r>
        <w:r>
          <w:instrText xml:space="preserve"> PAGEREF _Toc256000699 \h </w:instrText>
        </w:r>
        <w:r>
          <w:fldChar w:fldCharType="separate"/>
        </w:r>
        <w:r>
          <w:t>87</w:t>
        </w:r>
        <w:r>
          <w:fldChar w:fldCharType="end"/>
        </w:r>
      </w:hyperlink>
    </w:p>
    <w:p>
      <w:pPr>
        <w:pStyle w:val="TOC4"/>
        <w:tabs>
          <w:tab w:val="right" w:leader="dot" w:pos="9950"/>
        </w:tabs>
        <w:rPr>
          <w:rFonts w:asciiTheme="minorHAnsi" w:hAnsiTheme="minorHAnsi"/>
          <w:noProof/>
          <w:sz w:val="22"/>
        </w:rPr>
      </w:pPr>
      <w:hyperlink w:anchor="_Toc256000700" w:history="1">
        <w:r>
          <w:rPr>
            <w:rStyle w:val="Hyperlink"/>
          </w:rPr>
          <w:t>Adding your own style sheet to a custom form</w:t>
        </w:r>
        <w:r>
          <w:tab/>
        </w:r>
        <w:r>
          <w:fldChar w:fldCharType="begin"/>
        </w:r>
        <w:r>
          <w:instrText xml:space="preserve"> PAGEREF _Toc256000700 \h </w:instrText>
        </w:r>
        <w:r>
          <w:fldChar w:fldCharType="separate"/>
        </w:r>
        <w:r>
          <w:t>87</w:t>
        </w:r>
        <w:r>
          <w:fldChar w:fldCharType="end"/>
        </w:r>
      </w:hyperlink>
    </w:p>
    <w:p>
      <w:pPr>
        <w:pStyle w:val="TOC4"/>
        <w:tabs>
          <w:tab w:val="right" w:leader="dot" w:pos="9950"/>
        </w:tabs>
        <w:rPr>
          <w:rFonts w:asciiTheme="minorHAnsi" w:hAnsiTheme="minorHAnsi"/>
          <w:noProof/>
          <w:sz w:val="22"/>
        </w:rPr>
      </w:pPr>
      <w:hyperlink w:anchor="_Toc256000701" w:history="1">
        <w:r>
          <w:rPr>
            <w:rStyle w:val="Hyperlink"/>
          </w:rPr>
          <w:t>Adding external validation to a custom form</w:t>
        </w:r>
        <w:r>
          <w:tab/>
        </w:r>
        <w:r>
          <w:fldChar w:fldCharType="begin"/>
        </w:r>
        <w:r>
          <w:instrText xml:space="preserve"> PAGEREF _Toc256000701 \h </w:instrText>
        </w:r>
        <w:r>
          <w:fldChar w:fldCharType="separate"/>
        </w:r>
        <w:r>
          <w:t>88</w:t>
        </w:r>
        <w:r>
          <w:fldChar w:fldCharType="end"/>
        </w:r>
      </w:hyperlink>
    </w:p>
    <w:p>
      <w:pPr>
        <w:pStyle w:val="TOC4"/>
        <w:tabs>
          <w:tab w:val="right" w:leader="dot" w:pos="9950"/>
        </w:tabs>
        <w:rPr>
          <w:rFonts w:asciiTheme="minorHAnsi" w:hAnsiTheme="minorHAnsi"/>
          <w:noProof/>
          <w:sz w:val="22"/>
        </w:rPr>
      </w:pPr>
      <w:hyperlink w:anchor="_Toc256000702" w:history="1">
        <w:r>
          <w:rPr>
            <w:rStyle w:val="Hyperlink"/>
          </w:rPr>
          <w:t>Custom Form Designer Field Properties in VCF Automation</w:t>
        </w:r>
        <w:r>
          <w:tab/>
        </w:r>
        <w:r>
          <w:fldChar w:fldCharType="begin"/>
        </w:r>
        <w:r>
          <w:instrText xml:space="preserve"> PAGEREF _Toc256000702 \h </w:instrText>
        </w:r>
        <w:r>
          <w:fldChar w:fldCharType="separate"/>
        </w:r>
        <w:r>
          <w:t>88</w:t>
        </w:r>
        <w:r>
          <w:fldChar w:fldCharType="end"/>
        </w:r>
      </w:hyperlink>
    </w:p>
    <w:p>
      <w:pPr>
        <w:pStyle w:val="TOC4"/>
        <w:tabs>
          <w:tab w:val="right" w:leader="dot" w:pos="9950"/>
        </w:tabs>
        <w:rPr>
          <w:rFonts w:asciiTheme="minorHAnsi" w:hAnsiTheme="minorHAnsi"/>
          <w:noProof/>
          <w:sz w:val="22"/>
        </w:rPr>
      </w:pPr>
      <w:hyperlink w:anchor="_Toc256000703" w:history="1">
        <w:r>
          <w:rPr>
            <w:rStyle w:val="Hyperlink"/>
          </w:rPr>
          <w:t>Using the Data Grid Element in the Custom Form Designer in VCF Automation</w:t>
        </w:r>
        <w:r>
          <w:tab/>
        </w:r>
        <w:r>
          <w:fldChar w:fldCharType="begin"/>
        </w:r>
        <w:r>
          <w:instrText xml:space="preserve"> PAGEREF _Toc256000703 \h </w:instrText>
        </w:r>
        <w:r>
          <w:fldChar w:fldCharType="separate"/>
        </w:r>
        <w:r>
          <w:t>93</w:t>
        </w:r>
        <w:r>
          <w:fldChar w:fldCharType="end"/>
        </w:r>
      </w:hyperlink>
    </w:p>
    <w:p>
      <w:pPr>
        <w:pStyle w:val="TOC4"/>
        <w:tabs>
          <w:tab w:val="right" w:leader="dot" w:pos="9950"/>
        </w:tabs>
        <w:rPr>
          <w:rFonts w:asciiTheme="minorHAnsi" w:hAnsiTheme="minorHAnsi"/>
          <w:noProof/>
          <w:sz w:val="22"/>
        </w:rPr>
      </w:pPr>
      <w:hyperlink w:anchor="_Toc256000704" w:history="1">
        <w:r>
          <w:rPr>
            <w:rStyle w:val="Hyperlink"/>
          </w:rPr>
          <w:t>Using VCF Operations orchestrator Actions in the Custom Form Designer in VCF Automation</w:t>
        </w:r>
        <w:r>
          <w:tab/>
        </w:r>
        <w:r>
          <w:fldChar w:fldCharType="begin"/>
        </w:r>
        <w:r>
          <w:instrText xml:space="preserve"> PAGEREF _Toc256000704 \h </w:instrText>
        </w:r>
        <w:r>
          <w:fldChar w:fldCharType="separate"/>
        </w:r>
        <w:r>
          <w:t>95</w:t>
        </w:r>
        <w:r>
          <w:fldChar w:fldCharType="end"/>
        </w:r>
      </w:hyperlink>
    </w:p>
    <w:p>
      <w:pPr>
        <w:pStyle w:val="TOC4"/>
        <w:tabs>
          <w:tab w:val="right" w:leader="dot" w:pos="9950"/>
        </w:tabs>
        <w:rPr>
          <w:rFonts w:asciiTheme="minorHAnsi" w:hAnsiTheme="minorHAnsi"/>
          <w:noProof/>
          <w:sz w:val="22"/>
        </w:rPr>
      </w:pPr>
      <w:hyperlink w:anchor="_Toc256000705" w:history="1">
        <w:r>
          <w:rPr>
            <w:rStyle w:val="Hyperlink"/>
          </w:rPr>
          <w:t>Using Value Picker and Multi Value Picker Elements in the Custom Form Designer in VCF Automation</w:t>
        </w:r>
        <w:r>
          <w:tab/>
        </w:r>
        <w:r>
          <w:fldChar w:fldCharType="begin"/>
        </w:r>
        <w:r>
          <w:instrText xml:space="preserve"> PAGEREF _Toc256000705 \h </w:instrText>
        </w:r>
        <w:r>
          <w:fldChar w:fldCharType="separate"/>
        </w:r>
        <w:r>
          <w:t>98</w:t>
        </w:r>
        <w:r>
          <w:fldChar w:fldCharType="end"/>
        </w:r>
      </w:hyperlink>
    </w:p>
    <w:p>
      <w:pPr>
        <w:pStyle w:val="TOC3"/>
        <w:tabs>
          <w:tab w:val="right" w:leader="dot" w:pos="9950"/>
        </w:tabs>
        <w:rPr>
          <w:rFonts w:asciiTheme="minorHAnsi" w:hAnsiTheme="minorHAnsi"/>
          <w:noProof/>
          <w:sz w:val="22"/>
        </w:rPr>
      </w:pPr>
      <w:hyperlink w:anchor="_Toc256000706" w:history="1">
        <w:r>
          <w:rPr>
            <w:rStyle w:val="Hyperlink"/>
          </w:rPr>
          <w:t>VCF Automation blueprint designs that prepare for day 2 changes</w:t>
        </w:r>
        <w:r>
          <w:tab/>
        </w:r>
        <w:r>
          <w:fldChar w:fldCharType="begin"/>
        </w:r>
        <w:r>
          <w:instrText xml:space="preserve"> PAGEREF _Toc256000706 \h </w:instrText>
        </w:r>
        <w:r>
          <w:fldChar w:fldCharType="separate"/>
        </w:r>
        <w:r>
          <w:t>103</w:t>
        </w:r>
        <w:r>
          <w:fldChar w:fldCharType="end"/>
        </w:r>
      </w:hyperlink>
    </w:p>
    <w:p>
      <w:pPr>
        <w:pStyle w:val="TOC3"/>
        <w:tabs>
          <w:tab w:val="right" w:leader="dot" w:pos="9950"/>
        </w:tabs>
        <w:rPr>
          <w:rFonts w:asciiTheme="minorHAnsi" w:hAnsiTheme="minorHAnsi"/>
          <w:noProof/>
          <w:sz w:val="22"/>
        </w:rPr>
      </w:pPr>
      <w:hyperlink w:anchor="_Toc256000707" w:history="1">
        <w:r>
          <w:rPr>
            <w:rStyle w:val="Hyperlink"/>
          </w:rPr>
          <w:t>Publish a Blueprint to the Catalog in VCF Automation</w:t>
        </w:r>
        <w:r>
          <w:tab/>
        </w:r>
        <w:r>
          <w:fldChar w:fldCharType="begin"/>
        </w:r>
        <w:r>
          <w:instrText xml:space="preserve"> PAGEREF _Toc256000707 \h </w:instrText>
        </w:r>
        <w:r>
          <w:fldChar w:fldCharType="separate"/>
        </w:r>
        <w:r>
          <w:t>103</w:t>
        </w:r>
        <w:r>
          <w:fldChar w:fldCharType="end"/>
        </w:r>
      </w:hyperlink>
    </w:p>
    <w:p>
      <w:pPr>
        <w:pStyle w:val="TOC3"/>
        <w:tabs>
          <w:tab w:val="right" w:leader="dot" w:pos="9950"/>
        </w:tabs>
        <w:rPr>
          <w:rFonts w:asciiTheme="minorHAnsi" w:hAnsiTheme="minorHAnsi"/>
          <w:noProof/>
          <w:sz w:val="22"/>
        </w:rPr>
      </w:pPr>
      <w:hyperlink w:anchor="_Toc256000708" w:history="1">
        <w:r>
          <w:rPr>
            <w:rStyle w:val="Hyperlink"/>
          </w:rPr>
          <w:t>Sample Blueprints in VCF Automation</w:t>
        </w:r>
        <w:r>
          <w:tab/>
        </w:r>
        <w:r>
          <w:fldChar w:fldCharType="begin"/>
        </w:r>
        <w:r>
          <w:instrText xml:space="preserve"> PAGEREF _Toc256000708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0709" w:history="1">
        <w:r>
          <w:rPr>
            <w:rStyle w:val="Hyperlink"/>
          </w:rPr>
          <w:t>Blueprint with a Simple VM</w:t>
        </w:r>
        <w:r>
          <w:tab/>
        </w:r>
        <w:r>
          <w:fldChar w:fldCharType="begin"/>
        </w:r>
        <w:r>
          <w:instrText xml:space="preserve"> PAGEREF _Toc256000709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0710" w:history="1">
        <w:r>
          <w:rPr>
            <w:rStyle w:val="Hyperlink"/>
          </w:rPr>
          <w:t>Blueprint with Multiple VMs</w:t>
        </w:r>
        <w:r>
          <w:tab/>
        </w:r>
        <w:r>
          <w:fldChar w:fldCharType="begin"/>
        </w:r>
        <w:r>
          <w:instrText xml:space="preserve"> PAGEREF _Toc256000710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0711" w:history="1">
        <w:r>
          <w:rPr>
            <w:rStyle w:val="Hyperlink"/>
          </w:rPr>
          <w:t>Blueprint with a VM inside a Kubernetes Cluster</w:t>
        </w:r>
        <w:r>
          <w:tab/>
        </w:r>
        <w:r>
          <w:fldChar w:fldCharType="begin"/>
        </w:r>
        <w:r>
          <w:instrText xml:space="preserve"> PAGEREF _Toc256000711 \h </w:instrText>
        </w:r>
        <w:r>
          <w:fldChar w:fldCharType="separate"/>
        </w:r>
        <w:r>
          <w:t>104</w:t>
        </w:r>
        <w:r>
          <w:fldChar w:fldCharType="end"/>
        </w:r>
      </w:hyperlink>
    </w:p>
    <w:p>
      <w:pPr>
        <w:pStyle w:val="TOC2"/>
        <w:tabs>
          <w:tab w:val="right" w:leader="dot" w:pos="9950"/>
        </w:tabs>
        <w:rPr>
          <w:rFonts w:asciiTheme="minorHAnsi" w:hAnsiTheme="minorHAnsi"/>
          <w:noProof/>
          <w:sz w:val="22"/>
        </w:rPr>
      </w:pPr>
      <w:hyperlink w:anchor="_Toc256000712" w:history="1">
        <w:r>
          <w:rPr>
            <w:rStyle w:val="Hyperlink"/>
          </w:rPr>
          <w:t>Publishing Workflows to the VCF Automation Catalog</w:t>
        </w:r>
        <w:r>
          <w:tab/>
        </w:r>
        <w:r>
          <w:fldChar w:fldCharType="begin"/>
        </w:r>
        <w:r>
          <w:instrText xml:space="preserve"> PAGEREF _Toc256000712 \h </w:instrText>
        </w:r>
        <w:r>
          <w:fldChar w:fldCharType="separate"/>
        </w:r>
        <w:r>
          <w:t>104</w:t>
        </w:r>
        <w:r>
          <w:fldChar w:fldCharType="end"/>
        </w:r>
      </w:hyperlink>
    </w:p>
    <w:p>
      <w:pPr>
        <w:pStyle w:val="TOC3"/>
        <w:tabs>
          <w:tab w:val="right" w:leader="dot" w:pos="9950"/>
        </w:tabs>
        <w:rPr>
          <w:rFonts w:asciiTheme="minorHAnsi" w:hAnsiTheme="minorHAnsi"/>
          <w:noProof/>
          <w:sz w:val="22"/>
        </w:rPr>
      </w:pPr>
      <w:hyperlink w:anchor="_Toc256000713" w:history="1">
        <w:r>
          <w:rPr>
            <w:rStyle w:val="Hyperlink"/>
          </w:rPr>
          <w:t>Publish a VCF Operations orchestrator Workflow to the Catalog in an Organization in VCF Automation</w:t>
        </w:r>
        <w:r>
          <w:tab/>
        </w:r>
        <w:r>
          <w:fldChar w:fldCharType="begin"/>
        </w:r>
        <w:r>
          <w:instrText xml:space="preserve"> PAGEREF _Toc256000713 \h </w:instrText>
        </w:r>
        <w:r>
          <w:fldChar w:fldCharType="separate"/>
        </w:r>
        <w:r>
          <w:t>105</w:t>
        </w:r>
        <w:r>
          <w:fldChar w:fldCharType="end"/>
        </w:r>
      </w:hyperlink>
    </w:p>
    <w:p>
      <w:pPr>
        <w:pStyle w:val="TOC3"/>
        <w:tabs>
          <w:tab w:val="right" w:leader="dot" w:pos="9950"/>
        </w:tabs>
        <w:rPr>
          <w:rFonts w:asciiTheme="minorHAnsi" w:hAnsiTheme="minorHAnsi"/>
          <w:noProof/>
          <w:sz w:val="22"/>
        </w:rPr>
      </w:pPr>
      <w:hyperlink w:anchor="_Toc256000714" w:history="1">
        <w:r>
          <w:rPr>
            <w:rStyle w:val="Hyperlink"/>
          </w:rPr>
          <w:t>Publish a VCF Operations orchestrator Workflow to the Catalog in a Provider Consumption Organization in VCF Automation</w:t>
        </w:r>
        <w:r>
          <w:tab/>
        </w:r>
        <w:r>
          <w:fldChar w:fldCharType="begin"/>
        </w:r>
        <w:r>
          <w:instrText xml:space="preserve"> PAGEREF _Toc256000714 \h </w:instrText>
        </w:r>
        <w:r>
          <w:fldChar w:fldCharType="separate"/>
        </w:r>
        <w:r>
          <w:t>105</w:t>
        </w:r>
        <w:r>
          <w:fldChar w:fldCharType="end"/>
        </w:r>
      </w:hyperlink>
    </w:p>
    <w:p>
      <w:pPr>
        <w:pStyle w:val="TOC2"/>
        <w:tabs>
          <w:tab w:val="right" w:leader="dot" w:pos="9950"/>
        </w:tabs>
        <w:rPr>
          <w:rFonts w:asciiTheme="minorHAnsi" w:hAnsiTheme="minorHAnsi"/>
          <w:noProof/>
          <w:sz w:val="22"/>
        </w:rPr>
      </w:pPr>
      <w:hyperlink w:anchor="_Toc256000715" w:history="1">
        <w:r>
          <w:rPr>
            <w:rStyle w:val="Hyperlink"/>
          </w:rPr>
          <w:t>Managing Event Subscriptions in VCF Automation</w:t>
        </w:r>
        <w:r>
          <w:tab/>
        </w:r>
        <w:r>
          <w:fldChar w:fldCharType="begin"/>
        </w:r>
        <w:r>
          <w:instrText xml:space="preserve"> PAGEREF _Toc256000715 \h </w:instrText>
        </w:r>
        <w:r>
          <w:fldChar w:fldCharType="separate"/>
        </w:r>
        <w:r>
          <w:t>106</w:t>
        </w:r>
        <w:r>
          <w:fldChar w:fldCharType="end"/>
        </w:r>
      </w:hyperlink>
    </w:p>
    <w:p>
      <w:pPr>
        <w:pStyle w:val="TOC3"/>
        <w:tabs>
          <w:tab w:val="right" w:leader="dot" w:pos="9950"/>
        </w:tabs>
        <w:rPr>
          <w:rFonts w:asciiTheme="minorHAnsi" w:hAnsiTheme="minorHAnsi"/>
          <w:noProof/>
          <w:sz w:val="22"/>
        </w:rPr>
      </w:pPr>
      <w:hyperlink w:anchor="_Toc256000716" w:history="1">
        <w:r>
          <w:rPr>
            <w:rStyle w:val="Hyperlink"/>
          </w:rPr>
          <w:t>Blocking event topics</w:t>
        </w:r>
        <w:r>
          <w:tab/>
        </w:r>
        <w:r>
          <w:fldChar w:fldCharType="begin"/>
        </w:r>
        <w:r>
          <w:instrText xml:space="preserve"> PAGEREF _Toc256000716 \h </w:instrText>
        </w:r>
        <w:r>
          <w:fldChar w:fldCharType="separate"/>
        </w:r>
        <w:r>
          <w:t>106</w:t>
        </w:r>
        <w:r>
          <w:fldChar w:fldCharType="end"/>
        </w:r>
      </w:hyperlink>
    </w:p>
    <w:p>
      <w:pPr>
        <w:pStyle w:val="TOC3"/>
        <w:tabs>
          <w:tab w:val="right" w:leader="dot" w:pos="9950"/>
        </w:tabs>
        <w:rPr>
          <w:rFonts w:asciiTheme="minorHAnsi" w:hAnsiTheme="minorHAnsi"/>
          <w:noProof/>
          <w:sz w:val="22"/>
        </w:rPr>
      </w:pPr>
      <w:hyperlink w:anchor="_Toc256000717" w:history="1">
        <w:r>
          <w:rPr>
            <w:rStyle w:val="Hyperlink"/>
          </w:rPr>
          <w:t>Event Log</w:t>
        </w:r>
        <w:r>
          <w:tab/>
        </w:r>
        <w:r>
          <w:fldChar w:fldCharType="begin"/>
        </w:r>
        <w:r>
          <w:instrText xml:space="preserve"> PAGEREF _Toc256000717 \h </w:instrText>
        </w:r>
        <w:r>
          <w:fldChar w:fldCharType="separate"/>
        </w:r>
        <w:r>
          <w:t>107</w:t>
        </w:r>
        <w:r>
          <w:fldChar w:fldCharType="end"/>
        </w:r>
      </w:hyperlink>
    </w:p>
    <w:p>
      <w:pPr>
        <w:pStyle w:val="TOC3"/>
        <w:tabs>
          <w:tab w:val="right" w:leader="dot" w:pos="9950"/>
        </w:tabs>
        <w:rPr>
          <w:rFonts w:asciiTheme="minorHAnsi" w:hAnsiTheme="minorHAnsi"/>
          <w:noProof/>
          <w:sz w:val="22"/>
        </w:rPr>
      </w:pPr>
      <w:hyperlink w:anchor="_Toc256000718" w:history="1">
        <w:r>
          <w:rPr>
            <w:rStyle w:val="Hyperlink"/>
          </w:rPr>
          <w:t>Event Topics Provided with VCF Automation</w:t>
        </w:r>
        <w:r>
          <w:tab/>
        </w:r>
        <w:r>
          <w:fldChar w:fldCharType="begin"/>
        </w:r>
        <w:r>
          <w:instrText xml:space="preserve"> PAGEREF _Toc256000718 \h </w:instrText>
        </w:r>
        <w:r>
          <w:fldChar w:fldCharType="separate"/>
        </w:r>
        <w:r>
          <w:t>107</w:t>
        </w:r>
        <w:r>
          <w:fldChar w:fldCharType="end"/>
        </w:r>
      </w:hyperlink>
    </w:p>
    <w:p>
      <w:pPr>
        <w:pStyle w:val="TOC3"/>
        <w:tabs>
          <w:tab w:val="right" w:leader="dot" w:pos="9950"/>
        </w:tabs>
        <w:rPr>
          <w:rFonts w:asciiTheme="minorHAnsi" w:hAnsiTheme="minorHAnsi"/>
          <w:noProof/>
          <w:sz w:val="22"/>
        </w:rPr>
      </w:pPr>
      <w:hyperlink w:anchor="_Toc256000720" w:history="1">
        <w:r>
          <w:rPr>
            <w:rStyle w:val="Hyperlink"/>
          </w:rPr>
          <w:t>Create an Event Subscription in VCF Automation</w:t>
        </w:r>
        <w:r>
          <w:tab/>
        </w:r>
        <w:r>
          <w:fldChar w:fldCharType="begin"/>
        </w:r>
        <w:r>
          <w:instrText xml:space="preserve"> PAGEREF _Toc256000720 \h </w:instrText>
        </w:r>
        <w:r>
          <w:fldChar w:fldCharType="separate"/>
        </w:r>
        <w:r>
          <w:t>109</w:t>
        </w:r>
        <w:r>
          <w:fldChar w:fldCharType="end"/>
        </w:r>
      </w:hyperlink>
    </w:p>
    <w:p>
      <w:pPr>
        <w:pStyle w:val="TOC3"/>
        <w:tabs>
          <w:tab w:val="right" w:leader="dot" w:pos="9950"/>
        </w:tabs>
        <w:rPr>
          <w:rFonts w:asciiTheme="minorHAnsi" w:hAnsiTheme="minorHAnsi"/>
          <w:noProof/>
          <w:sz w:val="22"/>
        </w:rPr>
      </w:pPr>
      <w:hyperlink w:anchor="_Toc256000721" w:history="1">
        <w:r>
          <w:rPr>
            <w:rStyle w:val="Hyperlink"/>
          </w:rPr>
          <w:t>Create an Event Subscription to Manage Deployment Expiry in VCF Automation</w:t>
        </w:r>
        <w:r>
          <w:tab/>
        </w:r>
        <w:r>
          <w:fldChar w:fldCharType="begin"/>
        </w:r>
        <w:r>
          <w:instrText xml:space="preserve"> PAGEREF _Toc256000721 \h </w:instrText>
        </w:r>
        <w:r>
          <w:fldChar w:fldCharType="separate"/>
        </w:r>
        <w:r>
          <w:t>110</w:t>
        </w:r>
        <w:r>
          <w:fldChar w:fldCharType="end"/>
        </w:r>
      </w:hyperlink>
    </w:p>
    <w:p>
      <w:pPr>
        <w:pStyle w:val="TOC2"/>
        <w:tabs>
          <w:tab w:val="right" w:leader="dot" w:pos="9950"/>
        </w:tabs>
        <w:rPr>
          <w:rFonts w:asciiTheme="minorHAnsi" w:hAnsiTheme="minorHAnsi"/>
          <w:noProof/>
          <w:sz w:val="22"/>
        </w:rPr>
      </w:pPr>
      <w:hyperlink w:anchor="_Toc256000722" w:history="1">
        <w:r>
          <w:rPr>
            <w:rStyle w:val="Hyperlink"/>
          </w:rPr>
          <w:t>Managing Custom Resources in VCF Automation Blueprints</w:t>
        </w:r>
        <w:r>
          <w:tab/>
        </w:r>
        <w:r>
          <w:fldChar w:fldCharType="begin"/>
        </w:r>
        <w:r>
          <w:instrText xml:space="preserve"> PAGEREF _Toc256000722 \h </w:instrText>
        </w:r>
        <w:r>
          <w:fldChar w:fldCharType="separate"/>
        </w:r>
        <w:r>
          <w:t>112</w:t>
        </w:r>
        <w:r>
          <w:fldChar w:fldCharType="end"/>
        </w:r>
      </w:hyperlink>
    </w:p>
    <w:p>
      <w:pPr>
        <w:pStyle w:val="TOC3"/>
        <w:tabs>
          <w:tab w:val="right" w:leader="dot" w:pos="9950"/>
        </w:tabs>
        <w:rPr>
          <w:rFonts w:asciiTheme="minorHAnsi" w:hAnsiTheme="minorHAnsi"/>
          <w:noProof/>
          <w:sz w:val="22"/>
        </w:rPr>
      </w:pPr>
      <w:hyperlink w:anchor="_Toc256000723" w:history="1">
        <w:r>
          <w:rPr>
            <w:rStyle w:val="Hyperlink"/>
          </w:rPr>
          <w:t>Custom resource name and resource type</w:t>
        </w:r>
        <w:r>
          <w:tab/>
        </w:r>
        <w:r>
          <w:fldChar w:fldCharType="begin"/>
        </w:r>
        <w:r>
          <w:instrText xml:space="preserve"> PAGEREF _Toc256000723 \h </w:instrText>
        </w:r>
        <w:r>
          <w:fldChar w:fldCharType="separate"/>
        </w:r>
        <w:r>
          <w:t>112</w:t>
        </w:r>
        <w:r>
          <w:fldChar w:fldCharType="end"/>
        </w:r>
      </w:hyperlink>
    </w:p>
    <w:p>
      <w:pPr>
        <w:pStyle w:val="TOC3"/>
        <w:tabs>
          <w:tab w:val="right" w:leader="dot" w:pos="9950"/>
        </w:tabs>
        <w:rPr>
          <w:rFonts w:asciiTheme="minorHAnsi" w:hAnsiTheme="minorHAnsi"/>
          <w:noProof/>
          <w:sz w:val="22"/>
        </w:rPr>
      </w:pPr>
      <w:hyperlink w:anchor="_Toc256000724" w:history="1">
        <w:r>
          <w:rPr>
            <w:rStyle w:val="Hyperlink"/>
          </w:rPr>
          <w:t>Life cycle actions for custom resources</w:t>
        </w:r>
        <w:r>
          <w:tab/>
        </w:r>
        <w:r>
          <w:fldChar w:fldCharType="begin"/>
        </w:r>
        <w:r>
          <w:instrText xml:space="preserve"> PAGEREF _Toc256000724 \h </w:instrText>
        </w:r>
        <w:r>
          <w:fldChar w:fldCharType="separate"/>
        </w:r>
        <w:r>
          <w:t>112</w:t>
        </w:r>
        <w:r>
          <w:fldChar w:fldCharType="end"/>
        </w:r>
      </w:hyperlink>
    </w:p>
    <w:p>
      <w:pPr>
        <w:pStyle w:val="TOC3"/>
        <w:tabs>
          <w:tab w:val="right" w:leader="dot" w:pos="9950"/>
        </w:tabs>
        <w:rPr>
          <w:rFonts w:asciiTheme="minorHAnsi" w:hAnsiTheme="minorHAnsi"/>
          <w:noProof/>
          <w:sz w:val="22"/>
        </w:rPr>
      </w:pPr>
      <w:hyperlink w:anchor="_Toc256000725" w:history="1">
        <w:r>
          <w:rPr>
            <w:rStyle w:val="Hyperlink"/>
          </w:rPr>
          <w:t>VCF Operations orchestrator custom resources</w:t>
        </w:r>
        <w:r>
          <w:tab/>
        </w:r>
        <w:r>
          <w:fldChar w:fldCharType="begin"/>
        </w:r>
        <w:r>
          <w:instrText xml:space="preserve"> PAGEREF _Toc256000725 \h </w:instrText>
        </w:r>
        <w:r>
          <w:fldChar w:fldCharType="separate"/>
        </w:r>
        <w:r>
          <w:t>113</w:t>
        </w:r>
        <w:r>
          <w:fldChar w:fldCharType="end"/>
        </w:r>
      </w:hyperlink>
    </w:p>
    <w:p>
      <w:pPr>
        <w:pStyle w:val="TOC3"/>
        <w:tabs>
          <w:tab w:val="right" w:leader="dot" w:pos="9950"/>
        </w:tabs>
        <w:rPr>
          <w:rFonts w:asciiTheme="minorHAnsi" w:hAnsiTheme="minorHAnsi"/>
          <w:noProof/>
          <w:sz w:val="22"/>
        </w:rPr>
      </w:pPr>
      <w:hyperlink w:anchor="_Toc256000726" w:history="1">
        <w:r>
          <w:rPr>
            <w:rStyle w:val="Hyperlink"/>
          </w:rPr>
          <w:t>New schema</w:t>
        </w:r>
        <w:r>
          <w:tab/>
        </w:r>
        <w:r>
          <w:fldChar w:fldCharType="begin"/>
        </w:r>
        <w:r>
          <w:instrText xml:space="preserve"> PAGEREF _Toc256000726 \h </w:instrText>
        </w:r>
        <w:r>
          <w:fldChar w:fldCharType="separate"/>
        </w:r>
        <w:r>
          <w:t>113</w:t>
        </w:r>
        <w:r>
          <w:fldChar w:fldCharType="end"/>
        </w:r>
      </w:hyperlink>
    </w:p>
    <w:p>
      <w:pPr>
        <w:pStyle w:val="TOC3"/>
        <w:tabs>
          <w:tab w:val="right" w:leader="dot" w:pos="9950"/>
        </w:tabs>
        <w:rPr>
          <w:rFonts w:asciiTheme="minorHAnsi" w:hAnsiTheme="minorHAnsi"/>
          <w:noProof/>
          <w:sz w:val="22"/>
        </w:rPr>
      </w:pPr>
      <w:hyperlink w:anchor="_Toc256000727" w:history="1">
        <w:r>
          <w:rPr>
            <w:rStyle w:val="Hyperlink"/>
          </w:rPr>
          <w:t>VCF Operations orchestrator custom resource inventory type</w:t>
        </w:r>
        <w:r>
          <w:tab/>
        </w:r>
        <w:r>
          <w:fldChar w:fldCharType="begin"/>
        </w:r>
        <w:r>
          <w:instrText xml:space="preserve"> PAGEREF _Toc256000727 \h </w:instrText>
        </w:r>
        <w:r>
          <w:fldChar w:fldCharType="separate"/>
        </w:r>
        <w:r>
          <w:t>113</w:t>
        </w:r>
        <w:r>
          <w:fldChar w:fldCharType="end"/>
        </w:r>
      </w:hyperlink>
    </w:p>
    <w:p>
      <w:pPr>
        <w:pStyle w:val="TOC3"/>
        <w:tabs>
          <w:tab w:val="right" w:leader="dot" w:pos="9950"/>
        </w:tabs>
        <w:rPr>
          <w:rFonts w:asciiTheme="minorHAnsi" w:hAnsiTheme="minorHAnsi"/>
          <w:noProof/>
          <w:sz w:val="22"/>
        </w:rPr>
      </w:pPr>
      <w:hyperlink w:anchor="_Toc256000728" w:history="1">
        <w:r>
          <w:rPr>
            <w:rStyle w:val="Hyperlink"/>
          </w:rPr>
          <w:t>VCF Operations orchestrator life cycle action validation</w:t>
        </w:r>
        <w:r>
          <w:tab/>
        </w:r>
        <w:r>
          <w:fldChar w:fldCharType="begin"/>
        </w:r>
        <w:r>
          <w:instrText xml:space="preserve"> PAGEREF _Toc256000728 \h </w:instrText>
        </w:r>
        <w:r>
          <w:fldChar w:fldCharType="separate"/>
        </w:r>
        <w:r>
          <w:t>114</w:t>
        </w:r>
        <w:r>
          <w:fldChar w:fldCharType="end"/>
        </w:r>
      </w:hyperlink>
    </w:p>
    <w:p>
      <w:pPr>
        <w:pStyle w:val="TOC3"/>
        <w:tabs>
          <w:tab w:val="right" w:leader="dot" w:pos="9950"/>
        </w:tabs>
        <w:rPr>
          <w:rFonts w:asciiTheme="minorHAnsi" w:hAnsiTheme="minorHAnsi"/>
          <w:noProof/>
          <w:sz w:val="22"/>
        </w:rPr>
      </w:pPr>
      <w:hyperlink w:anchor="_Toc256000729" w:history="1">
        <w:r>
          <w:rPr>
            <w:rStyle w:val="Hyperlink"/>
          </w:rPr>
          <w:t>Custom resource property schema</w:t>
        </w:r>
        <w:r>
          <w:tab/>
        </w:r>
        <w:r>
          <w:fldChar w:fldCharType="begin"/>
        </w:r>
        <w:r>
          <w:instrText xml:space="preserve"> PAGEREF _Toc256000729 \h </w:instrText>
        </w:r>
        <w:r>
          <w:fldChar w:fldCharType="separate"/>
        </w:r>
        <w:r>
          <w:t>114</w:t>
        </w:r>
        <w:r>
          <w:fldChar w:fldCharType="end"/>
        </w:r>
      </w:hyperlink>
    </w:p>
    <w:p>
      <w:pPr>
        <w:pStyle w:val="TOC3"/>
        <w:tabs>
          <w:tab w:val="right" w:leader="dot" w:pos="9950"/>
        </w:tabs>
        <w:rPr>
          <w:rFonts w:asciiTheme="minorHAnsi" w:hAnsiTheme="minorHAnsi"/>
          <w:noProof/>
          <w:sz w:val="22"/>
        </w:rPr>
      </w:pPr>
      <w:hyperlink w:anchor="_Toc256000730" w:history="1">
        <w:r>
          <w:rPr>
            <w:rStyle w:val="Hyperlink"/>
          </w:rPr>
          <w:t>Day 2 Operation Custom Request Forms</w:t>
        </w:r>
        <w:r>
          <w:tab/>
        </w:r>
        <w:r>
          <w:fldChar w:fldCharType="begin"/>
        </w:r>
        <w:r>
          <w:instrText xml:space="preserve"> PAGEREF _Toc256000730 \h </w:instrText>
        </w:r>
        <w:r>
          <w:fldChar w:fldCharType="separate"/>
        </w:r>
        <w:r>
          <w:t>115</w:t>
        </w:r>
        <w:r>
          <w:fldChar w:fldCharType="end"/>
        </w:r>
      </w:hyperlink>
    </w:p>
    <w:p>
      <w:pPr>
        <w:pStyle w:val="TOC3"/>
        <w:tabs>
          <w:tab w:val="right" w:leader="dot" w:pos="9950"/>
        </w:tabs>
        <w:rPr>
          <w:rFonts w:asciiTheme="minorHAnsi" w:hAnsiTheme="minorHAnsi"/>
          <w:noProof/>
          <w:sz w:val="22"/>
        </w:rPr>
      </w:pPr>
      <w:hyperlink w:anchor="_Toc256000731" w:history="1">
        <w:r>
          <w:rPr>
            <w:rStyle w:val="Hyperlink"/>
          </w:rPr>
          <w:t>Day 2 Operation Request Form Validation</w:t>
        </w:r>
        <w:r>
          <w:tab/>
        </w:r>
        <w:r>
          <w:fldChar w:fldCharType="begin"/>
        </w:r>
        <w:r>
          <w:instrText xml:space="preserve"> PAGEREF _Toc256000731 \h </w:instrText>
        </w:r>
        <w:r>
          <w:fldChar w:fldCharType="separate"/>
        </w:r>
        <w:r>
          <w:t>115</w:t>
        </w:r>
        <w:r>
          <w:fldChar w:fldCharType="end"/>
        </w:r>
      </w:hyperlink>
    </w:p>
    <w:p>
      <w:pPr>
        <w:pStyle w:val="TOC2"/>
        <w:tabs>
          <w:tab w:val="right" w:leader="dot" w:pos="9950"/>
        </w:tabs>
        <w:rPr>
          <w:rFonts w:asciiTheme="minorHAnsi" w:hAnsiTheme="minorHAnsi"/>
          <w:noProof/>
          <w:sz w:val="22"/>
        </w:rPr>
      </w:pPr>
      <w:hyperlink w:anchor="_Toc256000732" w:history="1">
        <w:r>
          <w:rPr>
            <w:rStyle w:val="Hyperlink"/>
          </w:rPr>
          <w:t>Managing Policies in VCF Automation</w:t>
        </w:r>
        <w:r>
          <w:tab/>
        </w:r>
        <w:r>
          <w:fldChar w:fldCharType="begin"/>
        </w:r>
        <w:r>
          <w:instrText xml:space="preserve"> PAGEREF _Toc256000732 \h </w:instrText>
        </w:r>
        <w:r>
          <w:fldChar w:fldCharType="separate"/>
        </w:r>
        <w:r>
          <w:t>115</w:t>
        </w:r>
        <w:r>
          <w:fldChar w:fldCharType="end"/>
        </w:r>
      </w:hyperlink>
    </w:p>
    <w:p>
      <w:pPr>
        <w:pStyle w:val="TOC3"/>
        <w:tabs>
          <w:tab w:val="right" w:leader="dot" w:pos="9950"/>
        </w:tabs>
        <w:rPr>
          <w:rFonts w:asciiTheme="minorHAnsi" w:hAnsiTheme="minorHAnsi"/>
          <w:noProof/>
          <w:sz w:val="22"/>
        </w:rPr>
      </w:pPr>
      <w:hyperlink w:anchor="_Toc256000733" w:history="1">
        <w:r>
          <w:rPr>
            <w:rStyle w:val="Hyperlink"/>
          </w:rPr>
          <w:t>Policy Types</w:t>
        </w:r>
        <w:r>
          <w:tab/>
        </w:r>
        <w:r>
          <w:fldChar w:fldCharType="begin"/>
        </w:r>
        <w:r>
          <w:instrText xml:space="preserve"> PAGEREF _Toc256000733 \h </w:instrText>
        </w:r>
        <w:r>
          <w:fldChar w:fldCharType="separate"/>
        </w:r>
        <w:r>
          <w:t>116</w:t>
        </w:r>
        <w:r>
          <w:fldChar w:fldCharType="end"/>
        </w:r>
      </w:hyperlink>
    </w:p>
    <w:p>
      <w:pPr>
        <w:pStyle w:val="TOC3"/>
        <w:tabs>
          <w:tab w:val="right" w:leader="dot" w:pos="9950"/>
        </w:tabs>
        <w:rPr>
          <w:rFonts w:asciiTheme="minorHAnsi" w:hAnsiTheme="minorHAnsi"/>
          <w:noProof/>
          <w:sz w:val="22"/>
        </w:rPr>
      </w:pPr>
      <w:hyperlink w:anchor="_Toc256000734" w:history="1">
        <w:r>
          <w:rPr>
            <w:rStyle w:val="Hyperlink"/>
          </w:rPr>
          <w:t>Policy Scope and Criteria</w:t>
        </w:r>
        <w:r>
          <w:tab/>
        </w:r>
        <w:r>
          <w:fldChar w:fldCharType="begin"/>
        </w:r>
        <w:r>
          <w:instrText xml:space="preserve"> PAGEREF _Toc256000734 \h </w:instrText>
        </w:r>
        <w:r>
          <w:fldChar w:fldCharType="separate"/>
        </w:r>
        <w:r>
          <w:t>116</w:t>
        </w:r>
        <w:r>
          <w:fldChar w:fldCharType="end"/>
        </w:r>
      </w:hyperlink>
    </w:p>
    <w:p>
      <w:pPr>
        <w:pStyle w:val="TOC3"/>
        <w:tabs>
          <w:tab w:val="right" w:leader="dot" w:pos="9950"/>
        </w:tabs>
        <w:rPr>
          <w:rFonts w:asciiTheme="minorHAnsi" w:hAnsiTheme="minorHAnsi"/>
          <w:noProof/>
          <w:sz w:val="22"/>
        </w:rPr>
      </w:pPr>
      <w:hyperlink w:anchor="_Toc256000735" w:history="1">
        <w:r>
          <w:rPr>
            <w:rStyle w:val="Hyperlink"/>
          </w:rPr>
          <w:t>Configure Approval Policies in VCF Automation</w:t>
        </w:r>
        <w:r>
          <w:tab/>
        </w:r>
        <w:r>
          <w:fldChar w:fldCharType="begin"/>
        </w:r>
        <w:r>
          <w:instrText xml:space="preserve"> PAGEREF _Toc256000735 \h </w:instrText>
        </w:r>
        <w:r>
          <w:fldChar w:fldCharType="separate"/>
        </w:r>
        <w:r>
          <w:t>117</w:t>
        </w:r>
        <w:r>
          <w:fldChar w:fldCharType="end"/>
        </w:r>
      </w:hyperlink>
    </w:p>
    <w:p>
      <w:pPr>
        <w:pStyle w:val="TOC4"/>
        <w:tabs>
          <w:tab w:val="right" w:leader="dot" w:pos="9950"/>
        </w:tabs>
        <w:rPr>
          <w:rFonts w:asciiTheme="minorHAnsi" w:hAnsiTheme="minorHAnsi"/>
          <w:noProof/>
          <w:sz w:val="22"/>
        </w:rPr>
      </w:pPr>
      <w:hyperlink w:anchor="_Toc256000736" w:history="1">
        <w:r>
          <w:rPr>
            <w:rStyle w:val="Hyperlink"/>
          </w:rPr>
          <w:t>Who works with or is affected by approval policies</w:t>
        </w:r>
        <w:r>
          <w:tab/>
        </w:r>
        <w:r>
          <w:fldChar w:fldCharType="begin"/>
        </w:r>
        <w:r>
          <w:instrText xml:space="preserve"> PAGEREF _Toc256000736 \h </w:instrText>
        </w:r>
        <w:r>
          <w:fldChar w:fldCharType="separate"/>
        </w:r>
        <w:r>
          <w:t>117</w:t>
        </w:r>
        <w:r>
          <w:fldChar w:fldCharType="end"/>
        </w:r>
      </w:hyperlink>
    </w:p>
    <w:p>
      <w:pPr>
        <w:pStyle w:val="TOC4"/>
        <w:tabs>
          <w:tab w:val="right" w:leader="dot" w:pos="9950"/>
        </w:tabs>
        <w:rPr>
          <w:rFonts w:asciiTheme="minorHAnsi" w:hAnsiTheme="minorHAnsi"/>
          <w:noProof/>
          <w:sz w:val="22"/>
        </w:rPr>
      </w:pPr>
      <w:hyperlink w:anchor="_Toc256000737" w:history="1">
        <w:r>
          <w:rPr>
            <w:rStyle w:val="Hyperlink"/>
          </w:rPr>
          <w:t>What happens when approval policies are enforced</w:t>
        </w:r>
        <w:r>
          <w:tab/>
        </w:r>
        <w:r>
          <w:fldChar w:fldCharType="begin"/>
        </w:r>
        <w:r>
          <w:instrText xml:space="preserve"> PAGEREF _Toc256000737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0738" w:history="1">
        <w:r>
          <w:rPr>
            <w:rStyle w:val="Hyperlink"/>
          </w:rPr>
          <w:t>How can I use the deployment criteria</w:t>
        </w:r>
        <w:r>
          <w:tab/>
        </w:r>
        <w:r>
          <w:fldChar w:fldCharType="begin"/>
        </w:r>
        <w:r>
          <w:instrText xml:space="preserve"> PAGEREF _Toc256000738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0739" w:history="1">
        <w:r>
          <w:rPr>
            <w:rStyle w:val="Hyperlink"/>
          </w:rPr>
          <w:t>Prerequisites</w:t>
        </w:r>
        <w:r>
          <w:tab/>
        </w:r>
        <w:r>
          <w:fldChar w:fldCharType="begin"/>
        </w:r>
        <w:r>
          <w:instrText xml:space="preserve"> PAGEREF _Toc256000739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0740" w:history="1">
        <w:r>
          <w:rPr>
            <w:rStyle w:val="Hyperlink"/>
          </w:rPr>
          <w:t>Procedure</w:t>
        </w:r>
        <w:r>
          <w:tab/>
        </w:r>
        <w:r>
          <w:fldChar w:fldCharType="begin"/>
        </w:r>
        <w:r>
          <w:instrText xml:space="preserve"> PAGEREF _Toc256000740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0741" w:history="1">
        <w:r>
          <w:rPr>
            <w:rStyle w:val="Hyperlink"/>
          </w:rPr>
          <w:t>What to do next</w:t>
        </w:r>
        <w:r>
          <w:tab/>
        </w:r>
        <w:r>
          <w:fldChar w:fldCharType="begin"/>
        </w:r>
        <w:r>
          <w:instrText xml:space="preserve"> PAGEREF _Toc256000741 \h </w:instrText>
        </w:r>
        <w:r>
          <w:fldChar w:fldCharType="separate"/>
        </w:r>
        <w:r>
          <w:t>121</w:t>
        </w:r>
        <w:r>
          <w:fldChar w:fldCharType="end"/>
        </w:r>
      </w:hyperlink>
    </w:p>
    <w:p>
      <w:pPr>
        <w:pStyle w:val="TOC3"/>
        <w:tabs>
          <w:tab w:val="right" w:leader="dot" w:pos="9950"/>
        </w:tabs>
        <w:rPr>
          <w:rFonts w:asciiTheme="minorHAnsi" w:hAnsiTheme="minorHAnsi"/>
          <w:noProof/>
          <w:sz w:val="22"/>
        </w:rPr>
      </w:pPr>
      <w:hyperlink w:anchor="_Toc256000742" w:history="1">
        <w:r>
          <w:rPr>
            <w:rStyle w:val="Hyperlink"/>
          </w:rPr>
          <w:t>Configure Day 2 Action Policies in VCF Automation</w:t>
        </w:r>
        <w:r>
          <w:tab/>
        </w:r>
        <w:r>
          <w:fldChar w:fldCharType="begin"/>
        </w:r>
        <w:r>
          <w:instrText xml:space="preserve"> PAGEREF _Toc256000742 \h </w:instrText>
        </w:r>
        <w:r>
          <w:fldChar w:fldCharType="separate"/>
        </w:r>
        <w:r>
          <w:t>121</w:t>
        </w:r>
        <w:r>
          <w:fldChar w:fldCharType="end"/>
        </w:r>
      </w:hyperlink>
    </w:p>
    <w:p>
      <w:pPr>
        <w:pStyle w:val="TOC4"/>
        <w:tabs>
          <w:tab w:val="right" w:leader="dot" w:pos="9950"/>
        </w:tabs>
        <w:rPr>
          <w:rFonts w:asciiTheme="minorHAnsi" w:hAnsiTheme="minorHAnsi"/>
          <w:noProof/>
          <w:sz w:val="22"/>
        </w:rPr>
      </w:pPr>
      <w:hyperlink w:anchor="_Toc256000743" w:history="1">
        <w:r>
          <w:rPr>
            <w:rStyle w:val="Hyperlink"/>
          </w:rPr>
          <w:t>When does a day 2 actions policy go into effect</w:t>
        </w:r>
        <w:r>
          <w:tab/>
        </w:r>
        <w:r>
          <w:fldChar w:fldCharType="begin"/>
        </w:r>
        <w:r>
          <w:instrText xml:space="preserve"> PAGEREF _Toc256000743 \h </w:instrText>
        </w:r>
        <w:r>
          <w:fldChar w:fldCharType="separate"/>
        </w:r>
        <w:r>
          <w:t>121</w:t>
        </w:r>
        <w:r>
          <w:fldChar w:fldCharType="end"/>
        </w:r>
      </w:hyperlink>
    </w:p>
    <w:p>
      <w:pPr>
        <w:pStyle w:val="TOC4"/>
        <w:tabs>
          <w:tab w:val="right" w:leader="dot" w:pos="9950"/>
        </w:tabs>
        <w:rPr>
          <w:rFonts w:asciiTheme="minorHAnsi" w:hAnsiTheme="minorHAnsi"/>
          <w:noProof/>
          <w:sz w:val="22"/>
        </w:rPr>
      </w:pPr>
      <w:hyperlink w:anchor="_Toc256000744" w:history="1">
        <w:r>
          <w:rPr>
            <w:rStyle w:val="Hyperlink"/>
          </w:rPr>
          <w:t>When are day 2 actions policies applied</w:t>
        </w:r>
        <w:r>
          <w:tab/>
        </w:r>
        <w:r>
          <w:fldChar w:fldCharType="begin"/>
        </w:r>
        <w:r>
          <w:instrText xml:space="preserve"> PAGEREF _Toc256000744 \h </w:instrText>
        </w:r>
        <w:r>
          <w:fldChar w:fldCharType="separate"/>
        </w:r>
        <w:r>
          <w:t>122</w:t>
        </w:r>
        <w:r>
          <w:fldChar w:fldCharType="end"/>
        </w:r>
      </w:hyperlink>
    </w:p>
    <w:p>
      <w:pPr>
        <w:pStyle w:val="TOC4"/>
        <w:tabs>
          <w:tab w:val="right" w:leader="dot" w:pos="9950"/>
        </w:tabs>
        <w:rPr>
          <w:rFonts w:asciiTheme="minorHAnsi" w:hAnsiTheme="minorHAnsi"/>
          <w:noProof/>
          <w:sz w:val="22"/>
        </w:rPr>
      </w:pPr>
      <w:hyperlink w:anchor="_Toc256000745" w:history="1">
        <w:r>
          <w:rPr>
            <w:rStyle w:val="Hyperlink"/>
          </w:rPr>
          <w:t>Selecting day 2 actions</w:t>
        </w:r>
        <w:r>
          <w:tab/>
        </w:r>
        <w:r>
          <w:fldChar w:fldCharType="begin"/>
        </w:r>
        <w:r>
          <w:instrText xml:space="preserve"> PAGEREF _Toc256000745 \h </w:instrText>
        </w:r>
        <w:r>
          <w:fldChar w:fldCharType="separate"/>
        </w:r>
        <w:r>
          <w:t>122</w:t>
        </w:r>
        <w:r>
          <w:fldChar w:fldCharType="end"/>
        </w:r>
      </w:hyperlink>
    </w:p>
    <w:p>
      <w:pPr>
        <w:pStyle w:val="TOC4"/>
        <w:tabs>
          <w:tab w:val="right" w:leader="dot" w:pos="9950"/>
        </w:tabs>
        <w:rPr>
          <w:rFonts w:asciiTheme="minorHAnsi" w:hAnsiTheme="minorHAnsi"/>
          <w:noProof/>
          <w:sz w:val="22"/>
        </w:rPr>
      </w:pPr>
      <w:hyperlink w:anchor="_Toc256000746" w:history="1">
        <w:r>
          <w:rPr>
            <w:rStyle w:val="Hyperlink"/>
          </w:rPr>
          <w:t>Prerequisites</w:t>
        </w:r>
        <w:r>
          <w:tab/>
        </w:r>
        <w:r>
          <w:fldChar w:fldCharType="begin"/>
        </w:r>
        <w:r>
          <w:instrText xml:space="preserve"> PAGEREF _Toc256000746 \h </w:instrText>
        </w:r>
        <w:r>
          <w:fldChar w:fldCharType="separate"/>
        </w:r>
        <w:r>
          <w:t>122</w:t>
        </w:r>
        <w:r>
          <w:fldChar w:fldCharType="end"/>
        </w:r>
      </w:hyperlink>
    </w:p>
    <w:p>
      <w:pPr>
        <w:pStyle w:val="TOC4"/>
        <w:tabs>
          <w:tab w:val="right" w:leader="dot" w:pos="9950"/>
        </w:tabs>
        <w:rPr>
          <w:rFonts w:asciiTheme="minorHAnsi" w:hAnsiTheme="minorHAnsi"/>
          <w:noProof/>
          <w:sz w:val="22"/>
        </w:rPr>
      </w:pPr>
      <w:hyperlink w:anchor="_Toc256000747" w:history="1">
        <w:r>
          <w:rPr>
            <w:rStyle w:val="Hyperlink"/>
          </w:rPr>
          <w:t>Procedure</w:t>
        </w:r>
        <w:r>
          <w:tab/>
        </w:r>
        <w:r>
          <w:fldChar w:fldCharType="begin"/>
        </w:r>
        <w:r>
          <w:instrText xml:space="preserve"> PAGEREF _Toc256000747 \h </w:instrText>
        </w:r>
        <w:r>
          <w:fldChar w:fldCharType="separate"/>
        </w:r>
        <w:r>
          <w:t>122</w:t>
        </w:r>
        <w:r>
          <w:fldChar w:fldCharType="end"/>
        </w:r>
      </w:hyperlink>
    </w:p>
    <w:p>
      <w:pPr>
        <w:pStyle w:val="TOC4"/>
        <w:tabs>
          <w:tab w:val="right" w:leader="dot" w:pos="9950"/>
        </w:tabs>
        <w:rPr>
          <w:rFonts w:asciiTheme="minorHAnsi" w:hAnsiTheme="minorHAnsi"/>
          <w:noProof/>
          <w:sz w:val="22"/>
        </w:rPr>
      </w:pPr>
      <w:hyperlink w:anchor="_Toc256000748" w:history="1">
        <w:r>
          <w:rPr>
            <w:rStyle w:val="Hyperlink"/>
          </w:rPr>
          <w:t>What to do next</w:t>
        </w:r>
        <w:r>
          <w:tab/>
        </w:r>
        <w:r>
          <w:fldChar w:fldCharType="begin"/>
        </w:r>
        <w:r>
          <w:instrText xml:space="preserve"> PAGEREF _Toc256000748 \h </w:instrText>
        </w:r>
        <w:r>
          <w:fldChar w:fldCharType="separate"/>
        </w:r>
        <w:r>
          <w:t>124</w:t>
        </w:r>
        <w:r>
          <w:fldChar w:fldCharType="end"/>
        </w:r>
      </w:hyperlink>
    </w:p>
    <w:p>
      <w:pPr>
        <w:pStyle w:val="TOC4"/>
        <w:tabs>
          <w:tab w:val="right" w:leader="dot" w:pos="9950"/>
        </w:tabs>
        <w:rPr>
          <w:rFonts w:asciiTheme="minorHAnsi" w:hAnsiTheme="minorHAnsi"/>
          <w:noProof/>
          <w:sz w:val="22"/>
        </w:rPr>
      </w:pPr>
      <w:hyperlink w:anchor="_Toc256000749" w:history="1">
        <w:r>
          <w:rPr>
            <w:rStyle w:val="Hyperlink"/>
          </w:rPr>
          <w:t>Day 2 Actions on Catalog-Provisioned Resources Provided with VCF Automation</w:t>
        </w:r>
        <w:r>
          <w:tab/>
        </w:r>
        <w:r>
          <w:fldChar w:fldCharType="begin"/>
        </w:r>
        <w:r>
          <w:instrText xml:space="preserve"> PAGEREF _Toc256000749 \h </w:instrText>
        </w:r>
        <w:r>
          <w:fldChar w:fldCharType="separate"/>
        </w:r>
        <w:r>
          <w:t>125</w:t>
        </w:r>
        <w:r>
          <w:fldChar w:fldCharType="end"/>
        </w:r>
      </w:hyperlink>
    </w:p>
    <w:p>
      <w:pPr>
        <w:pStyle w:val="TOC3"/>
        <w:tabs>
          <w:tab w:val="right" w:leader="dot" w:pos="9950"/>
        </w:tabs>
        <w:rPr>
          <w:rFonts w:asciiTheme="minorHAnsi" w:hAnsiTheme="minorHAnsi"/>
          <w:noProof/>
          <w:sz w:val="22"/>
        </w:rPr>
      </w:pPr>
      <w:hyperlink w:anchor="_Toc256000750" w:history="1">
        <w:r>
          <w:rPr>
            <w:rStyle w:val="Hyperlink"/>
          </w:rPr>
          <w:t>Configure Lease Policies in VCF Automation</w:t>
        </w:r>
        <w:r>
          <w:tab/>
        </w:r>
        <w:r>
          <w:fldChar w:fldCharType="begin"/>
        </w:r>
        <w:r>
          <w:instrText xml:space="preserve"> PAGEREF _Toc256000750 \h </w:instrText>
        </w:r>
        <w:r>
          <w:fldChar w:fldCharType="separate"/>
        </w:r>
        <w:r>
          <w:t>125</w:t>
        </w:r>
        <w:r>
          <w:fldChar w:fldCharType="end"/>
        </w:r>
      </w:hyperlink>
    </w:p>
    <w:p>
      <w:pPr>
        <w:pStyle w:val="TOC4"/>
        <w:tabs>
          <w:tab w:val="right" w:leader="dot" w:pos="9950"/>
        </w:tabs>
        <w:rPr>
          <w:rFonts w:asciiTheme="minorHAnsi" w:hAnsiTheme="minorHAnsi"/>
          <w:noProof/>
          <w:sz w:val="22"/>
        </w:rPr>
      </w:pPr>
      <w:hyperlink w:anchor="_Toc256000751" w:history="1">
        <w:r>
          <w:rPr>
            <w:rStyle w:val="Hyperlink"/>
          </w:rPr>
          <w:t>When does a lease policy go into effect</w:t>
        </w:r>
        <w:r>
          <w:tab/>
        </w:r>
        <w:r>
          <w:fldChar w:fldCharType="begin"/>
        </w:r>
        <w:r>
          <w:instrText xml:space="preserve"> PAGEREF _Toc256000751 \h </w:instrText>
        </w:r>
        <w:r>
          <w:fldChar w:fldCharType="separate"/>
        </w:r>
        <w:r>
          <w:t>125</w:t>
        </w:r>
        <w:r>
          <w:fldChar w:fldCharType="end"/>
        </w:r>
      </w:hyperlink>
    </w:p>
    <w:p>
      <w:pPr>
        <w:pStyle w:val="TOC4"/>
        <w:tabs>
          <w:tab w:val="right" w:leader="dot" w:pos="9950"/>
        </w:tabs>
        <w:rPr>
          <w:rFonts w:asciiTheme="minorHAnsi" w:hAnsiTheme="minorHAnsi"/>
          <w:noProof/>
          <w:sz w:val="22"/>
        </w:rPr>
      </w:pPr>
      <w:hyperlink w:anchor="_Toc256000752" w:history="1">
        <w:r>
          <w:rPr>
            <w:rStyle w:val="Hyperlink"/>
          </w:rPr>
          <w:t>When are lease policies applied</w:t>
        </w:r>
        <w:r>
          <w:tab/>
        </w:r>
        <w:r>
          <w:fldChar w:fldCharType="begin"/>
        </w:r>
        <w:r>
          <w:instrText xml:space="preserve"> PAGEREF _Toc256000752 \h </w:instrText>
        </w:r>
        <w:r>
          <w:fldChar w:fldCharType="separate"/>
        </w:r>
        <w:r>
          <w:t>125</w:t>
        </w:r>
        <w:r>
          <w:fldChar w:fldCharType="end"/>
        </w:r>
      </w:hyperlink>
    </w:p>
    <w:p>
      <w:pPr>
        <w:pStyle w:val="TOC4"/>
        <w:tabs>
          <w:tab w:val="right" w:leader="dot" w:pos="9950"/>
        </w:tabs>
        <w:rPr>
          <w:rFonts w:asciiTheme="minorHAnsi" w:hAnsiTheme="minorHAnsi"/>
          <w:noProof/>
          <w:sz w:val="22"/>
        </w:rPr>
      </w:pPr>
      <w:hyperlink w:anchor="_Toc256000753" w:history="1">
        <w:r>
          <w:rPr>
            <w:rStyle w:val="Hyperlink"/>
          </w:rPr>
          <w:t>Lease-specific options</w:t>
        </w:r>
        <w:r>
          <w:tab/>
        </w:r>
        <w:r>
          <w:fldChar w:fldCharType="begin"/>
        </w:r>
        <w:r>
          <w:instrText xml:space="preserve"> PAGEREF _Toc256000753 \h </w:instrText>
        </w:r>
        <w:r>
          <w:fldChar w:fldCharType="separate"/>
        </w:r>
        <w:r>
          <w:t>125</w:t>
        </w:r>
        <w:r>
          <w:fldChar w:fldCharType="end"/>
        </w:r>
      </w:hyperlink>
    </w:p>
    <w:p>
      <w:pPr>
        <w:pStyle w:val="TOC4"/>
        <w:tabs>
          <w:tab w:val="right" w:leader="dot" w:pos="9950"/>
        </w:tabs>
        <w:rPr>
          <w:rFonts w:asciiTheme="minorHAnsi" w:hAnsiTheme="minorHAnsi"/>
          <w:noProof/>
          <w:sz w:val="22"/>
        </w:rPr>
      </w:pPr>
      <w:hyperlink w:anchor="_Toc256000754" w:history="1">
        <w:r>
          <w:rPr>
            <w:rStyle w:val="Hyperlink"/>
          </w:rPr>
          <w:t>What happens when I update an existing lease policy</w:t>
        </w:r>
        <w:r>
          <w:tab/>
        </w:r>
        <w:r>
          <w:fldChar w:fldCharType="begin"/>
        </w:r>
        <w:r>
          <w:instrText xml:space="preserve"> PAGEREF _Toc256000754 \h </w:instrText>
        </w:r>
        <w:r>
          <w:fldChar w:fldCharType="separate"/>
        </w:r>
        <w:r>
          <w:t>126</w:t>
        </w:r>
        <w:r>
          <w:fldChar w:fldCharType="end"/>
        </w:r>
      </w:hyperlink>
    </w:p>
    <w:p>
      <w:pPr>
        <w:pStyle w:val="TOC4"/>
        <w:tabs>
          <w:tab w:val="right" w:leader="dot" w:pos="9950"/>
        </w:tabs>
        <w:rPr>
          <w:rFonts w:asciiTheme="minorHAnsi" w:hAnsiTheme="minorHAnsi"/>
          <w:noProof/>
          <w:sz w:val="22"/>
        </w:rPr>
      </w:pPr>
      <w:hyperlink w:anchor="_Toc256000755" w:history="1">
        <w:r>
          <w:rPr>
            <w:rStyle w:val="Hyperlink"/>
          </w:rPr>
          <w:t>What happens when a deployment expires</w:t>
        </w:r>
        <w:r>
          <w:tab/>
        </w:r>
        <w:r>
          <w:fldChar w:fldCharType="begin"/>
        </w:r>
        <w:r>
          <w:instrText xml:space="preserve"> PAGEREF _Toc256000755 \h </w:instrText>
        </w:r>
        <w:r>
          <w:fldChar w:fldCharType="separate"/>
        </w:r>
        <w:r>
          <w:t>126</w:t>
        </w:r>
        <w:r>
          <w:fldChar w:fldCharType="end"/>
        </w:r>
      </w:hyperlink>
    </w:p>
    <w:p>
      <w:pPr>
        <w:pStyle w:val="TOC4"/>
        <w:tabs>
          <w:tab w:val="right" w:leader="dot" w:pos="9950"/>
        </w:tabs>
        <w:rPr>
          <w:rFonts w:asciiTheme="minorHAnsi" w:hAnsiTheme="minorHAnsi"/>
          <w:noProof/>
          <w:sz w:val="22"/>
        </w:rPr>
      </w:pPr>
      <w:hyperlink w:anchor="_Toc256000756" w:history="1">
        <w:r>
          <w:rPr>
            <w:rStyle w:val="Hyperlink"/>
          </w:rPr>
          <w:t>Procedure</w:t>
        </w:r>
        <w:r>
          <w:tab/>
        </w:r>
        <w:r>
          <w:fldChar w:fldCharType="begin"/>
        </w:r>
        <w:r>
          <w:instrText xml:space="preserve"> PAGEREF _Toc256000756 \h </w:instrText>
        </w:r>
        <w:r>
          <w:fldChar w:fldCharType="separate"/>
        </w:r>
        <w:r>
          <w:t>126</w:t>
        </w:r>
        <w:r>
          <w:fldChar w:fldCharType="end"/>
        </w:r>
      </w:hyperlink>
    </w:p>
    <w:p>
      <w:pPr>
        <w:pStyle w:val="TOC4"/>
        <w:tabs>
          <w:tab w:val="right" w:leader="dot" w:pos="9950"/>
        </w:tabs>
        <w:rPr>
          <w:rFonts w:asciiTheme="minorHAnsi" w:hAnsiTheme="minorHAnsi"/>
          <w:noProof/>
          <w:sz w:val="22"/>
        </w:rPr>
      </w:pPr>
      <w:hyperlink w:anchor="_Toc256000757" w:history="1">
        <w:r>
          <w:rPr>
            <w:rStyle w:val="Hyperlink"/>
          </w:rPr>
          <w:t>What to do next</w:t>
        </w:r>
        <w:r>
          <w:tab/>
        </w:r>
        <w:r>
          <w:fldChar w:fldCharType="begin"/>
        </w:r>
        <w:r>
          <w:instrText xml:space="preserve"> PAGEREF _Toc256000757 \h </w:instrText>
        </w:r>
        <w:r>
          <w:fldChar w:fldCharType="separate"/>
        </w:r>
        <w:r>
          <w:t>129</w:t>
        </w:r>
        <w:r>
          <w:fldChar w:fldCharType="end"/>
        </w:r>
      </w:hyperlink>
    </w:p>
    <w:p>
      <w:pPr>
        <w:pStyle w:val="TOC3"/>
        <w:tabs>
          <w:tab w:val="right" w:leader="dot" w:pos="9950"/>
        </w:tabs>
        <w:rPr>
          <w:rFonts w:asciiTheme="minorHAnsi" w:hAnsiTheme="minorHAnsi"/>
          <w:noProof/>
          <w:sz w:val="22"/>
        </w:rPr>
      </w:pPr>
      <w:hyperlink w:anchor="_Toc256000758" w:history="1">
        <w:r>
          <w:rPr>
            <w:rStyle w:val="Hyperlink"/>
          </w:rPr>
          <w:t>Configure IaaS Resource Policies in VCF Automation</w:t>
        </w:r>
        <w:r>
          <w:tab/>
        </w:r>
        <w:r>
          <w:fldChar w:fldCharType="begin"/>
        </w:r>
        <w:r>
          <w:instrText xml:space="preserve"> PAGEREF _Toc256000758 \h </w:instrText>
        </w:r>
        <w:r>
          <w:fldChar w:fldCharType="separate"/>
        </w:r>
        <w:r>
          <w:t>129</w:t>
        </w:r>
        <w:r>
          <w:fldChar w:fldCharType="end"/>
        </w:r>
      </w:hyperlink>
    </w:p>
    <w:p>
      <w:pPr>
        <w:pStyle w:val="TOC4"/>
        <w:tabs>
          <w:tab w:val="right" w:leader="dot" w:pos="9950"/>
        </w:tabs>
        <w:rPr>
          <w:rFonts w:asciiTheme="minorHAnsi" w:hAnsiTheme="minorHAnsi"/>
          <w:noProof/>
          <w:sz w:val="22"/>
        </w:rPr>
      </w:pPr>
      <w:hyperlink w:anchor="_Toc256000759" w:history="1">
        <w:r>
          <w:rPr>
            <w:rStyle w:val="Hyperlink"/>
          </w:rPr>
          <w:t>What can I control with IaaS resource policies</w:t>
        </w:r>
        <w:r>
          <w:tab/>
        </w:r>
        <w:r>
          <w:fldChar w:fldCharType="begin"/>
        </w:r>
        <w:r>
          <w:instrText xml:space="preserve"> PAGEREF _Toc256000759 \h </w:instrText>
        </w:r>
        <w:r>
          <w:fldChar w:fldCharType="separate"/>
        </w:r>
        <w:r>
          <w:t>129</w:t>
        </w:r>
        <w:r>
          <w:fldChar w:fldCharType="end"/>
        </w:r>
      </w:hyperlink>
    </w:p>
    <w:p>
      <w:pPr>
        <w:pStyle w:val="TOC4"/>
        <w:tabs>
          <w:tab w:val="right" w:leader="dot" w:pos="9950"/>
        </w:tabs>
        <w:rPr>
          <w:rFonts w:asciiTheme="minorHAnsi" w:hAnsiTheme="minorHAnsi"/>
          <w:noProof/>
          <w:sz w:val="22"/>
        </w:rPr>
      </w:pPr>
      <w:hyperlink w:anchor="_Toc256000760" w:history="1">
        <w:r>
          <w:rPr>
            <w:rStyle w:val="Hyperlink"/>
          </w:rPr>
          <w:t>What happens when IaaS resource policies are enforced</w:t>
        </w:r>
        <w:r>
          <w:tab/>
        </w:r>
        <w:r>
          <w:fldChar w:fldCharType="begin"/>
        </w:r>
        <w:r>
          <w:instrText xml:space="preserve"> PAGEREF _Toc256000760 \h </w:instrText>
        </w:r>
        <w:r>
          <w:fldChar w:fldCharType="separate"/>
        </w:r>
        <w:r>
          <w:t>129</w:t>
        </w:r>
        <w:r>
          <w:fldChar w:fldCharType="end"/>
        </w:r>
      </w:hyperlink>
    </w:p>
    <w:p>
      <w:pPr>
        <w:pStyle w:val="TOC4"/>
        <w:tabs>
          <w:tab w:val="right" w:leader="dot" w:pos="9950"/>
        </w:tabs>
        <w:rPr>
          <w:rFonts w:asciiTheme="minorHAnsi" w:hAnsiTheme="minorHAnsi"/>
          <w:noProof/>
          <w:sz w:val="22"/>
        </w:rPr>
      </w:pPr>
      <w:hyperlink w:anchor="_Toc256000761" w:history="1">
        <w:r>
          <w:rPr>
            <w:rStyle w:val="Hyperlink"/>
          </w:rPr>
          <w:t>When are IaaS resource policies applied</w:t>
        </w:r>
        <w:r>
          <w:tab/>
        </w:r>
        <w:r>
          <w:fldChar w:fldCharType="begin"/>
        </w:r>
        <w:r>
          <w:instrText xml:space="preserve"> PAGEREF _Toc256000761 \h </w:instrText>
        </w:r>
        <w:r>
          <w:fldChar w:fldCharType="separate"/>
        </w:r>
        <w:r>
          <w:t>130</w:t>
        </w:r>
        <w:r>
          <w:fldChar w:fldCharType="end"/>
        </w:r>
      </w:hyperlink>
    </w:p>
    <w:p>
      <w:pPr>
        <w:pStyle w:val="TOC4"/>
        <w:tabs>
          <w:tab w:val="right" w:leader="dot" w:pos="9950"/>
        </w:tabs>
        <w:rPr>
          <w:rFonts w:asciiTheme="minorHAnsi" w:hAnsiTheme="minorHAnsi"/>
          <w:noProof/>
          <w:sz w:val="22"/>
        </w:rPr>
      </w:pPr>
      <w:hyperlink w:anchor="_Toc256000762" w:history="1">
        <w:r>
          <w:rPr>
            <w:rStyle w:val="Hyperlink"/>
          </w:rPr>
          <w:t>How many IaaS policies can I create</w:t>
        </w:r>
        <w:r>
          <w:tab/>
        </w:r>
        <w:r>
          <w:fldChar w:fldCharType="begin"/>
        </w:r>
        <w:r>
          <w:instrText xml:space="preserve"> PAGEREF _Toc256000762 \h </w:instrText>
        </w:r>
        <w:r>
          <w:fldChar w:fldCharType="separate"/>
        </w:r>
        <w:r>
          <w:t>130</w:t>
        </w:r>
        <w:r>
          <w:fldChar w:fldCharType="end"/>
        </w:r>
      </w:hyperlink>
    </w:p>
    <w:p>
      <w:pPr>
        <w:pStyle w:val="TOC4"/>
        <w:tabs>
          <w:tab w:val="right" w:leader="dot" w:pos="9950"/>
        </w:tabs>
        <w:rPr>
          <w:rFonts w:asciiTheme="minorHAnsi" w:hAnsiTheme="minorHAnsi"/>
          <w:noProof/>
          <w:sz w:val="22"/>
        </w:rPr>
      </w:pPr>
      <w:hyperlink w:anchor="_Toc256000763" w:history="1">
        <w:r>
          <w:rPr>
            <w:rStyle w:val="Hyperlink"/>
          </w:rPr>
          <w:t>What IaaS policy templates are available</w:t>
        </w:r>
        <w:r>
          <w:tab/>
        </w:r>
        <w:r>
          <w:fldChar w:fldCharType="begin"/>
        </w:r>
        <w:r>
          <w:instrText xml:space="preserve"> PAGEREF _Toc256000763 \h </w:instrText>
        </w:r>
        <w:r>
          <w:fldChar w:fldCharType="separate"/>
        </w:r>
        <w:r>
          <w:t>130</w:t>
        </w:r>
        <w:r>
          <w:fldChar w:fldCharType="end"/>
        </w:r>
      </w:hyperlink>
    </w:p>
    <w:p>
      <w:pPr>
        <w:pStyle w:val="TOC4"/>
        <w:tabs>
          <w:tab w:val="right" w:leader="dot" w:pos="9950"/>
        </w:tabs>
        <w:rPr>
          <w:rFonts w:asciiTheme="minorHAnsi" w:hAnsiTheme="minorHAnsi"/>
          <w:noProof/>
          <w:sz w:val="22"/>
        </w:rPr>
      </w:pPr>
      <w:hyperlink w:anchor="_Toc256000764" w:history="1">
        <w:r>
          <w:rPr>
            <w:rStyle w:val="Hyperlink"/>
          </w:rPr>
          <w:t>Using the Assignments tab</w:t>
        </w:r>
        <w:r>
          <w:tab/>
        </w:r>
        <w:r>
          <w:fldChar w:fldCharType="begin"/>
        </w:r>
        <w:r>
          <w:instrText xml:space="preserve"> PAGEREF _Toc256000764 \h </w:instrText>
        </w:r>
        <w:r>
          <w:fldChar w:fldCharType="separate"/>
        </w:r>
        <w:r>
          <w:t>130</w:t>
        </w:r>
        <w:r>
          <w:fldChar w:fldCharType="end"/>
        </w:r>
      </w:hyperlink>
    </w:p>
    <w:p>
      <w:pPr>
        <w:pStyle w:val="TOC4"/>
        <w:tabs>
          <w:tab w:val="right" w:leader="dot" w:pos="9950"/>
        </w:tabs>
        <w:rPr>
          <w:rFonts w:asciiTheme="minorHAnsi" w:hAnsiTheme="minorHAnsi"/>
          <w:noProof/>
          <w:sz w:val="22"/>
        </w:rPr>
      </w:pPr>
      <w:hyperlink w:anchor="_Toc256000765" w:history="1">
        <w:r>
          <w:rPr>
            <w:rStyle w:val="Hyperlink"/>
          </w:rPr>
          <w:t>IaaS Policy limitations</w:t>
        </w:r>
        <w:r>
          <w:tab/>
        </w:r>
        <w:r>
          <w:fldChar w:fldCharType="begin"/>
        </w:r>
        <w:r>
          <w:instrText xml:space="preserve"> PAGEREF _Toc256000765 \h </w:instrText>
        </w:r>
        <w:r>
          <w:fldChar w:fldCharType="separate"/>
        </w:r>
        <w:r>
          <w:t>131</w:t>
        </w:r>
        <w:r>
          <w:fldChar w:fldCharType="end"/>
        </w:r>
      </w:hyperlink>
    </w:p>
    <w:p>
      <w:pPr>
        <w:pStyle w:val="TOC4"/>
        <w:tabs>
          <w:tab w:val="right" w:leader="dot" w:pos="9950"/>
        </w:tabs>
        <w:rPr>
          <w:rFonts w:asciiTheme="minorHAnsi" w:hAnsiTheme="minorHAnsi"/>
          <w:noProof/>
          <w:sz w:val="22"/>
        </w:rPr>
      </w:pPr>
      <w:hyperlink w:anchor="_Toc256000766" w:history="1">
        <w:r>
          <w:rPr>
            <w:rStyle w:val="Hyperlink"/>
          </w:rPr>
          <w:t>Procedure</w:t>
        </w:r>
        <w:r>
          <w:tab/>
        </w:r>
        <w:r>
          <w:fldChar w:fldCharType="begin"/>
        </w:r>
        <w:r>
          <w:instrText xml:space="preserve"> PAGEREF _Toc256000766 \h </w:instrText>
        </w:r>
        <w:r>
          <w:fldChar w:fldCharType="separate"/>
        </w:r>
        <w:r>
          <w:t>131</w:t>
        </w:r>
        <w:r>
          <w:fldChar w:fldCharType="end"/>
        </w:r>
      </w:hyperlink>
    </w:p>
    <w:p>
      <w:pPr>
        <w:pStyle w:val="TOC3"/>
        <w:tabs>
          <w:tab w:val="right" w:leader="dot" w:pos="9950"/>
        </w:tabs>
        <w:rPr>
          <w:rFonts w:asciiTheme="minorHAnsi" w:hAnsiTheme="minorHAnsi"/>
          <w:noProof/>
          <w:sz w:val="22"/>
        </w:rPr>
      </w:pPr>
      <w:hyperlink w:anchor="_Toc256000767" w:history="1">
        <w:r>
          <w:rPr>
            <w:rStyle w:val="Hyperlink"/>
          </w:rPr>
          <w:t>Configure Deployment Criteria in Policies in VCF Automation</w:t>
        </w:r>
        <w:r>
          <w:tab/>
        </w:r>
        <w:r>
          <w:fldChar w:fldCharType="begin"/>
        </w:r>
        <w:r>
          <w:instrText xml:space="preserve"> PAGEREF _Toc256000767 \h </w:instrText>
        </w:r>
        <w:r>
          <w:fldChar w:fldCharType="separate"/>
        </w:r>
        <w:r>
          <w:t>132</w:t>
        </w:r>
        <w:r>
          <w:fldChar w:fldCharType="end"/>
        </w:r>
      </w:hyperlink>
    </w:p>
    <w:p>
      <w:pPr>
        <w:pStyle w:val="TOC4"/>
        <w:tabs>
          <w:tab w:val="right" w:leader="dot" w:pos="9950"/>
        </w:tabs>
        <w:rPr>
          <w:rFonts w:asciiTheme="minorHAnsi" w:hAnsiTheme="minorHAnsi"/>
          <w:noProof/>
          <w:sz w:val="22"/>
        </w:rPr>
      </w:pPr>
      <w:hyperlink w:anchor="_Toc256000768" w:history="1">
        <w:r>
          <w:rPr>
            <w:rStyle w:val="Hyperlink"/>
          </w:rPr>
          <w:t>Constructing deployment criteria</w:t>
        </w:r>
        <w:r>
          <w:tab/>
        </w:r>
        <w:r>
          <w:fldChar w:fldCharType="begin"/>
        </w:r>
        <w:r>
          <w:instrText xml:space="preserve"> PAGEREF _Toc256000768 \h </w:instrText>
        </w:r>
        <w:r>
          <w:fldChar w:fldCharType="separate"/>
        </w:r>
        <w:r>
          <w:t>133</w:t>
        </w:r>
        <w:r>
          <w:fldChar w:fldCharType="end"/>
        </w:r>
      </w:hyperlink>
    </w:p>
    <w:p>
      <w:pPr>
        <w:pStyle w:val="TOC4"/>
        <w:tabs>
          <w:tab w:val="right" w:leader="dot" w:pos="9950"/>
        </w:tabs>
        <w:rPr>
          <w:rFonts w:asciiTheme="minorHAnsi" w:hAnsiTheme="minorHAnsi"/>
          <w:noProof/>
          <w:sz w:val="22"/>
        </w:rPr>
      </w:pPr>
      <w:hyperlink w:anchor="_Toc256000769" w:history="1">
        <w:r>
          <w:rPr>
            <w:rStyle w:val="Hyperlink"/>
          </w:rPr>
          <w:t>Policy criteria properties</w:t>
        </w:r>
        <w:r>
          <w:tab/>
        </w:r>
        <w:r>
          <w:fldChar w:fldCharType="begin"/>
        </w:r>
        <w:r>
          <w:instrText xml:space="preserve"> PAGEREF _Toc256000769 \h </w:instrText>
        </w:r>
        <w:r>
          <w:fldChar w:fldCharType="separate"/>
        </w:r>
        <w:r>
          <w:t>133</w:t>
        </w:r>
        <w:r>
          <w:fldChar w:fldCharType="end"/>
        </w:r>
      </w:hyperlink>
    </w:p>
    <w:p>
      <w:pPr>
        <w:pStyle w:val="TOC4"/>
        <w:tabs>
          <w:tab w:val="right" w:leader="dot" w:pos="9950"/>
        </w:tabs>
        <w:rPr>
          <w:rFonts w:asciiTheme="minorHAnsi" w:hAnsiTheme="minorHAnsi"/>
          <w:noProof/>
          <w:sz w:val="22"/>
        </w:rPr>
      </w:pPr>
      <w:hyperlink w:anchor="_Toc256000770" w:history="1">
        <w:r>
          <w:rPr>
            <w:rStyle w:val="Hyperlink"/>
          </w:rPr>
          <w:t>Using the contains and matches Regex operators</w:t>
        </w:r>
        <w:r>
          <w:tab/>
        </w:r>
        <w:r>
          <w:fldChar w:fldCharType="begin"/>
        </w:r>
        <w:r>
          <w:instrText xml:space="preserve"> PAGEREF _Toc256000770 \h </w:instrText>
        </w:r>
        <w:r>
          <w:fldChar w:fldCharType="separate"/>
        </w:r>
        <w:r>
          <w:t>135</w:t>
        </w:r>
        <w:r>
          <w:fldChar w:fldCharType="end"/>
        </w:r>
      </w:hyperlink>
    </w:p>
    <w:p>
      <w:pPr>
        <w:pStyle w:val="TOC4"/>
        <w:tabs>
          <w:tab w:val="right" w:leader="dot" w:pos="9950"/>
        </w:tabs>
        <w:rPr>
          <w:rFonts w:asciiTheme="minorHAnsi" w:hAnsiTheme="minorHAnsi"/>
          <w:noProof/>
          <w:sz w:val="22"/>
        </w:rPr>
      </w:pPr>
      <w:hyperlink w:anchor="_Toc256000771" w:history="1">
        <w:r>
          <w:rPr>
            <w:rStyle w:val="Hyperlink"/>
          </w:rPr>
          <w:t>Order of operations for the expression</w:t>
        </w:r>
        <w:r>
          <w:tab/>
        </w:r>
        <w:r>
          <w:fldChar w:fldCharType="begin"/>
        </w:r>
        <w:r>
          <w:instrText xml:space="preserve"> PAGEREF _Toc256000771 \h </w:instrText>
        </w:r>
        <w:r>
          <w:fldChar w:fldCharType="separate"/>
        </w:r>
        <w:r>
          <w:t>136</w:t>
        </w:r>
        <w:r>
          <w:fldChar w:fldCharType="end"/>
        </w:r>
      </w:hyperlink>
    </w:p>
    <w:p>
      <w:pPr>
        <w:pStyle w:val="TOC3"/>
        <w:tabs>
          <w:tab w:val="right" w:leader="dot" w:pos="9950"/>
        </w:tabs>
        <w:rPr>
          <w:rFonts w:asciiTheme="minorHAnsi" w:hAnsiTheme="minorHAnsi"/>
          <w:noProof/>
          <w:sz w:val="22"/>
        </w:rPr>
      </w:pPr>
      <w:hyperlink w:anchor="_Toc256000772" w:history="1">
        <w:r>
          <w:rPr>
            <w:rStyle w:val="Hyperlink"/>
          </w:rPr>
          <w:t>How are Policies Processed in VCF Automation</w:t>
        </w:r>
        <w:r>
          <w:tab/>
        </w:r>
        <w:r>
          <w:fldChar w:fldCharType="begin"/>
        </w:r>
        <w:r>
          <w:instrText xml:space="preserve"> PAGEREF _Toc256000772 \h </w:instrText>
        </w:r>
        <w:r>
          <w:fldChar w:fldCharType="separate"/>
        </w:r>
        <w:r>
          <w:t>136</w:t>
        </w:r>
        <w:r>
          <w:fldChar w:fldCharType="end"/>
        </w:r>
      </w:hyperlink>
    </w:p>
    <w:p>
      <w:pPr>
        <w:pStyle w:val="TOC4"/>
        <w:tabs>
          <w:tab w:val="right" w:leader="dot" w:pos="9950"/>
        </w:tabs>
        <w:rPr>
          <w:rFonts w:asciiTheme="minorHAnsi" w:hAnsiTheme="minorHAnsi"/>
          <w:noProof/>
          <w:sz w:val="22"/>
        </w:rPr>
      </w:pPr>
      <w:hyperlink w:anchor="_Toc256000773" w:history="1">
        <w:r>
          <w:rPr>
            <w:rStyle w:val="Hyperlink"/>
          </w:rPr>
          <w:t>How policies are ranked based on organization level and enforcement type</w:t>
        </w:r>
        <w:r>
          <w:tab/>
        </w:r>
        <w:r>
          <w:fldChar w:fldCharType="begin"/>
        </w:r>
        <w:r>
          <w:instrText xml:space="preserve"> PAGEREF _Toc256000773 \h </w:instrText>
        </w:r>
        <w:r>
          <w:fldChar w:fldCharType="separate"/>
        </w:r>
        <w:r>
          <w:t>136</w:t>
        </w:r>
        <w:r>
          <w:fldChar w:fldCharType="end"/>
        </w:r>
      </w:hyperlink>
    </w:p>
    <w:p>
      <w:pPr>
        <w:pStyle w:val="TOC4"/>
        <w:tabs>
          <w:tab w:val="right" w:leader="dot" w:pos="9950"/>
        </w:tabs>
        <w:rPr>
          <w:rFonts w:asciiTheme="minorHAnsi" w:hAnsiTheme="minorHAnsi"/>
          <w:noProof/>
          <w:sz w:val="22"/>
        </w:rPr>
      </w:pPr>
      <w:hyperlink w:anchor="_Toc256000774" w:history="1">
        <w:r>
          <w:rPr>
            <w:rStyle w:val="Hyperlink"/>
          </w:rPr>
          <w:t>How policies are processed based on organization level and enforcement type</w:t>
        </w:r>
        <w:r>
          <w:tab/>
        </w:r>
        <w:r>
          <w:fldChar w:fldCharType="begin"/>
        </w:r>
        <w:r>
          <w:instrText xml:space="preserve"> PAGEREF _Toc256000774 \h </w:instrText>
        </w:r>
        <w:r>
          <w:fldChar w:fldCharType="separate"/>
        </w:r>
        <w:r>
          <w:t>139</w:t>
        </w:r>
        <w:r>
          <w:fldChar w:fldCharType="end"/>
        </w:r>
      </w:hyperlink>
    </w:p>
    <w:p>
      <w:pPr>
        <w:pStyle w:val="TOC4"/>
        <w:tabs>
          <w:tab w:val="right" w:leader="dot" w:pos="9950"/>
        </w:tabs>
        <w:rPr>
          <w:rFonts w:asciiTheme="minorHAnsi" w:hAnsiTheme="minorHAnsi"/>
          <w:noProof/>
          <w:sz w:val="22"/>
        </w:rPr>
      </w:pPr>
      <w:hyperlink w:anchor="_Toc256000775" w:history="1">
        <w:r>
          <w:rPr>
            <w:rStyle w:val="Hyperlink"/>
          </w:rPr>
          <w:t>Lease policy management goal considerations</w:t>
        </w:r>
        <w:r>
          <w:tab/>
        </w:r>
        <w:r>
          <w:fldChar w:fldCharType="begin"/>
        </w:r>
        <w:r>
          <w:instrText xml:space="preserve"> PAGEREF _Toc256000775 \h </w:instrText>
        </w:r>
        <w:r>
          <w:fldChar w:fldCharType="separate"/>
        </w:r>
        <w:r>
          <w:t>146</w:t>
        </w:r>
        <w:r>
          <w:fldChar w:fldCharType="end"/>
        </w:r>
      </w:hyperlink>
    </w:p>
    <w:p>
      <w:pPr>
        <w:pStyle w:val="TOC4"/>
        <w:tabs>
          <w:tab w:val="right" w:leader="dot" w:pos="9950"/>
        </w:tabs>
        <w:rPr>
          <w:rFonts w:asciiTheme="minorHAnsi" w:hAnsiTheme="minorHAnsi"/>
          <w:noProof/>
          <w:sz w:val="22"/>
        </w:rPr>
      </w:pPr>
      <w:hyperlink w:anchor="_Toc256000776" w:history="1">
        <w:r>
          <w:rPr>
            <w:rStyle w:val="Hyperlink"/>
          </w:rPr>
          <w:t>Approval policy goals and enforcement examples</w:t>
        </w:r>
        <w:r>
          <w:tab/>
        </w:r>
        <w:r>
          <w:fldChar w:fldCharType="begin"/>
        </w:r>
        <w:r>
          <w:instrText xml:space="preserve"> PAGEREF _Toc256000776 \h </w:instrText>
        </w:r>
        <w:r>
          <w:fldChar w:fldCharType="separate"/>
        </w:r>
        <w:r>
          <w:t>148</w:t>
        </w:r>
        <w:r>
          <w:fldChar w:fldCharType="end"/>
        </w:r>
      </w:hyperlink>
    </w:p>
    <w:p>
      <w:pPr>
        <w:pStyle w:val="TOC2"/>
        <w:tabs>
          <w:tab w:val="right" w:leader="dot" w:pos="9950"/>
        </w:tabs>
        <w:rPr>
          <w:rFonts w:asciiTheme="minorHAnsi" w:hAnsiTheme="minorHAnsi"/>
          <w:noProof/>
          <w:sz w:val="22"/>
        </w:rPr>
      </w:pPr>
      <w:hyperlink w:anchor="_Toc256000777" w:history="1">
        <w:r>
          <w:rPr>
            <w:rStyle w:val="Hyperlink"/>
          </w:rPr>
          <w:t>Provisioning Resources in VCF Automation</w:t>
        </w:r>
        <w:r>
          <w:tab/>
        </w:r>
        <w:r>
          <w:fldChar w:fldCharType="begin"/>
        </w:r>
        <w:r>
          <w:instrText xml:space="preserve"> PAGEREF _Toc256000777 \h </w:instrText>
        </w:r>
        <w:r>
          <w:fldChar w:fldCharType="separate"/>
        </w:r>
        <w:r>
          <w:t>149</w:t>
        </w:r>
        <w:r>
          <w:fldChar w:fldCharType="end"/>
        </w:r>
      </w:hyperlink>
    </w:p>
    <w:p>
      <w:pPr>
        <w:pStyle w:val="TOC3"/>
        <w:tabs>
          <w:tab w:val="right" w:leader="dot" w:pos="9950"/>
        </w:tabs>
        <w:rPr>
          <w:rFonts w:asciiTheme="minorHAnsi" w:hAnsiTheme="minorHAnsi"/>
          <w:noProof/>
          <w:sz w:val="22"/>
        </w:rPr>
      </w:pPr>
      <w:hyperlink w:anchor="_Toc256000778" w:history="1">
        <w:r>
          <w:rPr>
            <w:rStyle w:val="Hyperlink"/>
          </w:rPr>
          <w:t>Provisioning Resources Using Blueprints</w:t>
        </w:r>
        <w:r>
          <w:tab/>
        </w:r>
        <w:r>
          <w:fldChar w:fldCharType="begin"/>
        </w:r>
        <w:r>
          <w:instrText xml:space="preserve"> PAGEREF _Toc256000778 \h </w:instrText>
        </w:r>
        <w:r>
          <w:fldChar w:fldCharType="separate"/>
        </w:r>
        <w:r>
          <w:t>149</w:t>
        </w:r>
        <w:r>
          <w:fldChar w:fldCharType="end"/>
        </w:r>
      </w:hyperlink>
    </w:p>
    <w:p>
      <w:pPr>
        <w:pStyle w:val="TOC3"/>
        <w:tabs>
          <w:tab w:val="right" w:leader="dot" w:pos="9950"/>
        </w:tabs>
        <w:rPr>
          <w:rFonts w:asciiTheme="minorHAnsi" w:hAnsiTheme="minorHAnsi"/>
          <w:noProof/>
          <w:sz w:val="22"/>
        </w:rPr>
      </w:pPr>
      <w:hyperlink w:anchor="_Toc256000779" w:history="1">
        <w:r>
          <w:rPr>
            <w:rStyle w:val="Hyperlink"/>
          </w:rPr>
          <w:t>Provisioning Resources Using the IaaS Services Console</w:t>
        </w:r>
        <w:r>
          <w:tab/>
        </w:r>
        <w:r>
          <w:fldChar w:fldCharType="begin"/>
        </w:r>
        <w:r>
          <w:instrText xml:space="preserve"> PAGEREF _Toc256000779 \h </w:instrText>
        </w:r>
        <w:r>
          <w:fldChar w:fldCharType="separate"/>
        </w:r>
        <w:r>
          <w:t>150</w:t>
        </w:r>
        <w:r>
          <w:fldChar w:fldCharType="end"/>
        </w:r>
      </w:hyperlink>
    </w:p>
    <w:p>
      <w:pPr>
        <w:pStyle w:val="TOC3"/>
        <w:tabs>
          <w:tab w:val="right" w:leader="dot" w:pos="9950"/>
        </w:tabs>
        <w:rPr>
          <w:rFonts w:asciiTheme="minorHAnsi" w:hAnsiTheme="minorHAnsi"/>
          <w:noProof/>
          <w:sz w:val="22"/>
        </w:rPr>
      </w:pPr>
      <w:hyperlink w:anchor="_Toc256000780" w:history="1">
        <w:r>
          <w:rPr>
            <w:rStyle w:val="Hyperlink"/>
          </w:rPr>
          <w:t>Requesting an Item from the Catalog in VCF Automation</w:t>
        </w:r>
        <w:r>
          <w:tab/>
        </w:r>
        <w:r>
          <w:fldChar w:fldCharType="begin"/>
        </w:r>
        <w:r>
          <w:instrText xml:space="preserve"> PAGEREF _Toc256000780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0781" w:history="1">
        <w:r>
          <w:rPr>
            <w:rStyle w:val="Hyperlink"/>
          </w:rPr>
          <w:t>Who Works with the Catalog</w:t>
        </w:r>
        <w:r>
          <w:tab/>
        </w:r>
        <w:r>
          <w:fldChar w:fldCharType="begin"/>
        </w:r>
        <w:r>
          <w:instrText xml:space="preserve"> PAGEREF _Toc256000781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0782" w:history="1">
        <w:r>
          <w:rPr>
            <w:rStyle w:val="Hyperlink"/>
          </w:rPr>
          <w:t>Managing Deployed Instances in VCF Automation</w:t>
        </w:r>
        <w:r>
          <w:tab/>
        </w:r>
        <w:r>
          <w:fldChar w:fldCharType="begin"/>
        </w:r>
        <w:r>
          <w:instrText xml:space="preserve"> PAGEREF _Toc256000782 \h </w:instrText>
        </w:r>
        <w:r>
          <w:fldChar w:fldCharType="separate"/>
        </w:r>
        <w:r>
          <w:t>150</w:t>
        </w:r>
        <w:r>
          <w:fldChar w:fldCharType="end"/>
        </w:r>
      </w:hyperlink>
    </w:p>
    <w:p>
      <w:pPr>
        <w:pStyle w:val="TOC3"/>
        <w:tabs>
          <w:tab w:val="right" w:leader="dot" w:pos="9950"/>
        </w:tabs>
        <w:rPr>
          <w:rFonts w:asciiTheme="minorHAnsi" w:hAnsiTheme="minorHAnsi"/>
          <w:noProof/>
          <w:sz w:val="22"/>
        </w:rPr>
      </w:pPr>
      <w:hyperlink w:anchor="_Toc256000783" w:history="1">
        <w:r>
          <w:rPr>
            <w:rStyle w:val="Hyperlink"/>
          </w:rPr>
          <w:t>Using the Self-Service IaaS Console in VCF Automation</w:t>
        </w:r>
        <w:r>
          <w:tab/>
        </w:r>
        <w:r>
          <w:fldChar w:fldCharType="begin"/>
        </w:r>
        <w:r>
          <w:instrText xml:space="preserve"> PAGEREF _Toc256000783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0784" w:history="1">
        <w:r>
          <w:rPr>
            <w:rStyle w:val="Hyperlink"/>
          </w:rPr>
          <w:t>Who Works with the IaaS Services Console</w:t>
        </w:r>
        <w:r>
          <w:tab/>
        </w:r>
        <w:r>
          <w:fldChar w:fldCharType="begin"/>
        </w:r>
        <w:r>
          <w:instrText xml:space="preserve"> PAGEREF _Toc256000784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0785" w:history="1">
        <w:r>
          <w:rPr>
            <w:rStyle w:val="Hyperlink"/>
          </w:rPr>
          <w:t>What IaaS Services Are Supported</w:t>
        </w:r>
        <w:r>
          <w:tab/>
        </w:r>
        <w:r>
          <w:fldChar w:fldCharType="begin"/>
        </w:r>
        <w:r>
          <w:instrText xml:space="preserve"> PAGEREF _Toc256000785 \h </w:instrText>
        </w:r>
        <w:r>
          <w:fldChar w:fldCharType="separate"/>
        </w:r>
        <w:r>
          <w:t>151</w:t>
        </w:r>
        <w:r>
          <w:fldChar w:fldCharType="end"/>
        </w:r>
      </w:hyperlink>
    </w:p>
    <w:p>
      <w:pPr>
        <w:pStyle w:val="TOC2"/>
        <w:tabs>
          <w:tab w:val="right" w:leader="dot" w:pos="9950"/>
        </w:tabs>
        <w:rPr>
          <w:rFonts w:asciiTheme="minorHAnsi" w:hAnsiTheme="minorHAnsi"/>
          <w:noProof/>
          <w:sz w:val="22"/>
        </w:rPr>
      </w:pPr>
      <w:hyperlink w:anchor="_Toc256000786" w:history="1">
        <w:r>
          <w:rPr>
            <w:rStyle w:val="Hyperlink"/>
          </w:rPr>
          <w:t>Administering VCF Automation Organizations</w:t>
        </w:r>
        <w:r>
          <w:tab/>
        </w:r>
        <w:r>
          <w:fldChar w:fldCharType="begin"/>
        </w:r>
        <w:r>
          <w:instrText xml:space="preserve"> PAGEREF _Toc256000786 \h </w:instrText>
        </w:r>
        <w:r>
          <w:fldChar w:fldCharType="separate"/>
        </w:r>
        <w:r>
          <w:t>151</w:t>
        </w:r>
        <w:r>
          <w:fldChar w:fldCharType="end"/>
        </w:r>
      </w:hyperlink>
    </w:p>
    <w:p>
      <w:pPr>
        <w:pStyle w:val="TOC3"/>
        <w:tabs>
          <w:tab w:val="right" w:leader="dot" w:pos="9950"/>
        </w:tabs>
        <w:rPr>
          <w:rFonts w:asciiTheme="minorHAnsi" w:hAnsiTheme="minorHAnsi"/>
          <w:noProof/>
          <w:sz w:val="22"/>
        </w:rPr>
      </w:pPr>
      <w:hyperlink w:anchor="_Toc256000787" w:history="1">
        <w:r>
          <w:rPr>
            <w:rStyle w:val="Hyperlink"/>
          </w:rPr>
          <w:t>Integrating VCF Automation with Other Applications</w:t>
        </w:r>
        <w:r>
          <w:tab/>
        </w:r>
        <w:r>
          <w:fldChar w:fldCharType="begin"/>
        </w:r>
        <w:r>
          <w:instrText xml:space="preserve"> PAGEREF _Toc256000787 \h </w:instrText>
        </w:r>
        <w:r>
          <w:fldChar w:fldCharType="separate"/>
        </w:r>
        <w:r>
          <w:t>151</w:t>
        </w:r>
        <w:r>
          <w:fldChar w:fldCharType="end"/>
        </w:r>
      </w:hyperlink>
    </w:p>
    <w:p>
      <w:pPr>
        <w:pStyle w:val="TOC4"/>
        <w:tabs>
          <w:tab w:val="right" w:leader="dot" w:pos="9950"/>
        </w:tabs>
        <w:rPr>
          <w:rFonts w:asciiTheme="minorHAnsi" w:hAnsiTheme="minorHAnsi"/>
          <w:noProof/>
          <w:sz w:val="22"/>
        </w:rPr>
      </w:pPr>
      <w:hyperlink w:anchor="_Toc256000788" w:history="1">
        <w:r>
          <w:rPr>
            <w:rStyle w:val="Hyperlink"/>
          </w:rPr>
          <w:t>Integrate VCF Automation with Git</w:t>
        </w:r>
        <w:r>
          <w:tab/>
        </w:r>
        <w:r>
          <w:fldChar w:fldCharType="begin"/>
        </w:r>
        <w:r>
          <w:instrText xml:space="preserve"> PAGEREF _Toc256000788 \h </w:instrText>
        </w:r>
        <w:r>
          <w:fldChar w:fldCharType="separate"/>
        </w:r>
        <w:r>
          <w:t>151</w:t>
        </w:r>
        <w:r>
          <w:fldChar w:fldCharType="end"/>
        </w:r>
      </w:hyperlink>
    </w:p>
    <w:p>
      <w:pPr>
        <w:pStyle w:val="TOC4"/>
        <w:tabs>
          <w:tab w:val="right" w:leader="dot" w:pos="9950"/>
        </w:tabs>
        <w:rPr>
          <w:rFonts w:asciiTheme="minorHAnsi" w:hAnsiTheme="minorHAnsi"/>
          <w:noProof/>
          <w:sz w:val="22"/>
        </w:rPr>
      </w:pPr>
      <w:hyperlink w:anchor="_Toc256000789" w:history="1">
        <w:r>
          <w:rPr>
            <w:rStyle w:val="Hyperlink"/>
          </w:rPr>
          <w:t>Integrate VCF Automation with VCF Operations orchestrator</w:t>
        </w:r>
        <w:r>
          <w:tab/>
        </w:r>
        <w:r>
          <w:fldChar w:fldCharType="begin"/>
        </w:r>
        <w:r>
          <w:instrText xml:space="preserve"> PAGEREF _Toc256000789 \h </w:instrText>
        </w:r>
        <w:r>
          <w:fldChar w:fldCharType="separate"/>
        </w:r>
        <w:r>
          <w:t>156</w:t>
        </w:r>
        <w:r>
          <w:fldChar w:fldCharType="end"/>
        </w:r>
      </w:hyperlink>
    </w:p>
    <w:p>
      <w:pPr>
        <w:pStyle w:val="TOC3"/>
        <w:tabs>
          <w:tab w:val="right" w:leader="dot" w:pos="9950"/>
        </w:tabs>
        <w:rPr>
          <w:rFonts w:asciiTheme="minorHAnsi" w:hAnsiTheme="minorHAnsi"/>
          <w:noProof/>
          <w:sz w:val="22"/>
        </w:rPr>
      </w:pPr>
      <w:hyperlink w:anchor="_Toc256000790" w:history="1">
        <w:r>
          <w:rPr>
            <w:rStyle w:val="Hyperlink"/>
          </w:rPr>
          <w:t>Terraform Configuration in VCF Automation</w:t>
        </w:r>
        <w:r>
          <w:tab/>
        </w:r>
        <w:r>
          <w:fldChar w:fldCharType="begin"/>
        </w:r>
        <w:r>
          <w:instrText xml:space="preserve"> PAGEREF _Toc256000790 \h </w:instrText>
        </w:r>
        <w:r>
          <w:fldChar w:fldCharType="separate"/>
        </w:r>
        <w:r>
          <w:t>158</w:t>
        </w:r>
        <w:r>
          <w:fldChar w:fldCharType="end"/>
        </w:r>
      </w:hyperlink>
    </w:p>
    <w:p>
      <w:pPr>
        <w:pStyle w:val="TOC4"/>
        <w:tabs>
          <w:tab w:val="right" w:leader="dot" w:pos="9950"/>
        </w:tabs>
        <w:rPr>
          <w:rFonts w:asciiTheme="minorHAnsi" w:hAnsiTheme="minorHAnsi"/>
          <w:noProof/>
          <w:sz w:val="22"/>
        </w:rPr>
      </w:pPr>
      <w:hyperlink w:anchor="_Toc256000791" w:history="1">
        <w:r>
          <w:rPr>
            <w:rStyle w:val="Hyperlink"/>
          </w:rPr>
          <w:t>Terraform providers by VCF Automation role</w:t>
        </w:r>
        <w:r>
          <w:tab/>
        </w:r>
        <w:r>
          <w:fldChar w:fldCharType="begin"/>
        </w:r>
        <w:r>
          <w:instrText xml:space="preserve"> PAGEREF _Toc256000791 \h </w:instrText>
        </w:r>
        <w:r>
          <w:fldChar w:fldCharType="separate"/>
        </w:r>
        <w:r>
          <w:t>159</w:t>
        </w:r>
        <w:r>
          <w:fldChar w:fldCharType="end"/>
        </w:r>
      </w:hyperlink>
    </w:p>
    <w:p>
      <w:pPr>
        <w:pStyle w:val="TOC3"/>
        <w:tabs>
          <w:tab w:val="right" w:leader="dot" w:pos="9950"/>
        </w:tabs>
        <w:rPr>
          <w:rFonts w:asciiTheme="minorHAnsi" w:hAnsiTheme="minorHAnsi"/>
          <w:noProof/>
          <w:sz w:val="22"/>
        </w:rPr>
      </w:pPr>
      <w:hyperlink w:anchor="_Toc256000792" w:history="1">
        <w:r>
          <w:rPr>
            <w:rStyle w:val="Hyperlink"/>
          </w:rPr>
          <w:t>Managing Certificates in VCF Automation</w:t>
        </w:r>
        <w:r>
          <w:tab/>
        </w:r>
        <w:r>
          <w:fldChar w:fldCharType="begin"/>
        </w:r>
        <w:r>
          <w:instrText xml:space="preserve"> PAGEREF _Toc256000792 \h </w:instrText>
        </w:r>
        <w:r>
          <w:fldChar w:fldCharType="separate"/>
        </w:r>
        <w:r>
          <w:t>159</w:t>
        </w:r>
        <w:r>
          <w:fldChar w:fldCharType="end"/>
        </w:r>
      </w:hyperlink>
    </w:p>
    <w:p>
      <w:pPr>
        <w:pStyle w:val="TOC4"/>
        <w:tabs>
          <w:tab w:val="right" w:leader="dot" w:pos="9950"/>
        </w:tabs>
        <w:rPr>
          <w:rFonts w:asciiTheme="minorHAnsi" w:hAnsiTheme="minorHAnsi"/>
          <w:noProof/>
          <w:sz w:val="22"/>
        </w:rPr>
      </w:pPr>
      <w:hyperlink w:anchor="_Toc256000793" w:history="1">
        <w:r>
          <w:rPr>
            <w:rStyle w:val="Hyperlink"/>
          </w:rPr>
          <w:t>Trusted Certificates</w:t>
        </w:r>
        <w:r>
          <w:tab/>
        </w:r>
        <w:r>
          <w:fldChar w:fldCharType="begin"/>
        </w:r>
        <w:r>
          <w:instrText xml:space="preserve"> PAGEREF _Toc256000793 \h </w:instrText>
        </w:r>
        <w:r>
          <w:fldChar w:fldCharType="separate"/>
        </w:r>
        <w:r>
          <w:t>159</w:t>
        </w:r>
        <w:r>
          <w:fldChar w:fldCharType="end"/>
        </w:r>
      </w:hyperlink>
    </w:p>
    <w:p>
      <w:pPr>
        <w:pStyle w:val="TOC4"/>
        <w:tabs>
          <w:tab w:val="right" w:leader="dot" w:pos="9950"/>
        </w:tabs>
        <w:rPr>
          <w:rFonts w:asciiTheme="minorHAnsi" w:hAnsiTheme="minorHAnsi"/>
          <w:noProof/>
          <w:sz w:val="22"/>
        </w:rPr>
      </w:pPr>
      <w:hyperlink w:anchor="_Toc256000794" w:history="1">
        <w:r>
          <w:rPr>
            <w:rStyle w:val="Hyperlink"/>
          </w:rPr>
          <w:t>Certificate library</w:t>
        </w:r>
        <w:r>
          <w:tab/>
        </w:r>
        <w:r>
          <w:fldChar w:fldCharType="begin"/>
        </w:r>
        <w:r>
          <w:instrText xml:space="preserve"> PAGEREF _Toc256000794 \h </w:instrText>
        </w:r>
        <w:r>
          <w:fldChar w:fldCharType="separate"/>
        </w:r>
        <w:r>
          <w:t>159</w:t>
        </w:r>
        <w:r>
          <w:fldChar w:fldCharType="end"/>
        </w:r>
      </w:hyperlink>
    </w:p>
    <w:p>
      <w:pPr>
        <w:pStyle w:val="TOC3"/>
        <w:tabs>
          <w:tab w:val="right" w:leader="dot" w:pos="9950"/>
        </w:tabs>
        <w:rPr>
          <w:rFonts w:asciiTheme="minorHAnsi" w:hAnsiTheme="minorHAnsi"/>
          <w:noProof/>
          <w:sz w:val="22"/>
        </w:rPr>
      </w:pPr>
      <w:hyperlink w:anchor="_Toc256000795" w:history="1">
        <w:r>
          <w:rPr>
            <w:rStyle w:val="Hyperlink"/>
          </w:rPr>
          <w:t>Managing Secrets in VCF Automation</w:t>
        </w:r>
        <w:r>
          <w:tab/>
        </w:r>
        <w:r>
          <w:fldChar w:fldCharType="begin"/>
        </w:r>
        <w:r>
          <w:instrText xml:space="preserve"> PAGEREF _Toc256000795 \h </w:instrText>
        </w:r>
        <w:r>
          <w:fldChar w:fldCharType="separate"/>
        </w:r>
        <w:r>
          <w:t>159</w:t>
        </w:r>
        <w:r>
          <w:fldChar w:fldCharType="end"/>
        </w:r>
      </w:hyperlink>
    </w:p>
    <w:p>
      <w:pPr>
        <w:pStyle w:val="TOC4"/>
        <w:tabs>
          <w:tab w:val="right" w:leader="dot" w:pos="9950"/>
        </w:tabs>
        <w:rPr>
          <w:rFonts w:asciiTheme="minorHAnsi" w:hAnsiTheme="minorHAnsi"/>
          <w:noProof/>
          <w:sz w:val="22"/>
        </w:rPr>
      </w:pPr>
      <w:hyperlink w:anchor="_Toc256000796" w:history="1">
        <w:r>
          <w:rPr>
            <w:rStyle w:val="Hyperlink"/>
          </w:rPr>
          <w:t>Create a secret</w:t>
        </w:r>
        <w:r>
          <w:tab/>
        </w:r>
        <w:r>
          <w:fldChar w:fldCharType="begin"/>
        </w:r>
        <w:r>
          <w:instrText xml:space="preserve"> PAGEREF _Toc256000796 \h </w:instrText>
        </w:r>
        <w:r>
          <w:fldChar w:fldCharType="separate"/>
        </w:r>
        <w:r>
          <w:t>159</w:t>
        </w:r>
        <w:r>
          <w:fldChar w:fldCharType="end"/>
        </w:r>
      </w:hyperlink>
    </w:p>
    <w:p>
      <w:pPr>
        <w:pStyle w:val="TOC4"/>
        <w:tabs>
          <w:tab w:val="right" w:leader="dot" w:pos="9950"/>
        </w:tabs>
        <w:rPr>
          <w:rFonts w:asciiTheme="minorHAnsi" w:hAnsiTheme="minorHAnsi"/>
          <w:noProof/>
          <w:sz w:val="22"/>
        </w:rPr>
      </w:pPr>
      <w:hyperlink w:anchor="_Toc256000797" w:history="1">
        <w:r>
          <w:rPr>
            <w:rStyle w:val="Hyperlink"/>
          </w:rPr>
          <w:t>Adding a secret to a blueprint</w:t>
        </w:r>
        <w:r>
          <w:tab/>
        </w:r>
        <w:r>
          <w:fldChar w:fldCharType="begin"/>
        </w:r>
        <w:r>
          <w:instrText xml:space="preserve"> PAGEREF _Toc256000797 \h </w:instrText>
        </w:r>
        <w:r>
          <w:fldChar w:fldCharType="separate"/>
        </w:r>
        <w:r>
          <w:t>160</w:t>
        </w:r>
        <w:r>
          <w:fldChar w:fldCharType="end"/>
        </w:r>
      </w:hyperlink>
    </w:p>
    <w:p>
      <w:pPr>
        <w:pStyle w:val="TOC4"/>
        <w:tabs>
          <w:tab w:val="right" w:leader="dot" w:pos="9950"/>
        </w:tabs>
        <w:rPr>
          <w:rFonts w:asciiTheme="minorHAnsi" w:hAnsiTheme="minorHAnsi"/>
          <w:noProof/>
          <w:sz w:val="22"/>
        </w:rPr>
      </w:pPr>
      <w:hyperlink w:anchor="_Toc256000798" w:history="1">
        <w:r>
          <w:rPr>
            <w:rStyle w:val="Hyperlink"/>
          </w:rPr>
          <w:t>Remote Access to a VCF Automation Deployment</w:t>
        </w:r>
        <w:r>
          <w:tab/>
        </w:r>
        <w:r>
          <w:fldChar w:fldCharType="begin"/>
        </w:r>
        <w:r>
          <w:instrText xml:space="preserve"> PAGEREF _Toc256000798 \h </w:instrText>
        </w:r>
        <w:r>
          <w:fldChar w:fldCharType="separate"/>
        </w:r>
        <w:r>
          <w:t>160</w:t>
        </w:r>
        <w:r>
          <w:fldChar w:fldCharType="end"/>
        </w:r>
      </w:hyperlink>
    </w:p>
    <w:p>
      <w:pPr>
        <w:pStyle w:val="TOC3"/>
        <w:tabs>
          <w:tab w:val="right" w:leader="dot" w:pos="9950"/>
        </w:tabs>
        <w:rPr>
          <w:rFonts w:asciiTheme="minorHAnsi" w:hAnsiTheme="minorHAnsi"/>
          <w:noProof/>
          <w:sz w:val="22"/>
        </w:rPr>
      </w:pPr>
      <w:hyperlink w:anchor="_Toc256000799" w:history="1">
        <w:r>
          <w:rPr>
            <w:rStyle w:val="Hyperlink"/>
          </w:rPr>
          <w:t>Display Full User Names in VCF Automation</w:t>
        </w:r>
        <w:r>
          <w:tab/>
        </w:r>
        <w:r>
          <w:fldChar w:fldCharType="begin"/>
        </w:r>
        <w:r>
          <w:instrText xml:space="preserve"> PAGEREF _Toc256000799 \h </w:instrText>
        </w:r>
        <w:r>
          <w:fldChar w:fldCharType="separate"/>
        </w:r>
        <w:r>
          <w:t>162</w:t>
        </w:r>
        <w:r>
          <w:fldChar w:fldCharType="end"/>
        </w:r>
      </w:hyperlink>
    </w:p>
    <w:p>
      <w:pPr>
        <w:pStyle w:val="TOC3"/>
        <w:tabs>
          <w:tab w:val="right" w:leader="dot" w:pos="9950"/>
        </w:tabs>
        <w:rPr>
          <w:rFonts w:asciiTheme="minorHAnsi" w:hAnsiTheme="minorHAnsi"/>
          <w:noProof/>
          <w:sz w:val="22"/>
        </w:rPr>
      </w:pPr>
      <w:hyperlink w:anchor="_Toc256000800" w:history="1">
        <w:r>
          <w:rPr>
            <w:rStyle w:val="Hyperlink"/>
          </w:rPr>
          <w:t>Send Email Notifications to Users in VCF Automation</w:t>
        </w:r>
        <w:r>
          <w:tab/>
        </w:r>
        <w:r>
          <w:fldChar w:fldCharType="begin"/>
        </w:r>
        <w:r>
          <w:instrText xml:space="preserve"> PAGEREF _Toc256000800 \h </w:instrText>
        </w:r>
        <w:r>
          <w:fldChar w:fldCharType="separate"/>
        </w:r>
        <w:r>
          <w:t>163</w:t>
        </w:r>
        <w:r>
          <w:fldChar w:fldCharType="end"/>
        </w:r>
      </w:hyperlink>
    </w:p>
    <w:p>
      <w:pPr>
        <w:pStyle w:val="TOC4"/>
        <w:tabs>
          <w:tab w:val="right" w:leader="dot" w:pos="9950"/>
        </w:tabs>
        <w:rPr>
          <w:rFonts w:asciiTheme="minorHAnsi" w:hAnsiTheme="minorHAnsi"/>
          <w:noProof/>
          <w:sz w:val="22"/>
        </w:rPr>
      </w:pPr>
      <w:hyperlink w:anchor="_Toc256000801" w:history="1">
        <w:r>
          <w:rPr>
            <w:rStyle w:val="Hyperlink"/>
          </w:rPr>
          <w:t>Customize Email Notifications to Users in VCF Automation</w:t>
        </w:r>
        <w:r>
          <w:tab/>
        </w:r>
        <w:r>
          <w:fldChar w:fldCharType="begin"/>
        </w:r>
        <w:r>
          <w:instrText xml:space="preserve"> PAGEREF _Toc256000801 \h </w:instrText>
        </w:r>
        <w:r>
          <w:fldChar w:fldCharType="separate"/>
        </w:r>
        <w:r>
          <w:t>164</w:t>
        </w:r>
        <w:r>
          <w:fldChar w:fldCharType="end"/>
        </w:r>
      </w:hyperlink>
    </w:p>
    <w:p>
      <w:pPr>
        <w:pStyle w:val="TOC4"/>
        <w:tabs>
          <w:tab w:val="right" w:leader="dot" w:pos="9950"/>
        </w:tabs>
        <w:rPr>
          <w:rFonts w:asciiTheme="minorHAnsi" w:hAnsiTheme="minorHAnsi"/>
          <w:noProof/>
          <w:sz w:val="22"/>
        </w:rPr>
      </w:pPr>
      <w:hyperlink w:anchor="_Toc256000802" w:history="1">
        <w:r>
          <w:rPr>
            <w:rStyle w:val="Hyperlink"/>
          </w:rPr>
          <w:t>Add an Email Server in VCF Automation to Send Notifications</w:t>
        </w:r>
        <w:r>
          <w:tab/>
        </w:r>
        <w:r>
          <w:fldChar w:fldCharType="begin"/>
        </w:r>
        <w:r>
          <w:instrText xml:space="preserve"> PAGEREF _Toc256000802 \h </w:instrText>
        </w:r>
        <w:r>
          <w:fldChar w:fldCharType="separate"/>
        </w:r>
        <w:r>
          <w:t>166</w:t>
        </w:r>
        <w:r>
          <w:fldChar w:fldCharType="end"/>
        </w:r>
      </w:hyperlink>
    </w:p>
    <w:p>
      <w:pPr>
        <w:pStyle w:val="TOC3"/>
        <w:tabs>
          <w:tab w:val="right" w:leader="dot" w:pos="9950"/>
        </w:tabs>
        <w:rPr>
          <w:rFonts w:asciiTheme="minorHAnsi" w:hAnsiTheme="minorHAnsi"/>
          <w:noProof/>
          <w:sz w:val="22"/>
        </w:rPr>
      </w:pPr>
      <w:hyperlink w:anchor="_Toc256000803" w:history="1">
        <w:r>
          <w:rPr>
            <w:rStyle w:val="Hyperlink"/>
          </w:rPr>
          <w:t>Working with Audit Logs in VCF Automation</w:t>
        </w:r>
        <w:r>
          <w:tab/>
        </w:r>
        <w:r>
          <w:fldChar w:fldCharType="begin"/>
        </w:r>
        <w:r>
          <w:instrText xml:space="preserve"> PAGEREF _Toc256000803 \h </w:instrText>
        </w:r>
        <w:r>
          <w:fldChar w:fldCharType="separate"/>
        </w:r>
        <w:r>
          <w:t>166</w:t>
        </w:r>
        <w:r>
          <w:fldChar w:fldCharType="end"/>
        </w:r>
      </w:hyperlink>
    </w:p>
    <w:p>
      <w:pPr>
        <w:pStyle w:val="TOC4"/>
        <w:tabs>
          <w:tab w:val="right" w:leader="dot" w:pos="9950"/>
        </w:tabs>
        <w:rPr>
          <w:rFonts w:asciiTheme="minorHAnsi" w:hAnsiTheme="minorHAnsi"/>
          <w:noProof/>
          <w:sz w:val="22"/>
        </w:rPr>
      </w:pPr>
      <w:hyperlink w:anchor="_Toc256000804" w:history="1">
        <w:r>
          <w:rPr>
            <w:rStyle w:val="Hyperlink"/>
          </w:rPr>
          <w:t>Searching, displaying, and exporting an audit log</w:t>
        </w:r>
        <w:r>
          <w:tab/>
        </w:r>
        <w:r>
          <w:fldChar w:fldCharType="begin"/>
        </w:r>
        <w:r>
          <w:instrText xml:space="preserve"> PAGEREF _Toc256000804 \h </w:instrText>
        </w:r>
        <w:r>
          <w:fldChar w:fldCharType="separate"/>
        </w:r>
        <w:r>
          <w:t>167</w:t>
        </w:r>
        <w:r>
          <w:fldChar w:fldCharType="end"/>
        </w:r>
      </w:hyperlink>
    </w:p>
    <w:p>
      <w:pPr>
        <w:pStyle w:val="TOC2"/>
        <w:tabs>
          <w:tab w:val="right" w:leader="dot" w:pos="9950"/>
        </w:tabs>
        <w:rPr>
          <w:rFonts w:asciiTheme="minorHAnsi" w:hAnsiTheme="minorHAnsi"/>
          <w:noProof/>
          <w:sz w:val="22"/>
        </w:rPr>
      </w:pPr>
      <w:hyperlink w:anchor="_Toc256000805" w:history="1">
        <w:r>
          <w:rPr>
            <w:rStyle w:val="Hyperlink"/>
          </w:rPr>
          <w:t>Managing VKS Clusters with VKS Cluster Management</w:t>
        </w:r>
        <w:r>
          <w:tab/>
        </w:r>
        <w:r>
          <w:fldChar w:fldCharType="begin"/>
        </w:r>
        <w:r>
          <w:instrText xml:space="preserve"> PAGEREF _Toc256000805 \h </w:instrText>
        </w:r>
        <w:r>
          <w:fldChar w:fldCharType="separate"/>
        </w:r>
        <w:r>
          <w:t>167</w:t>
        </w:r>
        <w:r>
          <w:fldChar w:fldCharType="end"/>
        </w:r>
      </w:hyperlink>
    </w:p>
    <w:p>
      <w:pPr>
        <w:pStyle w:val="TOC3"/>
        <w:tabs>
          <w:tab w:val="right" w:leader="dot" w:pos="9950"/>
        </w:tabs>
        <w:rPr>
          <w:rFonts w:asciiTheme="minorHAnsi" w:hAnsiTheme="minorHAnsi"/>
          <w:noProof/>
          <w:sz w:val="22"/>
        </w:rPr>
      </w:pPr>
      <w:hyperlink w:anchor="_Toc256000806" w:history="1">
        <w:r>
          <w:rPr>
            <w:rStyle w:val="Hyperlink"/>
          </w:rPr>
          <w:t>VKS Cluster Management Overview</w:t>
        </w:r>
        <w:r>
          <w:tab/>
        </w:r>
        <w:r>
          <w:fldChar w:fldCharType="begin"/>
        </w:r>
        <w:r>
          <w:instrText xml:space="preserve"> PAGEREF _Toc256000806 \h </w:instrText>
        </w:r>
        <w:r>
          <w:fldChar w:fldCharType="separate"/>
        </w:r>
        <w:r>
          <w:t>167</w:t>
        </w:r>
        <w:r>
          <w:fldChar w:fldCharType="end"/>
        </w:r>
      </w:hyperlink>
    </w:p>
    <w:p>
      <w:pPr>
        <w:pStyle w:val="TOC4"/>
        <w:tabs>
          <w:tab w:val="right" w:leader="dot" w:pos="9950"/>
        </w:tabs>
        <w:rPr>
          <w:rFonts w:asciiTheme="minorHAnsi" w:hAnsiTheme="minorHAnsi"/>
          <w:noProof/>
          <w:sz w:val="22"/>
        </w:rPr>
      </w:pPr>
      <w:hyperlink w:anchor="_Toc256000807" w:history="1">
        <w:r>
          <w:rPr>
            <w:rStyle w:val="Hyperlink"/>
          </w:rPr>
          <w:t>VKS Cluster Management Architecture</w:t>
        </w:r>
        <w:r>
          <w:tab/>
        </w:r>
        <w:r>
          <w:fldChar w:fldCharType="begin"/>
        </w:r>
        <w:r>
          <w:instrText xml:space="preserve"> PAGEREF _Toc256000807 \h </w:instrText>
        </w:r>
        <w:r>
          <w:fldChar w:fldCharType="separate"/>
        </w:r>
        <w:r>
          <w:t>168</w:t>
        </w:r>
        <w:r>
          <w:fldChar w:fldCharType="end"/>
        </w:r>
      </w:hyperlink>
    </w:p>
    <w:p>
      <w:pPr>
        <w:pStyle w:val="TOC4"/>
        <w:tabs>
          <w:tab w:val="right" w:leader="dot" w:pos="9950"/>
        </w:tabs>
        <w:rPr>
          <w:rFonts w:asciiTheme="minorHAnsi" w:hAnsiTheme="minorHAnsi"/>
          <w:noProof/>
          <w:sz w:val="22"/>
        </w:rPr>
      </w:pPr>
      <w:hyperlink w:anchor="_Toc256000808" w:history="1">
        <w:r>
          <w:rPr>
            <w:rStyle w:val="Hyperlink"/>
          </w:rPr>
          <w:t>What Is a VKS Cluster?</w:t>
        </w:r>
        <w:r>
          <w:tab/>
        </w:r>
        <w:r>
          <w:fldChar w:fldCharType="begin"/>
        </w:r>
        <w:r>
          <w:instrText xml:space="preserve"> PAGEREF _Toc256000808 \h </w:instrText>
        </w:r>
        <w:r>
          <w:fldChar w:fldCharType="separate"/>
        </w:r>
        <w:r>
          <w:t>169</w:t>
        </w:r>
        <w:r>
          <w:fldChar w:fldCharType="end"/>
        </w:r>
      </w:hyperlink>
    </w:p>
    <w:p>
      <w:pPr>
        <w:pStyle w:val="TOC4"/>
        <w:tabs>
          <w:tab w:val="right" w:leader="dot" w:pos="9950"/>
        </w:tabs>
        <w:rPr>
          <w:rFonts w:asciiTheme="minorHAnsi" w:hAnsiTheme="minorHAnsi"/>
          <w:noProof/>
          <w:sz w:val="22"/>
        </w:rPr>
      </w:pPr>
      <w:hyperlink w:anchor="_Toc256000809" w:history="1">
        <w:r>
          <w:rPr>
            <w:rStyle w:val="Hyperlink"/>
          </w:rPr>
          <w:t>Hierarchy of the Resources That VKS Cluster Management Works With</w:t>
        </w:r>
        <w:r>
          <w:tab/>
        </w:r>
        <w:r>
          <w:fldChar w:fldCharType="begin"/>
        </w:r>
        <w:r>
          <w:instrText xml:space="preserve"> PAGEREF _Toc256000809 \h </w:instrText>
        </w:r>
        <w:r>
          <w:fldChar w:fldCharType="separate"/>
        </w:r>
        <w:r>
          <w:t>172</w:t>
        </w:r>
        <w:r>
          <w:fldChar w:fldCharType="end"/>
        </w:r>
      </w:hyperlink>
    </w:p>
    <w:p>
      <w:pPr>
        <w:pStyle w:val="TOC3"/>
        <w:tabs>
          <w:tab w:val="right" w:leader="dot" w:pos="9950"/>
        </w:tabs>
        <w:rPr>
          <w:rFonts w:asciiTheme="minorHAnsi" w:hAnsiTheme="minorHAnsi"/>
          <w:noProof/>
          <w:sz w:val="22"/>
        </w:rPr>
      </w:pPr>
      <w:hyperlink w:anchor="_Toc256000810" w:history="1">
        <w:r>
          <w:rPr>
            <w:rStyle w:val="Hyperlink"/>
          </w:rPr>
          <w:t>Enabling VKS Cluster Management</w:t>
        </w:r>
        <w:r>
          <w:tab/>
        </w:r>
        <w:r>
          <w:fldChar w:fldCharType="begin"/>
        </w:r>
        <w:r>
          <w:instrText xml:space="preserve"> PAGEREF _Toc256000810 \h </w:instrText>
        </w:r>
        <w:r>
          <w:fldChar w:fldCharType="separate"/>
        </w:r>
        <w:r>
          <w:t>174</w:t>
        </w:r>
        <w:r>
          <w:fldChar w:fldCharType="end"/>
        </w:r>
      </w:hyperlink>
    </w:p>
    <w:p>
      <w:pPr>
        <w:pStyle w:val="TOC4"/>
        <w:tabs>
          <w:tab w:val="right" w:leader="dot" w:pos="9950"/>
        </w:tabs>
        <w:rPr>
          <w:rFonts w:asciiTheme="minorHAnsi" w:hAnsiTheme="minorHAnsi"/>
          <w:noProof/>
          <w:sz w:val="22"/>
        </w:rPr>
      </w:pPr>
      <w:hyperlink w:anchor="_Toc256000811" w:history="1">
        <w:r>
          <w:rPr>
            <w:rStyle w:val="Hyperlink"/>
          </w:rPr>
          <w:t>Dependencies</w:t>
        </w:r>
        <w:r>
          <w:tab/>
        </w:r>
        <w:r>
          <w:fldChar w:fldCharType="begin"/>
        </w:r>
        <w:r>
          <w:instrText xml:space="preserve"> PAGEREF _Toc256000811 \h </w:instrText>
        </w:r>
        <w:r>
          <w:fldChar w:fldCharType="separate"/>
        </w:r>
        <w:r>
          <w:t>174</w:t>
        </w:r>
        <w:r>
          <w:fldChar w:fldCharType="end"/>
        </w:r>
      </w:hyperlink>
    </w:p>
    <w:p>
      <w:pPr>
        <w:pStyle w:val="TOC4"/>
        <w:tabs>
          <w:tab w:val="right" w:leader="dot" w:pos="9950"/>
        </w:tabs>
        <w:rPr>
          <w:rFonts w:asciiTheme="minorHAnsi" w:hAnsiTheme="minorHAnsi"/>
          <w:noProof/>
          <w:sz w:val="22"/>
        </w:rPr>
      </w:pPr>
      <w:hyperlink w:anchor="_Toc256000812" w:history="1">
        <w:r>
          <w:rPr>
            <w:rStyle w:val="Hyperlink"/>
          </w:rPr>
          <w:t>VKS Cluster Management Image Registry</w:t>
        </w:r>
        <w:r>
          <w:tab/>
        </w:r>
        <w:r>
          <w:fldChar w:fldCharType="begin"/>
        </w:r>
        <w:r>
          <w:instrText xml:space="preserve"> PAGEREF _Toc256000812 \h </w:instrText>
        </w:r>
        <w:r>
          <w:fldChar w:fldCharType="separate"/>
        </w:r>
        <w:r>
          <w:t>174</w:t>
        </w:r>
        <w:r>
          <w:fldChar w:fldCharType="end"/>
        </w:r>
      </w:hyperlink>
    </w:p>
    <w:p>
      <w:pPr>
        <w:pStyle w:val="TOC4"/>
        <w:tabs>
          <w:tab w:val="right" w:leader="dot" w:pos="9950"/>
        </w:tabs>
        <w:rPr>
          <w:rFonts w:asciiTheme="minorHAnsi" w:hAnsiTheme="minorHAnsi"/>
          <w:noProof/>
          <w:sz w:val="22"/>
        </w:rPr>
      </w:pPr>
      <w:hyperlink w:anchor="_Toc256000813" w:history="1">
        <w:r>
          <w:rPr>
            <w:rStyle w:val="Hyperlink"/>
          </w:rPr>
          <w:t>Enabling VKS Cluster Management in Air-Gapped Environments</w:t>
        </w:r>
        <w:r>
          <w:tab/>
        </w:r>
        <w:r>
          <w:fldChar w:fldCharType="begin"/>
        </w:r>
        <w:r>
          <w:instrText xml:space="preserve"> PAGEREF _Toc256000813 \h </w:instrText>
        </w:r>
        <w:r>
          <w:fldChar w:fldCharType="separate"/>
        </w:r>
        <w:r>
          <w:t>174</w:t>
        </w:r>
        <w:r>
          <w:fldChar w:fldCharType="end"/>
        </w:r>
      </w:hyperlink>
    </w:p>
    <w:p>
      <w:pPr>
        <w:pStyle w:val="TOC4"/>
        <w:tabs>
          <w:tab w:val="right" w:leader="dot" w:pos="9950"/>
        </w:tabs>
        <w:rPr>
          <w:rFonts w:asciiTheme="minorHAnsi" w:hAnsiTheme="minorHAnsi"/>
          <w:noProof/>
          <w:sz w:val="22"/>
        </w:rPr>
      </w:pPr>
      <w:hyperlink w:anchor="_Toc256000814" w:history="1">
        <w:r>
          <w:rPr>
            <w:rStyle w:val="Hyperlink"/>
          </w:rPr>
          <w:t>What is the Supervisor Auto-Attach Service?</w:t>
        </w:r>
        <w:r>
          <w:tab/>
        </w:r>
        <w:r>
          <w:fldChar w:fldCharType="begin"/>
        </w:r>
        <w:r>
          <w:instrText xml:space="preserve"> PAGEREF _Toc256000814 \h </w:instrText>
        </w:r>
        <w:r>
          <w:fldChar w:fldCharType="separate"/>
        </w:r>
        <w:r>
          <w:t>175</w:t>
        </w:r>
        <w:r>
          <w:fldChar w:fldCharType="end"/>
        </w:r>
      </w:hyperlink>
    </w:p>
    <w:p>
      <w:pPr>
        <w:pStyle w:val="TOC4"/>
        <w:tabs>
          <w:tab w:val="right" w:leader="dot" w:pos="9950"/>
        </w:tabs>
        <w:rPr>
          <w:rFonts w:asciiTheme="minorHAnsi" w:hAnsiTheme="minorHAnsi"/>
          <w:noProof/>
          <w:sz w:val="22"/>
        </w:rPr>
      </w:pPr>
      <w:hyperlink w:anchor="_Toc256000815" w:history="1">
        <w:r>
          <w:rPr>
            <w:rStyle w:val="Hyperlink"/>
          </w:rPr>
          <w:t>Configuring the Supervisor Management Proxy</w:t>
        </w:r>
        <w:r>
          <w:tab/>
        </w:r>
        <w:r>
          <w:fldChar w:fldCharType="begin"/>
        </w:r>
        <w:r>
          <w:instrText xml:space="preserve"> PAGEREF _Toc256000815 \h </w:instrText>
        </w:r>
        <w:r>
          <w:fldChar w:fldCharType="separate"/>
        </w:r>
        <w:r>
          <w:t>175</w:t>
        </w:r>
        <w:r>
          <w:fldChar w:fldCharType="end"/>
        </w:r>
      </w:hyperlink>
    </w:p>
    <w:p>
      <w:pPr>
        <w:pStyle w:val="TOC3"/>
        <w:tabs>
          <w:tab w:val="right" w:leader="dot" w:pos="9950"/>
        </w:tabs>
        <w:rPr>
          <w:rFonts w:asciiTheme="minorHAnsi" w:hAnsiTheme="minorHAnsi"/>
          <w:noProof/>
          <w:sz w:val="22"/>
        </w:rPr>
      </w:pPr>
      <w:hyperlink w:anchor="_Toc256000816" w:history="1">
        <w:r>
          <w:rPr>
            <w:rStyle w:val="Hyperlink"/>
          </w:rPr>
          <w:t>Configuring Role-Based Access Control to VKS Cluster Management Resources</w:t>
        </w:r>
        <w:r>
          <w:tab/>
        </w:r>
        <w:r>
          <w:fldChar w:fldCharType="begin"/>
        </w:r>
        <w:r>
          <w:instrText xml:space="preserve"> PAGEREF _Toc256000816 \h </w:instrText>
        </w:r>
        <w:r>
          <w:fldChar w:fldCharType="separate"/>
        </w:r>
        <w:r>
          <w:t>176</w:t>
        </w:r>
        <w:r>
          <w:fldChar w:fldCharType="end"/>
        </w:r>
      </w:hyperlink>
    </w:p>
    <w:p>
      <w:pPr>
        <w:pStyle w:val="TOC4"/>
        <w:tabs>
          <w:tab w:val="right" w:leader="dot" w:pos="9950"/>
        </w:tabs>
        <w:rPr>
          <w:rFonts w:asciiTheme="minorHAnsi" w:hAnsiTheme="minorHAnsi"/>
          <w:noProof/>
          <w:sz w:val="22"/>
        </w:rPr>
      </w:pPr>
      <w:hyperlink w:anchor="_Toc256000817" w:history="1">
        <w:r>
          <w:rPr>
            <w:rStyle w:val="Hyperlink"/>
          </w:rPr>
          <w:t>Viewing Roles and Their Associated Rights</w:t>
        </w:r>
        <w:r>
          <w:tab/>
        </w:r>
        <w:r>
          <w:fldChar w:fldCharType="begin"/>
        </w:r>
        <w:r>
          <w:instrText xml:space="preserve"> PAGEREF _Toc256000817 \h </w:instrText>
        </w:r>
        <w:r>
          <w:fldChar w:fldCharType="separate"/>
        </w:r>
        <w:r>
          <w:t>177</w:t>
        </w:r>
        <w:r>
          <w:fldChar w:fldCharType="end"/>
        </w:r>
      </w:hyperlink>
    </w:p>
    <w:p>
      <w:pPr>
        <w:pStyle w:val="TOC4"/>
        <w:tabs>
          <w:tab w:val="right" w:leader="dot" w:pos="9950"/>
        </w:tabs>
        <w:rPr>
          <w:rFonts w:asciiTheme="minorHAnsi" w:hAnsiTheme="minorHAnsi"/>
          <w:noProof/>
          <w:sz w:val="22"/>
        </w:rPr>
      </w:pPr>
      <w:hyperlink w:anchor="_Toc256000818" w:history="1">
        <w:r>
          <w:rPr>
            <w:rStyle w:val="Hyperlink"/>
          </w:rPr>
          <w:t>VCF Automation Predefined Roles and Associated Permissions Specific to VKS Cluster Management</w:t>
        </w:r>
        <w:r>
          <w:tab/>
        </w:r>
        <w:r>
          <w:fldChar w:fldCharType="begin"/>
        </w:r>
        <w:r>
          <w:instrText xml:space="preserve"> PAGEREF _Toc256000818 \h </w:instrText>
        </w:r>
        <w:r>
          <w:fldChar w:fldCharType="separate"/>
        </w:r>
        <w:r>
          <w:t>177</w:t>
        </w:r>
        <w:r>
          <w:fldChar w:fldCharType="end"/>
        </w:r>
      </w:hyperlink>
    </w:p>
    <w:p>
      <w:pPr>
        <w:pStyle w:val="TOC4"/>
        <w:tabs>
          <w:tab w:val="right" w:leader="dot" w:pos="9950"/>
        </w:tabs>
        <w:rPr>
          <w:rFonts w:asciiTheme="minorHAnsi" w:hAnsiTheme="minorHAnsi"/>
          <w:noProof/>
          <w:sz w:val="22"/>
        </w:rPr>
      </w:pPr>
      <w:hyperlink w:anchor="_Toc256000819" w:history="1">
        <w:r>
          <w:rPr>
            <w:rStyle w:val="Hyperlink"/>
          </w:rPr>
          <w:t>Create a Custom VKS Cluster Management Role</w:t>
        </w:r>
        <w:r>
          <w:tab/>
        </w:r>
        <w:r>
          <w:fldChar w:fldCharType="begin"/>
        </w:r>
        <w:r>
          <w:instrText xml:space="preserve"> PAGEREF _Toc256000819 \h </w:instrText>
        </w:r>
        <w:r>
          <w:fldChar w:fldCharType="separate"/>
        </w:r>
        <w:r>
          <w:t>178</w:t>
        </w:r>
        <w:r>
          <w:fldChar w:fldCharType="end"/>
        </w:r>
      </w:hyperlink>
    </w:p>
    <w:p>
      <w:pPr>
        <w:pStyle w:val="TOC3"/>
        <w:tabs>
          <w:tab w:val="right" w:leader="dot" w:pos="9950"/>
        </w:tabs>
        <w:rPr>
          <w:rFonts w:asciiTheme="minorHAnsi" w:hAnsiTheme="minorHAnsi"/>
          <w:noProof/>
          <w:sz w:val="22"/>
        </w:rPr>
      </w:pPr>
      <w:hyperlink w:anchor="_Toc256000820" w:history="1">
        <w:r>
          <w:rPr>
            <w:rStyle w:val="Hyperlink"/>
          </w:rPr>
          <w:t>Working With VKS Cluster Management Policies</w:t>
        </w:r>
        <w:r>
          <w:tab/>
        </w:r>
        <w:r>
          <w:fldChar w:fldCharType="begin"/>
        </w:r>
        <w:r>
          <w:instrText xml:space="preserve"> PAGEREF _Toc256000820 \h </w:instrText>
        </w:r>
        <w:r>
          <w:fldChar w:fldCharType="separate"/>
        </w:r>
        <w:r>
          <w:t>179</w:t>
        </w:r>
        <w:r>
          <w:fldChar w:fldCharType="end"/>
        </w:r>
      </w:hyperlink>
    </w:p>
    <w:p>
      <w:pPr>
        <w:pStyle w:val="TOC4"/>
        <w:tabs>
          <w:tab w:val="right" w:leader="dot" w:pos="9950"/>
        </w:tabs>
        <w:rPr>
          <w:rFonts w:asciiTheme="minorHAnsi" w:hAnsiTheme="minorHAnsi"/>
          <w:noProof/>
          <w:sz w:val="22"/>
        </w:rPr>
      </w:pPr>
      <w:hyperlink w:anchor="_Toc256000821" w:history="1">
        <w:r>
          <w:rPr>
            <w:rStyle w:val="Hyperlink"/>
          </w:rPr>
          <w:t>VKS Cluster Management Policy Types</w:t>
        </w:r>
        <w:r>
          <w:tab/>
        </w:r>
        <w:r>
          <w:fldChar w:fldCharType="begin"/>
        </w:r>
        <w:r>
          <w:instrText xml:space="preserve"> PAGEREF _Toc256000821 \h </w:instrText>
        </w:r>
        <w:r>
          <w:fldChar w:fldCharType="separate"/>
        </w:r>
        <w:r>
          <w:t>179</w:t>
        </w:r>
        <w:r>
          <w:fldChar w:fldCharType="end"/>
        </w:r>
      </w:hyperlink>
    </w:p>
    <w:p>
      <w:pPr>
        <w:pStyle w:val="TOC4"/>
        <w:tabs>
          <w:tab w:val="right" w:leader="dot" w:pos="9950"/>
        </w:tabs>
        <w:rPr>
          <w:rFonts w:asciiTheme="minorHAnsi" w:hAnsiTheme="minorHAnsi"/>
          <w:noProof/>
          <w:sz w:val="22"/>
        </w:rPr>
      </w:pPr>
      <w:hyperlink w:anchor="_Toc256000822" w:history="1">
        <w:r>
          <w:rPr>
            <w:rStyle w:val="Hyperlink"/>
          </w:rPr>
          <w:t>Policy Inheritance</w:t>
        </w:r>
        <w:r>
          <w:tab/>
        </w:r>
        <w:r>
          <w:fldChar w:fldCharType="begin"/>
        </w:r>
        <w:r>
          <w:instrText xml:space="preserve"> PAGEREF _Toc256000822 \h </w:instrText>
        </w:r>
        <w:r>
          <w:fldChar w:fldCharType="separate"/>
        </w:r>
        <w:r>
          <w:t>180</w:t>
        </w:r>
        <w:r>
          <w:fldChar w:fldCharType="end"/>
        </w:r>
      </w:hyperlink>
    </w:p>
    <w:p>
      <w:pPr>
        <w:pStyle w:val="TOC4"/>
        <w:tabs>
          <w:tab w:val="right" w:leader="dot" w:pos="9950"/>
        </w:tabs>
        <w:rPr>
          <w:rFonts w:asciiTheme="minorHAnsi" w:hAnsiTheme="minorHAnsi"/>
          <w:noProof/>
          <w:sz w:val="22"/>
        </w:rPr>
      </w:pPr>
      <w:hyperlink w:anchor="_Toc256000823" w:history="1">
        <w:r>
          <w:rPr>
            <w:rStyle w:val="Hyperlink"/>
          </w:rPr>
          <w:t>VKS Cluster Management Policies and Gatekeeper</w:t>
        </w:r>
        <w:r>
          <w:tab/>
        </w:r>
        <w:r>
          <w:fldChar w:fldCharType="begin"/>
        </w:r>
        <w:r>
          <w:instrText xml:space="preserve"> PAGEREF _Toc256000823 \h </w:instrText>
        </w:r>
        <w:r>
          <w:fldChar w:fldCharType="separate"/>
        </w:r>
        <w:r>
          <w:t>180</w:t>
        </w:r>
        <w:r>
          <w:fldChar w:fldCharType="end"/>
        </w:r>
      </w:hyperlink>
    </w:p>
    <w:p>
      <w:pPr>
        <w:pStyle w:val="TOC4"/>
        <w:tabs>
          <w:tab w:val="right" w:leader="dot" w:pos="9950"/>
        </w:tabs>
        <w:rPr>
          <w:rFonts w:asciiTheme="minorHAnsi" w:hAnsiTheme="minorHAnsi"/>
          <w:noProof/>
          <w:sz w:val="22"/>
        </w:rPr>
      </w:pPr>
      <w:hyperlink w:anchor="_Toc256000824" w:history="1">
        <w:r>
          <w:rPr>
            <w:rStyle w:val="Hyperlink"/>
          </w:rPr>
          <w:t>Using Labels and Label Selectors</w:t>
        </w:r>
        <w:r>
          <w:tab/>
        </w:r>
        <w:r>
          <w:fldChar w:fldCharType="begin"/>
        </w:r>
        <w:r>
          <w:instrText xml:space="preserve"> PAGEREF _Toc256000824 \h </w:instrText>
        </w:r>
        <w:r>
          <w:fldChar w:fldCharType="separate"/>
        </w:r>
        <w:r>
          <w:t>181</w:t>
        </w:r>
        <w:r>
          <w:fldChar w:fldCharType="end"/>
        </w:r>
      </w:hyperlink>
    </w:p>
    <w:p>
      <w:pPr>
        <w:pStyle w:val="TOC4"/>
        <w:tabs>
          <w:tab w:val="right" w:leader="dot" w:pos="9950"/>
        </w:tabs>
        <w:rPr>
          <w:rFonts w:asciiTheme="minorHAnsi" w:hAnsiTheme="minorHAnsi"/>
          <w:noProof/>
          <w:sz w:val="22"/>
        </w:rPr>
      </w:pPr>
      <w:hyperlink w:anchor="_Toc256000825" w:history="1">
        <w:r>
          <w:rPr>
            <w:rStyle w:val="Hyperlink"/>
          </w:rPr>
          <w:t>View the Policy Assignments for an Object in the Hierarchy</w:t>
        </w:r>
        <w:r>
          <w:tab/>
        </w:r>
        <w:r>
          <w:fldChar w:fldCharType="begin"/>
        </w:r>
        <w:r>
          <w:instrText xml:space="preserve"> PAGEREF _Toc256000825 \h </w:instrText>
        </w:r>
        <w:r>
          <w:fldChar w:fldCharType="separate"/>
        </w:r>
        <w:r>
          <w:t>181</w:t>
        </w:r>
        <w:r>
          <w:fldChar w:fldCharType="end"/>
        </w:r>
      </w:hyperlink>
    </w:p>
    <w:p>
      <w:pPr>
        <w:pStyle w:val="TOC4"/>
        <w:tabs>
          <w:tab w:val="right" w:leader="dot" w:pos="9950"/>
        </w:tabs>
        <w:rPr>
          <w:rFonts w:asciiTheme="minorHAnsi" w:hAnsiTheme="minorHAnsi"/>
          <w:noProof/>
          <w:sz w:val="22"/>
        </w:rPr>
      </w:pPr>
      <w:hyperlink w:anchor="_Toc256000826" w:history="1">
        <w:r>
          <w:rPr>
            <w:rStyle w:val="Hyperlink"/>
          </w:rPr>
          <w:t>View VKS Cluster Management Policy Insights</w:t>
        </w:r>
        <w:r>
          <w:tab/>
        </w:r>
        <w:r>
          <w:fldChar w:fldCharType="begin"/>
        </w:r>
        <w:r>
          <w:instrText xml:space="preserve"> PAGEREF _Toc256000826 \h </w:instrText>
        </w:r>
        <w:r>
          <w:fldChar w:fldCharType="separate"/>
        </w:r>
        <w:r>
          <w:t>182</w:t>
        </w:r>
        <w:r>
          <w:fldChar w:fldCharType="end"/>
        </w:r>
      </w:hyperlink>
    </w:p>
    <w:p>
      <w:pPr>
        <w:pStyle w:val="TOC4"/>
        <w:tabs>
          <w:tab w:val="right" w:leader="dot" w:pos="9950"/>
        </w:tabs>
        <w:rPr>
          <w:rFonts w:asciiTheme="minorHAnsi" w:hAnsiTheme="minorHAnsi"/>
          <w:noProof/>
          <w:sz w:val="22"/>
        </w:rPr>
      </w:pPr>
      <w:hyperlink w:anchor="_Toc256000827" w:history="1">
        <w:r>
          <w:rPr>
            <w:rStyle w:val="Hyperlink"/>
          </w:rPr>
          <w:t>Working With VKS Cluster Management Policy Templates</w:t>
        </w:r>
        <w:r>
          <w:tab/>
        </w:r>
        <w:r>
          <w:fldChar w:fldCharType="begin"/>
        </w:r>
        <w:r>
          <w:instrText xml:space="preserve"> PAGEREF _Toc256000827 \h </w:instrText>
        </w:r>
        <w:r>
          <w:fldChar w:fldCharType="separate"/>
        </w:r>
        <w:r>
          <w:t>183</w:t>
        </w:r>
        <w:r>
          <w:fldChar w:fldCharType="end"/>
        </w:r>
      </w:hyperlink>
    </w:p>
    <w:p>
      <w:pPr>
        <w:pStyle w:val="TOC4"/>
        <w:tabs>
          <w:tab w:val="right" w:leader="dot" w:pos="9950"/>
        </w:tabs>
        <w:rPr>
          <w:rFonts w:asciiTheme="minorHAnsi" w:hAnsiTheme="minorHAnsi"/>
          <w:noProof/>
          <w:sz w:val="22"/>
        </w:rPr>
      </w:pPr>
      <w:hyperlink w:anchor="_Toc256000828" w:history="1">
        <w:r>
          <w:rPr>
            <w:rStyle w:val="Hyperlink"/>
          </w:rPr>
          <w:t>Managing Pod Security with VKS Cluster Management Security Policies</w:t>
        </w:r>
        <w:r>
          <w:tab/>
        </w:r>
        <w:r>
          <w:fldChar w:fldCharType="begin"/>
        </w:r>
        <w:r>
          <w:instrText xml:space="preserve"> PAGEREF _Toc256000828 \h </w:instrText>
        </w:r>
        <w:r>
          <w:fldChar w:fldCharType="separate"/>
        </w:r>
        <w:r>
          <w:t>186</w:t>
        </w:r>
        <w:r>
          <w:fldChar w:fldCharType="end"/>
        </w:r>
      </w:hyperlink>
    </w:p>
    <w:p>
      <w:pPr>
        <w:pStyle w:val="TOC4"/>
        <w:tabs>
          <w:tab w:val="right" w:leader="dot" w:pos="9950"/>
        </w:tabs>
        <w:rPr>
          <w:rFonts w:asciiTheme="minorHAnsi" w:hAnsiTheme="minorHAnsi"/>
          <w:noProof/>
          <w:sz w:val="22"/>
        </w:rPr>
      </w:pPr>
      <w:hyperlink w:anchor="_Toc256000829" w:history="1">
        <w:r>
          <w:rPr>
            <w:rStyle w:val="Hyperlink"/>
          </w:rPr>
          <w:t>VKS Cluster Management Image Registry Policies</w:t>
        </w:r>
        <w:r>
          <w:tab/>
        </w:r>
        <w:r>
          <w:fldChar w:fldCharType="begin"/>
        </w:r>
        <w:r>
          <w:instrText xml:space="preserve"> PAGEREF _Toc256000829 \h </w:instrText>
        </w:r>
        <w:r>
          <w:fldChar w:fldCharType="separate"/>
        </w:r>
        <w:r>
          <w:t>190</w:t>
        </w:r>
        <w:r>
          <w:fldChar w:fldCharType="end"/>
        </w:r>
      </w:hyperlink>
    </w:p>
    <w:p>
      <w:pPr>
        <w:pStyle w:val="TOC4"/>
        <w:tabs>
          <w:tab w:val="right" w:leader="dot" w:pos="9950"/>
        </w:tabs>
        <w:rPr>
          <w:rFonts w:asciiTheme="minorHAnsi" w:hAnsiTheme="minorHAnsi"/>
          <w:noProof/>
          <w:sz w:val="22"/>
        </w:rPr>
      </w:pPr>
      <w:hyperlink w:anchor="_Toc256000830" w:history="1">
        <w:r>
          <w:rPr>
            <w:rStyle w:val="Hyperlink"/>
          </w:rPr>
          <w:t>VKS Cluster Management Quota Policies</w:t>
        </w:r>
        <w:r>
          <w:tab/>
        </w:r>
        <w:r>
          <w:fldChar w:fldCharType="begin"/>
        </w:r>
        <w:r>
          <w:instrText xml:space="preserve"> PAGEREF _Toc256000830 \h </w:instrText>
        </w:r>
        <w:r>
          <w:fldChar w:fldCharType="separate"/>
        </w:r>
        <w:r>
          <w:t>192</w:t>
        </w:r>
        <w:r>
          <w:fldChar w:fldCharType="end"/>
        </w:r>
      </w:hyperlink>
    </w:p>
    <w:p>
      <w:pPr>
        <w:pStyle w:val="TOC4"/>
        <w:tabs>
          <w:tab w:val="right" w:leader="dot" w:pos="9950"/>
        </w:tabs>
        <w:rPr>
          <w:rFonts w:asciiTheme="minorHAnsi" w:hAnsiTheme="minorHAnsi"/>
          <w:noProof/>
          <w:sz w:val="22"/>
        </w:rPr>
      </w:pPr>
      <w:hyperlink w:anchor="_Toc256000831" w:history="1">
        <w:r>
          <w:rPr>
            <w:rStyle w:val="Hyperlink"/>
          </w:rPr>
          <w:t>VKS Cluster Management Custom Policies</w:t>
        </w:r>
        <w:r>
          <w:tab/>
        </w:r>
        <w:r>
          <w:fldChar w:fldCharType="begin"/>
        </w:r>
        <w:r>
          <w:instrText xml:space="preserve"> PAGEREF _Toc256000831 \h </w:instrText>
        </w:r>
        <w:r>
          <w:fldChar w:fldCharType="separate"/>
        </w:r>
        <w:r>
          <w:t>194</w:t>
        </w:r>
        <w:r>
          <w:fldChar w:fldCharType="end"/>
        </w:r>
      </w:hyperlink>
    </w:p>
    <w:p>
      <w:pPr>
        <w:pStyle w:val="TOC4"/>
        <w:tabs>
          <w:tab w:val="right" w:leader="dot" w:pos="9950"/>
        </w:tabs>
        <w:rPr>
          <w:rFonts w:asciiTheme="minorHAnsi" w:hAnsiTheme="minorHAnsi"/>
          <w:noProof/>
          <w:sz w:val="22"/>
        </w:rPr>
      </w:pPr>
      <w:hyperlink w:anchor="_Toc256000832" w:history="1">
        <w:r>
          <w:rPr>
            <w:rStyle w:val="Hyperlink"/>
          </w:rPr>
          <w:t>VKS Cluster Management Mutation Policies</w:t>
        </w:r>
        <w:r>
          <w:tab/>
        </w:r>
        <w:r>
          <w:fldChar w:fldCharType="begin"/>
        </w:r>
        <w:r>
          <w:instrText xml:space="preserve"> PAGEREF _Toc256000832 \h </w:instrText>
        </w:r>
        <w:r>
          <w:fldChar w:fldCharType="separate"/>
        </w:r>
        <w:r>
          <w:t>196</w:t>
        </w:r>
        <w:r>
          <w:fldChar w:fldCharType="end"/>
        </w:r>
      </w:hyperlink>
    </w:p>
    <w:p>
      <w:pPr>
        <w:pStyle w:val="TOC3"/>
        <w:tabs>
          <w:tab w:val="right" w:leader="dot" w:pos="9950"/>
        </w:tabs>
        <w:rPr>
          <w:rFonts w:asciiTheme="minorHAnsi" w:hAnsiTheme="minorHAnsi"/>
          <w:noProof/>
          <w:sz w:val="22"/>
        </w:rPr>
      </w:pPr>
      <w:hyperlink w:anchor="_Toc256000833" w:history="1">
        <w:r>
          <w:rPr>
            <w:rStyle w:val="Hyperlink"/>
          </w:rPr>
          <w:t>Viewing Details About VKS Clusters With VKS Cluster Management</w:t>
        </w:r>
        <w:r>
          <w:tab/>
        </w:r>
        <w:r>
          <w:fldChar w:fldCharType="begin"/>
        </w:r>
        <w:r>
          <w:instrText xml:space="preserve"> PAGEREF _Toc256000833 \h </w:instrText>
        </w:r>
        <w:r>
          <w:fldChar w:fldCharType="separate"/>
        </w:r>
        <w:r>
          <w:t>200</w:t>
        </w:r>
        <w:r>
          <w:fldChar w:fldCharType="end"/>
        </w:r>
      </w:hyperlink>
    </w:p>
    <w:p>
      <w:pPr>
        <w:pStyle w:val="TOC4"/>
        <w:tabs>
          <w:tab w:val="right" w:leader="dot" w:pos="9950"/>
        </w:tabs>
        <w:rPr>
          <w:rFonts w:asciiTheme="minorHAnsi" w:hAnsiTheme="minorHAnsi"/>
          <w:noProof/>
          <w:sz w:val="22"/>
        </w:rPr>
      </w:pPr>
      <w:hyperlink w:anchor="_Toc256000834" w:history="1">
        <w:r>
          <w:rPr>
            <w:rStyle w:val="Hyperlink"/>
          </w:rPr>
          <w:t>VKS Cluster Management Object Labels</w:t>
        </w:r>
        <w:r>
          <w:tab/>
        </w:r>
        <w:r>
          <w:fldChar w:fldCharType="begin"/>
        </w:r>
        <w:r>
          <w:instrText xml:space="preserve"> PAGEREF _Toc256000834 \h </w:instrText>
        </w:r>
        <w:r>
          <w:fldChar w:fldCharType="separate"/>
        </w:r>
        <w:r>
          <w:t>201</w:t>
        </w:r>
        <w:r>
          <w:fldChar w:fldCharType="end"/>
        </w:r>
      </w:hyperlink>
    </w:p>
    <w:p>
      <w:pPr>
        <w:pStyle w:val="TOC3"/>
        <w:tabs>
          <w:tab w:val="right" w:leader="dot" w:pos="9950"/>
        </w:tabs>
        <w:rPr>
          <w:rFonts w:asciiTheme="minorHAnsi" w:hAnsiTheme="minorHAnsi"/>
          <w:noProof/>
          <w:sz w:val="22"/>
        </w:rPr>
      </w:pPr>
      <w:hyperlink w:anchor="_Toc256000835" w:history="1">
        <w:r>
          <w:rPr>
            <w:rStyle w:val="Hyperlink"/>
          </w:rPr>
          <w:t>Managing Add-Ons on VKS Clusters with VKS Cluster Management</w:t>
        </w:r>
        <w:r>
          <w:tab/>
        </w:r>
        <w:r>
          <w:fldChar w:fldCharType="begin"/>
        </w:r>
        <w:r>
          <w:instrText xml:space="preserve"> PAGEREF _Toc256000835 \h </w:instrText>
        </w:r>
        <w:r>
          <w:fldChar w:fldCharType="separate"/>
        </w:r>
        <w:r>
          <w:t>201</w:t>
        </w:r>
        <w:r>
          <w:fldChar w:fldCharType="end"/>
        </w:r>
      </w:hyperlink>
    </w:p>
    <w:p>
      <w:pPr>
        <w:pStyle w:val="TOC4"/>
        <w:tabs>
          <w:tab w:val="right" w:leader="dot" w:pos="9950"/>
        </w:tabs>
        <w:rPr>
          <w:rFonts w:asciiTheme="minorHAnsi" w:hAnsiTheme="minorHAnsi"/>
          <w:noProof/>
          <w:sz w:val="22"/>
        </w:rPr>
      </w:pPr>
      <w:hyperlink w:anchor="_Toc256000836" w:history="1">
        <w:r>
          <w:rPr>
            <w:rStyle w:val="Hyperlink"/>
          </w:rPr>
          <w:t>View the Available Add-On Repositories</w:t>
        </w:r>
        <w:r>
          <w:tab/>
        </w:r>
        <w:r>
          <w:fldChar w:fldCharType="begin"/>
        </w:r>
        <w:r>
          <w:instrText xml:space="preserve"> PAGEREF _Toc256000836 \h </w:instrText>
        </w:r>
        <w:r>
          <w:fldChar w:fldCharType="separate"/>
        </w:r>
        <w:r>
          <w:t>201</w:t>
        </w:r>
        <w:r>
          <w:fldChar w:fldCharType="end"/>
        </w:r>
      </w:hyperlink>
    </w:p>
    <w:p>
      <w:pPr>
        <w:pStyle w:val="TOC4"/>
        <w:tabs>
          <w:tab w:val="right" w:leader="dot" w:pos="9950"/>
        </w:tabs>
        <w:rPr>
          <w:rFonts w:asciiTheme="minorHAnsi" w:hAnsiTheme="minorHAnsi"/>
          <w:noProof/>
          <w:sz w:val="22"/>
        </w:rPr>
      </w:pPr>
      <w:hyperlink w:anchor="_Toc256000837" w:history="1">
        <w:r>
          <w:rPr>
            <w:rStyle w:val="Hyperlink"/>
          </w:rPr>
          <w:t>View the Available Add-Ons</w:t>
        </w:r>
        <w:r>
          <w:tab/>
        </w:r>
        <w:r>
          <w:fldChar w:fldCharType="begin"/>
        </w:r>
        <w:r>
          <w:instrText xml:space="preserve"> PAGEREF _Toc256000837 \h </w:instrText>
        </w:r>
        <w:r>
          <w:fldChar w:fldCharType="separate"/>
        </w:r>
        <w:r>
          <w:t>202</w:t>
        </w:r>
        <w:r>
          <w:fldChar w:fldCharType="end"/>
        </w:r>
      </w:hyperlink>
    </w:p>
    <w:p>
      <w:pPr>
        <w:pStyle w:val="TOC4"/>
        <w:tabs>
          <w:tab w:val="right" w:leader="dot" w:pos="9950"/>
        </w:tabs>
        <w:rPr>
          <w:rFonts w:asciiTheme="minorHAnsi" w:hAnsiTheme="minorHAnsi"/>
          <w:noProof/>
          <w:sz w:val="22"/>
        </w:rPr>
      </w:pPr>
      <w:hyperlink w:anchor="_Toc256000838" w:history="1">
        <w:r>
          <w:rPr>
            <w:rStyle w:val="Hyperlink"/>
          </w:rPr>
          <w:t>View the Installed Add-Ons for a VKS Cluster</w:t>
        </w:r>
        <w:r>
          <w:tab/>
        </w:r>
        <w:r>
          <w:fldChar w:fldCharType="begin"/>
        </w:r>
        <w:r>
          <w:instrText xml:space="preserve"> PAGEREF _Toc256000838 \h </w:instrText>
        </w:r>
        <w:r>
          <w:fldChar w:fldCharType="separate"/>
        </w:r>
        <w:r>
          <w:t>202</w:t>
        </w:r>
        <w:r>
          <w:fldChar w:fldCharType="end"/>
        </w:r>
      </w:hyperlink>
    </w:p>
    <w:p>
      <w:pPr>
        <w:pStyle w:val="TOC4"/>
        <w:tabs>
          <w:tab w:val="right" w:leader="dot" w:pos="9950"/>
        </w:tabs>
        <w:rPr>
          <w:rFonts w:asciiTheme="minorHAnsi" w:hAnsiTheme="minorHAnsi"/>
          <w:noProof/>
          <w:sz w:val="22"/>
        </w:rPr>
      </w:pPr>
      <w:hyperlink w:anchor="_Toc256000839" w:history="1">
        <w:r>
          <w:rPr>
            <w:rStyle w:val="Hyperlink"/>
          </w:rPr>
          <w:t>Install an Add-On to a VKS Cluster</w:t>
        </w:r>
        <w:r>
          <w:tab/>
        </w:r>
        <w:r>
          <w:fldChar w:fldCharType="begin"/>
        </w:r>
        <w:r>
          <w:instrText xml:space="preserve"> PAGEREF _Toc256000839 \h </w:instrText>
        </w:r>
        <w:r>
          <w:fldChar w:fldCharType="separate"/>
        </w:r>
        <w:r>
          <w:t>203</w:t>
        </w:r>
        <w:r>
          <w:fldChar w:fldCharType="end"/>
        </w:r>
      </w:hyperlink>
    </w:p>
    <w:p>
      <w:pPr>
        <w:pStyle w:val="TOC4"/>
        <w:tabs>
          <w:tab w:val="right" w:leader="dot" w:pos="9950"/>
        </w:tabs>
        <w:rPr>
          <w:rFonts w:asciiTheme="minorHAnsi" w:hAnsiTheme="minorHAnsi"/>
          <w:noProof/>
          <w:sz w:val="22"/>
        </w:rPr>
      </w:pPr>
      <w:hyperlink w:anchor="_Toc256000840" w:history="1">
        <w:r>
          <w:rPr>
            <w:rStyle w:val="Hyperlink"/>
          </w:rPr>
          <w:t>Edit an Installed Add-On</w:t>
        </w:r>
        <w:r>
          <w:tab/>
        </w:r>
        <w:r>
          <w:fldChar w:fldCharType="begin"/>
        </w:r>
        <w:r>
          <w:instrText xml:space="preserve"> PAGEREF _Toc256000840 \h </w:instrText>
        </w:r>
        <w:r>
          <w:fldChar w:fldCharType="separate"/>
        </w:r>
        <w:r>
          <w:t>204</w:t>
        </w:r>
        <w:r>
          <w:fldChar w:fldCharType="end"/>
        </w:r>
      </w:hyperlink>
    </w:p>
    <w:p>
      <w:pPr>
        <w:pStyle w:val="TOC3"/>
        <w:tabs>
          <w:tab w:val="right" w:leader="dot" w:pos="9950"/>
        </w:tabs>
        <w:rPr>
          <w:rFonts w:asciiTheme="minorHAnsi" w:hAnsiTheme="minorHAnsi"/>
          <w:noProof/>
          <w:sz w:val="22"/>
        </w:rPr>
      </w:pPr>
      <w:hyperlink w:anchor="_Toc256000841" w:history="1">
        <w:r>
          <w:rPr>
            <w:rStyle w:val="Hyperlink"/>
          </w:rPr>
          <w:t>Backing Up and Restoring VKS Clusters and VKS Cluster Namespaces with VKS Cluster Management</w:t>
        </w:r>
        <w:r>
          <w:tab/>
        </w:r>
        <w:r>
          <w:fldChar w:fldCharType="begin"/>
        </w:r>
        <w:r>
          <w:instrText xml:space="preserve"> PAGEREF _Toc256000841 \h </w:instrText>
        </w:r>
        <w:r>
          <w:fldChar w:fldCharType="separate"/>
        </w:r>
        <w:r>
          <w:t>206</w:t>
        </w:r>
        <w:r>
          <w:fldChar w:fldCharType="end"/>
        </w:r>
      </w:hyperlink>
    </w:p>
    <w:p>
      <w:pPr>
        <w:pStyle w:val="TOC4"/>
        <w:tabs>
          <w:tab w:val="right" w:leader="dot" w:pos="9950"/>
        </w:tabs>
        <w:rPr>
          <w:rFonts w:asciiTheme="minorHAnsi" w:hAnsiTheme="minorHAnsi"/>
          <w:noProof/>
          <w:sz w:val="22"/>
        </w:rPr>
      </w:pPr>
      <w:hyperlink w:anchor="_Toc256000842" w:history="1">
        <w:r>
          <w:rPr>
            <w:rStyle w:val="Hyperlink"/>
          </w:rPr>
          <w:t>Backup Storage</w:t>
        </w:r>
        <w:r>
          <w:tab/>
        </w:r>
        <w:r>
          <w:fldChar w:fldCharType="begin"/>
        </w:r>
        <w:r>
          <w:instrText xml:space="preserve"> PAGEREF _Toc256000842 \h </w:instrText>
        </w:r>
        <w:r>
          <w:fldChar w:fldCharType="separate"/>
        </w:r>
        <w:r>
          <w:t>206</w:t>
        </w:r>
        <w:r>
          <w:fldChar w:fldCharType="end"/>
        </w:r>
      </w:hyperlink>
    </w:p>
    <w:p>
      <w:pPr>
        <w:pStyle w:val="TOC4"/>
        <w:tabs>
          <w:tab w:val="right" w:leader="dot" w:pos="9950"/>
        </w:tabs>
        <w:rPr>
          <w:rFonts w:asciiTheme="minorHAnsi" w:hAnsiTheme="minorHAnsi"/>
          <w:noProof/>
          <w:sz w:val="22"/>
        </w:rPr>
      </w:pPr>
      <w:hyperlink w:anchor="_Toc256000843" w:history="1">
        <w:r>
          <w:rPr>
            <w:rStyle w:val="Hyperlink"/>
          </w:rPr>
          <w:t>Container Storage Interface (CSI) Volume Snapshots</w:t>
        </w:r>
        <w:r>
          <w:tab/>
        </w:r>
        <w:r>
          <w:fldChar w:fldCharType="begin"/>
        </w:r>
        <w:r>
          <w:instrText xml:space="preserve"> PAGEREF _Toc256000843 \h </w:instrText>
        </w:r>
        <w:r>
          <w:fldChar w:fldCharType="separate"/>
        </w:r>
        <w:r>
          <w:t>207</w:t>
        </w:r>
        <w:r>
          <w:fldChar w:fldCharType="end"/>
        </w:r>
      </w:hyperlink>
    </w:p>
    <w:p>
      <w:pPr>
        <w:pStyle w:val="TOC4"/>
        <w:tabs>
          <w:tab w:val="right" w:leader="dot" w:pos="9950"/>
        </w:tabs>
        <w:rPr>
          <w:rFonts w:asciiTheme="minorHAnsi" w:hAnsiTheme="minorHAnsi"/>
          <w:noProof/>
          <w:sz w:val="22"/>
        </w:rPr>
      </w:pPr>
      <w:hyperlink w:anchor="_Toc256000844" w:history="1">
        <w:r>
          <w:rPr>
            <w:rStyle w:val="Hyperlink"/>
          </w:rPr>
          <w:t>File System Backup</w:t>
        </w:r>
        <w:r>
          <w:tab/>
        </w:r>
        <w:r>
          <w:fldChar w:fldCharType="begin"/>
        </w:r>
        <w:r>
          <w:instrText xml:space="preserve"> PAGEREF _Toc256000844 \h </w:instrText>
        </w:r>
        <w:r>
          <w:fldChar w:fldCharType="separate"/>
        </w:r>
        <w:r>
          <w:t>207</w:t>
        </w:r>
        <w:r>
          <w:fldChar w:fldCharType="end"/>
        </w:r>
      </w:hyperlink>
    </w:p>
    <w:p>
      <w:pPr>
        <w:pStyle w:val="TOC4"/>
        <w:tabs>
          <w:tab w:val="right" w:leader="dot" w:pos="9950"/>
        </w:tabs>
        <w:rPr>
          <w:rFonts w:asciiTheme="minorHAnsi" w:hAnsiTheme="minorHAnsi"/>
          <w:noProof/>
          <w:sz w:val="22"/>
        </w:rPr>
      </w:pPr>
      <w:hyperlink w:anchor="_Toc256000845" w:history="1">
        <w:r>
          <w:rPr>
            <w:rStyle w:val="Hyperlink"/>
          </w:rPr>
          <w:t>Using Both FSB and CSI for Backups</w:t>
        </w:r>
        <w:r>
          <w:tab/>
        </w:r>
        <w:r>
          <w:fldChar w:fldCharType="begin"/>
        </w:r>
        <w:r>
          <w:instrText xml:space="preserve"> PAGEREF _Toc256000845 \h </w:instrText>
        </w:r>
        <w:r>
          <w:fldChar w:fldCharType="separate"/>
        </w:r>
        <w:r>
          <w:t>207</w:t>
        </w:r>
        <w:r>
          <w:fldChar w:fldCharType="end"/>
        </w:r>
      </w:hyperlink>
    </w:p>
    <w:p>
      <w:pPr>
        <w:pStyle w:val="TOC4"/>
        <w:tabs>
          <w:tab w:val="right" w:leader="dot" w:pos="9950"/>
        </w:tabs>
        <w:rPr>
          <w:rFonts w:asciiTheme="minorHAnsi" w:hAnsiTheme="minorHAnsi"/>
          <w:noProof/>
          <w:sz w:val="22"/>
        </w:rPr>
      </w:pPr>
      <w:hyperlink w:anchor="_Toc256000846" w:history="1">
        <w:r>
          <w:rPr>
            <w:rStyle w:val="Hyperlink"/>
          </w:rPr>
          <w:t>Requirements for Using CSI Volume Backup</w:t>
        </w:r>
        <w:r>
          <w:tab/>
        </w:r>
        <w:r>
          <w:fldChar w:fldCharType="begin"/>
        </w:r>
        <w:r>
          <w:instrText xml:space="preserve"> PAGEREF _Toc256000846 \h </w:instrText>
        </w:r>
        <w:r>
          <w:fldChar w:fldCharType="separate"/>
        </w:r>
        <w:r>
          <w:t>208</w:t>
        </w:r>
        <w:r>
          <w:fldChar w:fldCharType="end"/>
        </w:r>
      </w:hyperlink>
    </w:p>
    <w:p>
      <w:pPr>
        <w:pStyle w:val="TOC4"/>
        <w:tabs>
          <w:tab w:val="right" w:leader="dot" w:pos="9950"/>
        </w:tabs>
        <w:rPr>
          <w:rFonts w:asciiTheme="minorHAnsi" w:hAnsiTheme="minorHAnsi"/>
          <w:noProof/>
          <w:sz w:val="22"/>
        </w:rPr>
      </w:pPr>
      <w:hyperlink w:anchor="_Toc256000847" w:history="1">
        <w:r>
          <w:rPr>
            <w:rStyle w:val="Hyperlink"/>
          </w:rPr>
          <w:t>Backup and Restore Hooks</w:t>
        </w:r>
        <w:r>
          <w:tab/>
        </w:r>
        <w:r>
          <w:fldChar w:fldCharType="begin"/>
        </w:r>
        <w:r>
          <w:instrText xml:space="preserve"> PAGEREF _Toc256000847 \h </w:instrText>
        </w:r>
        <w:r>
          <w:fldChar w:fldCharType="separate"/>
        </w:r>
        <w:r>
          <w:t>209</w:t>
        </w:r>
        <w:r>
          <w:fldChar w:fldCharType="end"/>
        </w:r>
      </w:hyperlink>
    </w:p>
    <w:p>
      <w:pPr>
        <w:pStyle w:val="TOC4"/>
        <w:tabs>
          <w:tab w:val="right" w:leader="dot" w:pos="9950"/>
        </w:tabs>
        <w:rPr>
          <w:rFonts w:asciiTheme="minorHAnsi" w:hAnsiTheme="minorHAnsi"/>
          <w:noProof/>
          <w:sz w:val="22"/>
        </w:rPr>
      </w:pPr>
      <w:hyperlink w:anchor="_Toc256000848" w:history="1">
        <w:r>
          <w:rPr>
            <w:rStyle w:val="Hyperlink"/>
          </w:rPr>
          <w:t>Configuring Account Credentials</w:t>
        </w:r>
        <w:r>
          <w:tab/>
        </w:r>
        <w:r>
          <w:fldChar w:fldCharType="begin"/>
        </w:r>
        <w:r>
          <w:instrText xml:space="preserve"> PAGEREF _Toc256000848 \h </w:instrText>
        </w:r>
        <w:r>
          <w:fldChar w:fldCharType="separate"/>
        </w:r>
        <w:r>
          <w:t>214</w:t>
        </w:r>
        <w:r>
          <w:fldChar w:fldCharType="end"/>
        </w:r>
      </w:hyperlink>
    </w:p>
    <w:p>
      <w:pPr>
        <w:pStyle w:val="TOC4"/>
        <w:tabs>
          <w:tab w:val="right" w:leader="dot" w:pos="9950"/>
        </w:tabs>
        <w:rPr>
          <w:rFonts w:asciiTheme="minorHAnsi" w:hAnsiTheme="minorHAnsi"/>
          <w:noProof/>
          <w:sz w:val="22"/>
        </w:rPr>
      </w:pPr>
      <w:hyperlink w:anchor="_Toc256000849" w:history="1">
        <w:r>
          <w:rPr>
            <w:rStyle w:val="Hyperlink"/>
          </w:rPr>
          <w:t>Enable Data Protection for a VKS Cluster</w:t>
        </w:r>
        <w:r>
          <w:tab/>
        </w:r>
        <w:r>
          <w:fldChar w:fldCharType="begin"/>
        </w:r>
        <w:r>
          <w:instrText xml:space="preserve"> PAGEREF _Toc256000849 \h </w:instrText>
        </w:r>
        <w:r>
          <w:fldChar w:fldCharType="separate"/>
        </w:r>
        <w:r>
          <w:t>216</w:t>
        </w:r>
        <w:r>
          <w:fldChar w:fldCharType="end"/>
        </w:r>
      </w:hyperlink>
    </w:p>
    <w:p>
      <w:pPr>
        <w:pStyle w:val="TOC4"/>
        <w:tabs>
          <w:tab w:val="right" w:leader="dot" w:pos="9950"/>
        </w:tabs>
        <w:rPr>
          <w:rFonts w:asciiTheme="minorHAnsi" w:hAnsiTheme="minorHAnsi"/>
          <w:noProof/>
          <w:sz w:val="22"/>
        </w:rPr>
      </w:pPr>
      <w:hyperlink w:anchor="_Toc256000850" w:history="1">
        <w:r>
          <w:rPr>
            <w:rStyle w:val="Hyperlink"/>
          </w:rPr>
          <w:t>Disable Data Protection for a VKS Cluster</w:t>
        </w:r>
        <w:r>
          <w:tab/>
        </w:r>
        <w:r>
          <w:fldChar w:fldCharType="begin"/>
        </w:r>
        <w:r>
          <w:instrText xml:space="preserve"> PAGEREF _Toc256000850 \h </w:instrText>
        </w:r>
        <w:r>
          <w:fldChar w:fldCharType="separate"/>
        </w:r>
        <w:r>
          <w:t>217</w:t>
        </w:r>
        <w:r>
          <w:fldChar w:fldCharType="end"/>
        </w:r>
      </w:hyperlink>
    </w:p>
    <w:p>
      <w:pPr>
        <w:pStyle w:val="TOC4"/>
        <w:tabs>
          <w:tab w:val="right" w:leader="dot" w:pos="9950"/>
        </w:tabs>
        <w:rPr>
          <w:rFonts w:asciiTheme="minorHAnsi" w:hAnsiTheme="minorHAnsi"/>
          <w:noProof/>
          <w:sz w:val="22"/>
        </w:rPr>
      </w:pPr>
      <w:hyperlink w:anchor="_Toc256000851" w:history="1">
        <w:r>
          <w:rPr>
            <w:rStyle w:val="Hyperlink"/>
          </w:rPr>
          <w:t>Create a Backup Schedule</w:t>
        </w:r>
        <w:r>
          <w:tab/>
        </w:r>
        <w:r>
          <w:fldChar w:fldCharType="begin"/>
        </w:r>
        <w:r>
          <w:instrText xml:space="preserve"> PAGEREF _Toc256000851 \h </w:instrText>
        </w:r>
        <w:r>
          <w:fldChar w:fldCharType="separate"/>
        </w:r>
        <w:r>
          <w:t>218</w:t>
        </w:r>
        <w:r>
          <w:fldChar w:fldCharType="end"/>
        </w:r>
      </w:hyperlink>
    </w:p>
    <w:p>
      <w:pPr>
        <w:pStyle w:val="TOC4"/>
        <w:tabs>
          <w:tab w:val="right" w:leader="dot" w:pos="9950"/>
        </w:tabs>
        <w:rPr>
          <w:rFonts w:asciiTheme="minorHAnsi" w:hAnsiTheme="minorHAnsi"/>
          <w:noProof/>
          <w:sz w:val="22"/>
        </w:rPr>
      </w:pPr>
      <w:hyperlink w:anchor="_Toc256000852" w:history="1">
        <w:r>
          <w:rPr>
            <w:rStyle w:val="Hyperlink"/>
          </w:rPr>
          <w:t>Back Up the Data Resources in Your VKS Cluster</w:t>
        </w:r>
        <w:r>
          <w:tab/>
        </w:r>
        <w:r>
          <w:fldChar w:fldCharType="begin"/>
        </w:r>
        <w:r>
          <w:instrText xml:space="preserve"> PAGEREF _Toc256000852 \h </w:instrText>
        </w:r>
        <w:r>
          <w:fldChar w:fldCharType="separate"/>
        </w:r>
        <w:r>
          <w:t>219</w:t>
        </w:r>
        <w:r>
          <w:fldChar w:fldCharType="end"/>
        </w:r>
      </w:hyperlink>
    </w:p>
    <w:p>
      <w:pPr>
        <w:pStyle w:val="TOC4"/>
        <w:tabs>
          <w:tab w:val="right" w:leader="dot" w:pos="9950"/>
        </w:tabs>
        <w:rPr>
          <w:rFonts w:asciiTheme="minorHAnsi" w:hAnsiTheme="minorHAnsi"/>
          <w:noProof/>
          <w:sz w:val="22"/>
        </w:rPr>
      </w:pPr>
      <w:hyperlink w:anchor="_Toc256000853" w:history="1">
        <w:r>
          <w:rPr>
            <w:rStyle w:val="Hyperlink"/>
          </w:rPr>
          <w:t>View the Contents of a VKS Cluster Backup</w:t>
        </w:r>
        <w:r>
          <w:tab/>
        </w:r>
        <w:r>
          <w:fldChar w:fldCharType="begin"/>
        </w:r>
        <w:r>
          <w:instrText xml:space="preserve"> PAGEREF _Toc256000853 \h </w:instrText>
        </w:r>
        <w:r>
          <w:fldChar w:fldCharType="separate"/>
        </w:r>
        <w:r>
          <w:t>221</w:t>
        </w:r>
        <w:r>
          <w:fldChar w:fldCharType="end"/>
        </w:r>
      </w:hyperlink>
    </w:p>
    <w:p>
      <w:pPr>
        <w:pStyle w:val="TOC4"/>
        <w:tabs>
          <w:tab w:val="right" w:leader="dot" w:pos="9950"/>
        </w:tabs>
        <w:rPr>
          <w:rFonts w:asciiTheme="minorHAnsi" w:hAnsiTheme="minorHAnsi"/>
          <w:noProof/>
          <w:sz w:val="22"/>
        </w:rPr>
      </w:pPr>
      <w:hyperlink w:anchor="_Toc256000854" w:history="1">
        <w:r>
          <w:rPr>
            <w:rStyle w:val="Hyperlink"/>
          </w:rPr>
          <w:t>Restore a VKS Cluster Backup</w:t>
        </w:r>
        <w:r>
          <w:tab/>
        </w:r>
        <w:r>
          <w:fldChar w:fldCharType="begin"/>
        </w:r>
        <w:r>
          <w:instrText xml:space="preserve"> PAGEREF _Toc256000854 \h </w:instrText>
        </w:r>
        <w:r>
          <w:fldChar w:fldCharType="separate"/>
        </w:r>
        <w:r>
          <w:t>221</w:t>
        </w:r>
        <w:r>
          <w:fldChar w:fldCharType="end"/>
        </w:r>
      </w:hyperlink>
    </w:p>
    <w:p>
      <w:pPr>
        <w:pStyle w:val="TOC4"/>
        <w:tabs>
          <w:tab w:val="right" w:leader="dot" w:pos="9950"/>
        </w:tabs>
        <w:rPr>
          <w:rFonts w:asciiTheme="minorHAnsi" w:hAnsiTheme="minorHAnsi"/>
          <w:noProof/>
          <w:sz w:val="22"/>
        </w:rPr>
      </w:pPr>
      <w:hyperlink w:anchor="_Toc256000855" w:history="1">
        <w:r>
          <w:rPr>
            <w:rStyle w:val="Hyperlink"/>
          </w:rPr>
          <w:t>Restore a VKS Cluster Backup To a Different Cluster</w:t>
        </w:r>
        <w:r>
          <w:tab/>
        </w:r>
        <w:r>
          <w:fldChar w:fldCharType="begin"/>
        </w:r>
        <w:r>
          <w:instrText xml:space="preserve"> PAGEREF _Toc256000855 \h </w:instrText>
        </w:r>
        <w:r>
          <w:fldChar w:fldCharType="separate"/>
        </w:r>
        <w:r>
          <w:t>222</w:t>
        </w:r>
        <w:r>
          <w:fldChar w:fldCharType="end"/>
        </w:r>
      </w:hyperlink>
    </w:p>
    <w:p>
      <w:pPr>
        <w:pStyle w:val="TOC4"/>
        <w:tabs>
          <w:tab w:val="right" w:leader="dot" w:pos="9950"/>
        </w:tabs>
        <w:rPr>
          <w:rFonts w:asciiTheme="minorHAnsi" w:hAnsiTheme="minorHAnsi"/>
          <w:noProof/>
          <w:sz w:val="22"/>
        </w:rPr>
      </w:pPr>
      <w:hyperlink w:anchor="_Toc256000856" w:history="1">
        <w:r>
          <w:rPr>
            <w:rStyle w:val="Hyperlink"/>
          </w:rPr>
          <w:t>View the Contents of a Restore</w:t>
        </w:r>
        <w:r>
          <w:tab/>
        </w:r>
        <w:r>
          <w:fldChar w:fldCharType="begin"/>
        </w:r>
        <w:r>
          <w:instrText xml:space="preserve"> PAGEREF _Toc256000856 \h </w:instrText>
        </w:r>
        <w:r>
          <w:fldChar w:fldCharType="separate"/>
        </w:r>
        <w:r>
          <w:t>223</w:t>
        </w:r>
        <w:r>
          <w:fldChar w:fldCharType="end"/>
        </w:r>
      </w:hyperlink>
    </w:p>
    <w:p>
      <w:pPr>
        <w:pStyle w:val="TOC4"/>
        <w:tabs>
          <w:tab w:val="right" w:leader="dot" w:pos="9950"/>
        </w:tabs>
        <w:rPr>
          <w:rFonts w:asciiTheme="minorHAnsi" w:hAnsiTheme="minorHAnsi"/>
          <w:noProof/>
          <w:sz w:val="22"/>
        </w:rPr>
      </w:pPr>
      <w:hyperlink w:anchor="_Toc256000857" w:history="1">
        <w:r>
          <w:rPr>
            <w:rStyle w:val="Hyperlink"/>
          </w:rPr>
          <w:t>Troubleshooting Issues with VKS Cluster Management Data Protection</w:t>
        </w:r>
        <w:r>
          <w:tab/>
        </w:r>
        <w:r>
          <w:fldChar w:fldCharType="begin"/>
        </w:r>
        <w:r>
          <w:instrText xml:space="preserve"> PAGEREF _Toc256000857 \h </w:instrText>
        </w:r>
        <w:r>
          <w:fldChar w:fldCharType="separate"/>
        </w:r>
        <w:r>
          <w:t>224</w:t>
        </w:r>
        <w:r>
          <w:fldChar w:fldCharType="end"/>
        </w:r>
      </w:hyperlink>
    </w:p>
    <w:p w:rsidR="00317810" w:rsidRPr="00FF1CA0" w:rsidP="00317810">
      <w:pPr>
        <w:rPr>
          <w:rFonts w:cs="Arial"/>
          <w:b/>
          <w:bCs/>
          <w:noProof/>
        </w:rPr>
      </w:pPr>
      <w:r>
        <w:rPr>
          <w:rFonts w:cs="Arial"/>
        </w:rPr>
        <w:fldChar w:fldCharType="end"/>
      </w:r>
    </w:p>
    <w:p>
      <w:pPr>
        <w:pStyle w:val="Heading1"/>
      </w:pPr>
      <w:bookmarkStart w:id="2" w:name="_Toc256000572"/>
      <w:r>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2"/>
      </w:pPr>
      <w:bookmarkStart w:id="3" w:name="_Toc256000573"/>
      <w:r>
        <w:t>Overview</w:t>
      </w:r>
      <w:bookmarkEnd w:id="3"/>
    </w:p>
    <w:p>
      <w:pPr>
        <w:pStyle w:val="BodyText"/>
      </w:pPr>
      <w:r>
        <w:t xml:space="preserve">This High-level solution design document is created by VCF Professional Services to support the deployment of the Solution for </w:t>
      </w:r>
      <w:r>
        <w:t>.</w:t>
      </w:r>
    </w:p>
    <w:p>
      <w:pPr>
        <w:pStyle w:val="BodyText"/>
      </w:pPr>
      <w:r>
        <w:t>This document may be accompanied by other documents that focus on the low-level design, as well as the implementation and operation aspects of the engagement. This includes documents such as installation guides, solution specification and verification workbooks if applicable for the solution.</w:t>
      </w:r>
    </w:p>
    <w:p>
      <w:pPr>
        <w:pStyle w:val="Heading3"/>
      </w:pPr>
      <w:bookmarkStart w:id="4" w:name="_Toc256000574"/>
      <w:r>
        <w:t>Executive Summary</w:t>
      </w:r>
      <w:bookmarkEnd w:id="4"/>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3"/>
      </w:pPr>
      <w:bookmarkStart w:id="5" w:name="_Toc256000575"/>
      <w:r>
        <w:t>Document Focus</w:t>
      </w:r>
      <w:bookmarkEnd w:id="5"/>
    </w:p>
    <w:p>
      <w:pPr>
        <w:pStyle w:val="BodyText"/>
      </w:pPr>
      <w:r>
        <w:t>This document, the Low-Level Design Document, is one of five main documents that which will collectively form the Low-Level design documents for the solution.</w:t>
      </w:r>
    </w:p>
    <w:p>
      <w:pPr>
        <w:pStyle w:val="BodyText"/>
      </w:pPr>
      <w:r>
        <w:t>This includes the following content, which may be presented as one or more technical documents as required by the solution.</w:t>
      </w:r>
    </w:p>
    <w:p>
      <w:pPr>
        <w:pStyle w:val="Heading4"/>
      </w:pPr>
      <w:bookmarkStart w:id="6" w:name="_Toc256000576"/>
      <w:r>
        <w:t>Physical Design</w:t>
      </w:r>
      <w:bookmarkEnd w:id="6"/>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4"/>
      </w:pPr>
      <w:bookmarkStart w:id="7" w:name="_Toc256000577"/>
      <w:r>
        <w:t>Sizing Workbook</w:t>
      </w:r>
      <w:bookmarkEnd w:id="7"/>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4"/>
      </w:pPr>
      <w:bookmarkStart w:id="8" w:name="_Toc256000578"/>
      <w:r>
        <w:t>Naming Convention Document</w:t>
      </w:r>
      <w:bookmarkEnd w:id="8"/>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4"/>
      </w:pPr>
      <w:bookmarkStart w:id="9" w:name="_Toc256000579"/>
      <w:r>
        <w:t>Solution Specification Workbook(s)</w:t>
      </w:r>
      <w:bookmarkEnd w:id="9"/>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4"/>
      </w:pPr>
      <w:bookmarkStart w:id="10" w:name="_Toc256000580"/>
      <w:r>
        <w:t>Solution Verification Workbook(s)</w:t>
      </w:r>
      <w:bookmarkEnd w:id="10"/>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1" w:name="B218d2e56bab44822b70a45e608b6a4bd"/>
      <w:bookmarkStart w:id="12" w:name="_Toc256000581"/>
      <w:r>
        <w:t>Organization Management</w:t>
      </w:r>
      <w:bookmarkEnd w:id="12"/>
      <w:bookmarkEnd w:id="11"/>
    </w:p>
    <w:p>
      <w:pPr>
        <w:pStyle w:val="BodyText"/>
      </w:pPr>
      <w:r>
        <w:t xml:space="preserve">Use </w:t>
      </w:r>
      <w:r>
        <w:t>VCF Automation</w:t>
      </w:r>
      <w:r>
        <w:t xml:space="preserve"> as a cloud administrator (or organization administrator) to set up projects for application teams, allocate resources, and apply governance.</w:t>
      </w:r>
    </w:p>
    <w:p>
      <w:pPr>
        <w:pStyle w:val="BodyText"/>
      </w:pPr>
      <w:r>
        <w:t xml:space="preserve">In </w:t>
      </w:r>
      <w:r>
        <w:t>VCF Automation</w:t>
      </w:r>
      <w:r>
        <w:t xml:space="preserve">, an organization is a top level entity that represents a line of business or a tenant. Each organization operates in a secure and isolated environment where users can access only allocated services and resources. Organizations consume resources and cloud services from a shared pool of resources. The resources allocated to organizations can be further allocated to application teams which are modeled in </w:t>
      </w:r>
      <w:r>
        <w:t>VCF Automation</w:t>
      </w:r>
      <w:r>
        <w:t xml:space="preserve"> as projects. Organizations have users with varying levels of permissions depending on their role and duties.</w:t>
      </w:r>
    </w:p>
    <w:p>
      <w:pPr>
        <w:pStyle w:val="BodyText"/>
      </w:pPr>
      <w:r>
        <w:t xml:space="preserve">Organizations in </w:t>
      </w:r>
      <w:r>
        <w:t>VCF Automation</w:t>
      </w:r>
      <w:r>
        <w:t xml:space="preserve"> are created by the provider administrator in the </w:t>
      </w:r>
      <w:r>
        <w:t>VCF Automation</w:t>
      </w:r>
      <w:r>
        <w:t xml:space="preserve"> Provider Management Portal. The provider administrator can create two types of organizations: an All Apps organization and a VM Apps organization. VM Apps organizations can run VM-based applications, while All Apps organizations are enabled to run a comprehensive set of built-in cloud services. For more information about creating </w:t>
      </w:r>
      <w:r>
        <w:t>VCF Automation</w:t>
      </w:r>
      <w:r>
        <w:t xml:space="preserve"> organizations in the provider portal, see </w:t>
      </w:r>
      <w:r>
        <w:t>Managing Organizations</w:t>
      </w:r>
      <w:r>
        <w:t>.</w:t>
      </w:r>
    </w:p>
    <w:p>
      <w:pPr>
        <w:pStyle w:val="BodyText"/>
      </w:pPr>
      <w:r>
        <w:t>Regardless of the type, each organization has its own organization portal where users log in to consume resources and services. Every organization has its own identity source that they connect to and can import users from.</w:t>
      </w:r>
    </w:p>
    <w:p>
      <w:pPr>
        <w:pStyle w:val="SectionHeading2"/>
      </w:pPr>
      <w:bookmarkStart w:id="13" w:name="_Toc256000582"/>
      <w:r>
        <w:t>All Apps Organizations in VCF Automation</w:t>
      </w:r>
      <w:bookmarkEnd w:id="13"/>
    </w:p>
    <w:p>
      <w:pPr>
        <w:pStyle w:val="BodyText"/>
      </w:pPr>
      <w:r>
        <w:t>All Apps оrganizations offer application teams a comprehensive set of built-in cloud services to provision VMs, Kubernetes, networking, volumes, Secret Store, databases, Harbor container registries, external DNS, certificates, and AI workloads. These cloud services can be consumed on a self-service basis through a curated catalog or self-service interfaces.</w:t>
      </w:r>
    </w:p>
    <w:p>
      <w:pPr>
        <w:pStyle w:val="BodyText"/>
      </w:pPr>
      <w:r>
        <w:t>Organizations enable line-of-business or tenant organization administrators to further organize and govern resources that are allocated to them among application teams through the following capabilities:</w:t>
      </w:r>
    </w:p>
    <w:p>
      <w:pPr>
        <w:pStyle w:val="BodyText"/>
        <w:numPr>
          <w:numId w:val="8"/>
        </w:numPr>
      </w:pPr>
      <w:r>
        <w:t>Resource management for project teams.</w:t>
      </w:r>
    </w:p>
    <w:p>
      <w:pPr>
        <w:pStyle w:val="BodyText"/>
        <w:numPr>
          <w:numId w:val="8"/>
        </w:numPr>
      </w:pPr>
      <w:r>
        <w:t>Centralized content management for the organization.</w:t>
      </w:r>
    </w:p>
    <w:p>
      <w:pPr>
        <w:pStyle w:val="BodyText"/>
        <w:numPr>
          <w:numId w:val="8"/>
        </w:numPr>
      </w:pPr>
      <w:r>
        <w:t>Policy-based governance on usage of resources.</w:t>
      </w:r>
    </w:p>
    <w:p>
      <w:pPr>
        <w:pStyle w:val="BodyText"/>
        <w:numPr>
          <w:numId w:val="8"/>
        </w:numPr>
      </w:pPr>
      <w:r>
        <w:t>Quota-based management of networking resources.</w:t>
      </w:r>
    </w:p>
    <w:p>
      <w:pPr>
        <w:pStyle w:val="BodyText"/>
        <w:numPr>
          <w:numId w:val="8"/>
        </w:numPr>
      </w:pPr>
      <w:r>
        <w:t>Workflow orchestration and extensibility through event subscriptions.</w:t>
      </w:r>
    </w:p>
    <w:p>
      <w:pPr>
        <w:pStyle w:val="BodyText"/>
        <w:numPr>
          <w:numId w:val="8"/>
        </w:numPr>
      </w:pPr>
      <w:r>
        <w:t>Integration with identity providers of their choice.</w:t>
      </w:r>
    </w:p>
    <w:p>
      <w:pPr>
        <w:pStyle w:val="BodyText"/>
      </w:pPr>
      <w:r>
        <w:t xml:space="preserve">For information on working with All Apps organizations, see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Bbb578ad4892f4b31bc176fff9af59f8c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Organizations in VMware Cloud Foundation Automation</w:t>
      </w:r>
      <w:r>
        <w:fldChar w:fldCharType="end"/>
      </w:r>
      <w:r>
        <w:t xml:space="preserve"> guide.</w:t>
      </w:r>
    </w:p>
    <w:p>
      <w:pPr>
        <w:pStyle w:val="SectionHeading2"/>
      </w:pPr>
      <w:bookmarkStart w:id="14" w:name="_Toc256000583"/>
      <w:r>
        <w:t>Provider Consumption Organizations in VCF Automation</w:t>
      </w:r>
      <w:bookmarkEnd w:id="14"/>
    </w:p>
    <w:p>
      <w:pPr>
        <w:pStyle w:val="BodyText"/>
      </w:pPr>
      <w:r>
        <w:t xml:space="preserve">A Provider Consumption organization (PCO) is a special type of All Apps organization in </w:t>
      </w:r>
      <w:r>
        <w:t>VCF Automation</w:t>
      </w:r>
      <w:r>
        <w:t xml:space="preserve"> that the provider administrator enables in the </w:t>
      </w:r>
      <w:r>
        <w:t>VCF Automation</w:t>
      </w:r>
      <w:r>
        <w:t xml:space="preserve"> Provider Management Portal. The provider administrator can enable only one Provider Consumption organization. For more information about PCOs, see </w:t>
      </w:r>
      <w:r>
        <w:t>Create a Provider Consumption Organization</w:t>
      </w:r>
      <w:r>
        <w:t>.</w:t>
      </w:r>
    </w:p>
    <w:p>
      <w:pPr>
        <w:pStyle w:val="BodyText"/>
      </w:pPr>
      <w:r>
        <w:t>The PCO is intended for use when the provider wants to have their own consumption service for their users and/or they want to share catalog items with other organizations under their management.</w:t>
      </w:r>
    </w:p>
    <w:p>
      <w:pPr>
        <w:pStyle w:val="BodyText"/>
      </w:pPr>
      <w:r>
        <w:t>PCOs are administered in the same way as other All Apps organizations, but they offer some additional capabilities on top of what a standard All Apps organization provides.</w:t>
      </w:r>
    </w:p>
    <w:p>
      <w:pPr>
        <w:pStyle w:val="BodyText"/>
        <w:numPr>
          <w:numId w:val="9"/>
        </w:numPr>
      </w:pPr>
      <w:r>
        <w:t xml:space="preserve">PCOs come with a preconfigured </w:t>
      </w:r>
      <w:r>
        <w:t>VCF Operations orchestrator</w:t>
      </w:r>
      <w:r>
        <w:t xml:space="preserve"> instance that is embedded in the organization portal, which you access on the </w:t>
      </w:r>
      <w:r>
        <w:rPr>
          <w:rStyle w:val="InlineUI"/>
        </w:rPr>
        <w:t>Orchestrate</w:t>
      </w:r>
      <w:r>
        <w:t xml:space="preserve"> tab.</w:t>
      </w:r>
    </w:p>
    <w:p>
      <w:pPr>
        <w:pStyle w:val="BodyText"/>
        <w:numPr>
          <w:numId w:val="9"/>
        </w:numPr>
      </w:pPr>
      <w:r>
        <w:t xml:space="preserve">As a PCO administrator, you can publish </w:t>
      </w:r>
      <w:r>
        <w:t>VCF Operations orchestrator</w:t>
      </w:r>
      <w:r>
        <w:t xml:space="preserve"> objects as catalog items to other organizations that use the same embedded </w:t>
      </w:r>
      <w:r>
        <w:t>VCF Operations orchestrator</w:t>
      </w:r>
      <w:r>
        <w:t xml:space="preserve"> instance.</w:t>
      </w:r>
    </w:p>
    <w:p>
      <w:pPr>
        <w:pStyle w:val="BodyText"/>
        <w:numPr>
          <w:numId w:val="9"/>
        </w:numPr>
      </w:pPr>
      <w:r>
        <w:t>You can publish catalog items to other organizations that use VM images from a provider content library.</w:t>
      </w:r>
    </w:p>
    <w:p>
      <w:pPr>
        <w:pStyle w:val="BodyText"/>
      </w:pPr>
      <w:r>
        <w:t xml:space="preserve">For more information about managing your </w:t>
      </w:r>
      <w:r>
        <w:t>VCF Operations orchestrator</w:t>
      </w:r>
      <w:r>
        <w:t xml:space="preserve"> integration, see </w:t>
      </w:r>
      <w:r>
        <w:t>Managing VMware Cloud Foundation Operations Orchestrator</w:t>
      </w:r>
      <w:r>
        <w:t>.</w:t>
      </w:r>
    </w:p>
    <w:p>
      <w:pPr>
        <w:pStyle w:val="SectionHeading2"/>
      </w:pPr>
      <w:bookmarkStart w:id="15" w:name="_Toc256000584"/>
      <w:r>
        <w:t>VM Apps Organizations in VCF Automation</w:t>
      </w:r>
      <w:bookmarkEnd w:id="15"/>
    </w:p>
    <w:p>
      <w:pPr>
        <w:pStyle w:val="BodyText"/>
      </w:pPr>
      <w:r>
        <w:t xml:space="preserve">VM Apps organizations help existing VMware Aria Automation users transition to </w:t>
      </w:r>
      <w:r>
        <w:t>VCF Automation</w:t>
      </w:r>
      <w:r>
        <w:t xml:space="preserve"> 9.0 without any impact to infrastructure, automation, or end-user experience.</w:t>
      </w:r>
    </w:p>
    <w:p>
      <w:pPr>
        <w:pStyle w:val="BodyText"/>
      </w:pPr>
      <w:r>
        <w:t>In VM Apps organizations, the allocation of resources, like cloud accounts, cloud zones, profiles, image mappings and so on, is contained in the organization itself. The organization administrator defines and works with the infrastructure; the provider administrator does not allocate resources to organization of this type.</w:t>
      </w:r>
    </w:p>
    <w:p>
      <w:pPr>
        <w:pStyle w:val="BodyText"/>
        <w:pBdr>
          <w:top w:val="single" w:sz="8" w:space="2" w:color="D3D3D3"/>
          <w:bottom w:val="single" w:sz="8" w:space="2" w:color="D3D3D3"/>
        </w:pBdr>
      </w:pPr>
      <w:r>
        <w:rPr>
          <w:rStyle w:val="NoteLeaderimportant"/>
        </w:rPr>
        <w:t>Important</w:t>
        <w:tab/>
      </w:r>
      <w:r>
        <w:t xml:space="preserve">If you upgrade an existing VMware Aria Automation 8.x deployment to </w:t>
      </w:r>
      <w:r>
        <w:t>VCF Automation</w:t>
      </w:r>
      <w:r>
        <w:t xml:space="preserve"> 9, your organizations are automatically mapped to </w:t>
      </w:r>
      <w:r>
        <w:t>VCF Automation</w:t>
      </w:r>
      <w:r>
        <w:t xml:space="preserve"> for VM Apps organizations. You continue to use vIDB and VMware Aria Suite Lifecycle to manage vIDM to maintain legacy authentication.</w:t>
      </w:r>
    </w:p>
    <w:p>
      <w:pPr>
        <w:pStyle w:val="BodyText"/>
      </w:pPr>
      <w:r>
        <w:t xml:space="preserve">For information on working with VM Apps organizations, see the </w:t>
      </w:r>
      <w:r>
        <w:t>Managing Organizations in for VM Apps</w:t>
      </w:r>
      <w:r>
        <w:t xml:space="preserve"> guide.</w:t>
      </w:r>
    </w:p>
    <w:p>
      <w:pPr>
        <w:pStyle w:val="SectionHeading2"/>
      </w:pPr>
      <w:bookmarkStart w:id="16" w:name="_Toc256000585"/>
      <w:r>
        <w:t>Best Practices for Organizations in VCF Automation</w:t>
      </w:r>
      <w:bookmarkEnd w:id="16"/>
    </w:p>
    <w:p>
      <w:pPr>
        <w:pStyle w:val="BodyText"/>
      </w:pPr>
      <w:r>
        <w:rPr>
          <w:rStyle w:val="InlineUI"/>
        </w:rPr>
        <w:t>When to use All Apps vs VM Apps?</w:t>
      </w:r>
    </w:p>
    <w:p>
      <w:pPr>
        <w:pStyle w:val="BodyText"/>
        <w:numPr>
          <w:numId w:val="10"/>
        </w:numPr>
      </w:pPr>
      <w:r>
        <w:t xml:space="preserve">All Apps organizations are used when organizations are ready to leverage the comprehensive set of built-in cloud services to provision VMs, Kubernetes, and so on. The underlying infrastructure requires vSphere Supervisor clusters and is managed in the </w:t>
      </w:r>
      <w:r>
        <w:t>VCF Automation</w:t>
      </w:r>
      <w:r>
        <w:t xml:space="preserve"> Provider Management Portal. Talk to your provider administrator about how you can leverage these capabilities.</w:t>
      </w:r>
    </w:p>
    <w:p>
      <w:pPr>
        <w:pStyle w:val="BodyText"/>
        <w:numPr>
          <w:numId w:val="10"/>
        </w:numPr>
      </w:pPr>
      <w:r>
        <w:t>VM Apps organizations are intended for current users of VMware Aria Automation who want to continue their journey with minimal disruptions. The VM Apps organization is fully self-contained with built-in infrastructure management and consumption capabilities.</w:t>
      </w:r>
    </w:p>
    <w:p>
      <w:pPr>
        <w:pStyle w:val="BodyText"/>
      </w:pPr>
      <w:r>
        <w:rPr>
          <w:rStyle w:val="InlineUI"/>
        </w:rPr>
        <w:t>When to use blueprints vs the IaaS self-service console?</w:t>
      </w:r>
    </w:p>
    <w:p>
      <w:pPr>
        <w:pStyle w:val="BodyText"/>
        <w:numPr>
          <w:numId w:val="11"/>
        </w:numPr>
      </w:pPr>
      <w:r>
        <w:t>Blueprints and the catalog offer a controlled manner to build and curate infrastructure. They are prescriptive in terms of the provisioned resources and so are suitable to deploy applications in production. They are also suitable for end users who do not want to concern themselves with details of the infrastructure.</w:t>
      </w:r>
    </w:p>
    <w:p>
      <w:pPr>
        <w:pStyle w:val="BodyText"/>
        <w:numPr>
          <w:numId w:val="11"/>
        </w:numPr>
      </w:pPr>
      <w:r>
        <w:t>The IaaS self-service console offers more flexibility and is more suitable for development purposes.</w:t>
      </w:r>
    </w:p>
    <w:p>
      <w:pPr>
        <w:pStyle w:val="SectionHeading2"/>
      </w:pPr>
      <w:bookmarkStart w:id="17" w:name="_Toc256000586"/>
      <w:r>
        <w:t>Getting to Know VCF</w:t>
      </w:r>
      <w:bookmarkEnd w:id="17"/>
    </w:p>
    <w:p>
      <w:pPr>
        <w:pStyle w:val="BodyText"/>
      </w:pPr>
      <w:r>
        <w:t xml:space="preserve">To apply this documentation, you must be acquainted with the </w:t>
      </w:r>
      <w:r>
        <w:t>VCF Product Overview</w:t>
      </w:r>
      <w:r>
        <w:t xml:space="preserve">, </w:t>
      </w:r>
      <w:r>
        <w:t>VCF Design</w:t>
      </w:r>
      <w:r>
        <w:t xml:space="preserve">, and </w:t>
      </w:r>
      <w:r>
        <w:t>VCF Release Notes</w:t>
      </w:r>
      <w:r>
        <w:t>.</w:t>
      </w:r>
    </w:p>
    <w:p>
      <w:pPr>
        <w:pStyle w:val="SectionHeading2"/>
      </w:pPr>
      <w:bookmarkStart w:id="18" w:name="_Toc256000587"/>
      <w:r>
        <w:t>SDKs, APIs, and CLI for VCF Administration</w:t>
      </w:r>
      <w:bookmarkEnd w:id="18"/>
    </w:p>
    <w:p>
      <w:pPr>
        <w:pStyle w:val="BodyText"/>
      </w:pPr>
      <w:r>
        <w:t xml:space="preserve">You can build, operate, and manage your </w:t>
      </w:r>
      <w:r>
        <w:t>VCF</w:t>
      </w:r>
      <w:r>
        <w:t xml:space="preserve"> private cloud by using the </w:t>
      </w:r>
      <w:r>
        <w:t>VCF</w:t>
      </w:r>
      <w:r>
        <w:t xml:space="preserve"> SDK and APIs, and </w:t>
      </w:r>
      <w:r>
        <w:t>VCF</w:t>
      </w:r>
      <w:r>
        <w:t xml:space="preserve"> PowerCLI. See </w:t>
      </w:r>
      <w:r>
        <w:t>Administration SDKs, APIs, and CLI</w:t>
      </w:r>
      <w:r>
        <w:t>.</w:t>
      </w:r>
    </w:p>
    <w:p>
      <w:pPr>
        <w:pStyle w:val="Heading2"/>
      </w:pPr>
      <w:bookmarkStart w:id="19" w:name="Bbb578ad4892f4b31bc176fff9af59f8c"/>
      <w:bookmarkStart w:id="20" w:name="_Toc256000588"/>
      <w:r>
        <w:t>Managing Organizations in VMware Cloud Foundation Automation</w:t>
      </w:r>
      <w:bookmarkEnd w:id="20"/>
      <w:bookmarkEnd w:id="19"/>
    </w:p>
    <w:p>
      <w:pPr>
        <w:pStyle w:val="BodyText"/>
      </w:pPr>
      <w:r>
        <w:t xml:space="preserve">With </w:t>
      </w:r>
      <w:r>
        <w:t>VMware Cloud Foundation Automation</w:t>
      </w:r>
      <w:r>
        <w:t xml:space="preserve"> (</w:t>
      </w:r>
      <w:r>
        <w:t>VCF Automation</w:t>
      </w:r>
      <w:r>
        <w:t>), you, as an organization administrator, and your application teams can view and consume infrastructure that the provider administrator made available to your organization. As an organization administrator, you create projects, manage users, and define resource limits for running workloads.</w:t>
      </w:r>
    </w:p>
    <w:p>
      <w:pPr>
        <w:pStyle w:val="BodyText"/>
      </w:pPr>
      <w:r>
        <w:t>The underlying infrastructure is based on vSphere Supervisors, which serve as the foundational structure for resource allocation. Supervisor-based infrastructure supports modern application use cases for provisioning containers and VMs. Provider administrators allocate infrastructure resources to organizations using regional quotas, while organization administrators distribute that allocated infrastructure to different projects within the organization using namespaces.</w:t>
      </w:r>
    </w:p>
    <w:p>
      <w:pPr>
        <w:pStyle w:val="SectionHeading3"/>
      </w:pPr>
      <w:bookmarkStart w:id="21" w:name="_Toc256000589"/>
      <w:r>
        <w:t>Infrastructure Concepts</w:t>
      </w:r>
      <w:bookmarkEnd w:id="21"/>
    </w:p>
    <w:p>
      <w:pPr>
        <w:pStyle w:val="BodyText"/>
      </w:pPr>
      <w:r>
        <w:t>VCF Automation</w:t>
      </w:r>
      <w:r>
        <w:t xml:space="preserve"> enables a private cloud experience by providing abstraction layers on vSphere infrastructure. Each abstraction serves a specific purpose.</w:t>
      </w:r>
    </w:p>
    <w:p>
      <w:pPr>
        <w:pStyle w:val="BodyText"/>
      </w:pPr>
      <w:r>
        <w:rPr>
          <w:rStyle w:val="InlineUI"/>
        </w:rPr>
        <w:t>Regions.</w:t>
      </w:r>
      <w:r>
        <w:t xml:space="preserve"> A region in </w:t>
      </w:r>
      <w:r>
        <w:t>VCF Automation</w:t>
      </w:r>
      <w:r>
        <w:t xml:space="preserve"> aggregates compute, storage, memory, and networking resources from one or more zones. Regions are defined and managed by the provider administrator.</w:t>
      </w:r>
    </w:p>
    <w:p>
      <w:pPr>
        <w:pStyle w:val="BodyText"/>
      </w:pPr>
      <w:r>
        <w:rPr>
          <w:rStyle w:val="InlineUI"/>
        </w:rPr>
        <w:t>Zones.</w:t>
      </w:r>
      <w:r>
        <w:t xml:space="preserve"> A zone represents a vSphere cluster that provides compute, memory, and storage resources for the organization.</w:t>
      </w:r>
    </w:p>
    <w:p>
      <w:pPr>
        <w:pStyle w:val="BodyText"/>
      </w:pPr>
      <w:r>
        <w:rPr>
          <w:rStyle w:val="InlineUI"/>
        </w:rPr>
        <w:t>Region Quota.</w:t>
      </w:r>
      <w:r>
        <w:t xml:space="preserve"> A region quota defines the compute and storage resources that are allocated to an organization for a given region. The organization can receive quotas from multiple regions. The provider administrator decides from which regions to give a quota to an organization. The region quota can be split across more than one vSphere zone in a region. A region quota includes the following:</w:t>
      </w:r>
    </w:p>
    <w:p>
      <w:pPr>
        <w:pStyle w:val="BodyText"/>
        <w:numPr>
          <w:numId w:val="12"/>
        </w:numPr>
      </w:pPr>
      <w:r>
        <w:t>CPU and memory utilization limits which represent the upper bound of quota in a region.</w:t>
      </w:r>
    </w:p>
    <w:p>
      <w:pPr>
        <w:pStyle w:val="BodyText"/>
        <w:numPr>
          <w:numId w:val="12"/>
        </w:numPr>
      </w:pPr>
      <w:r>
        <w:t>CPU and memory reservations which represent the guaranteed capacity that is allocated in a region.</w:t>
      </w:r>
    </w:p>
    <w:p>
      <w:pPr>
        <w:pStyle w:val="BodyText"/>
        <w:numPr>
          <w:numId w:val="12"/>
        </w:numPr>
      </w:pPr>
      <w:r>
        <w:t xml:space="preserve">VM classes which represent the T-shirt-sized classes of compute that are available to the organization. </w:t>
      </w:r>
    </w:p>
    <w:p>
      <w:pPr>
        <w:pStyle w:val="BodyText"/>
        <w:numPr>
          <w:numId w:val="12"/>
        </w:numPr>
      </w:pPr>
      <w:r>
        <w:t>Storage classes which represent the storage policies and the quota that is assigned in a region.</w:t>
      </w:r>
    </w:p>
    <w:p>
      <w:pPr>
        <w:pStyle w:val="SectionHeading3"/>
      </w:pPr>
      <w:bookmarkStart w:id="22" w:name="_Toc256000590"/>
      <w:r>
        <w:t>Resources for Application Teams</w:t>
      </w:r>
      <w:bookmarkEnd w:id="22"/>
    </w:p>
    <w:p>
      <w:pPr>
        <w:pStyle w:val="BodyText"/>
      </w:pPr>
      <w:r>
        <w:t>Resources allocated to the organization in the form of a region quota can be further subdivided and allocated to application teams.</w:t>
      </w:r>
    </w:p>
    <w:p>
      <w:pPr>
        <w:pStyle w:val="BodyText"/>
      </w:pPr>
      <w:r>
        <w:rPr>
          <w:rStyle w:val="InlineUI"/>
        </w:rPr>
        <w:t>Project.</w:t>
      </w:r>
      <w:r>
        <w:t xml:space="preserve"> Projects are logical representations of users and user groups and the resource pools that those users are entitled to. The resource pools that projects use are called namespaces. Resources, like VMs and Kubernetes clusters, are provisioned on namespaces.</w:t>
      </w:r>
    </w:p>
    <w:p>
      <w:pPr>
        <w:pStyle w:val="BodyText"/>
      </w:pPr>
      <w:r>
        <w:rPr>
          <w:rStyle w:val="InlineUI"/>
        </w:rPr>
        <w:t>Namespace.</w:t>
      </w:r>
      <w:r>
        <w:t xml:space="preserve"> A vSphere Namespace is a resource pool that comprises CPU, memory, and storage resources that are assigned to projects in</w:t>
      </w:r>
      <w:r>
        <w:t>VCF Automation</w:t>
      </w:r>
      <w:r>
        <w:t>. Namespaces derive their quota from the overall region quota of the organization and come with controls such CPU, memory, and storage usage. Each namespace is bound to the scope of the project that it is associated with. Each project can contain multiple namespaces. Because the region quota can be split across multiple vSphere zones, the resource pool of a namespace can also be split across multiple vSphere zones. As an organization administrator, you can configure which zones a namespace can derive its resource limits from.</w:t>
      </w:r>
    </w:p>
    <w:p>
      <w:pPr>
        <w:pStyle w:val="BodyText"/>
      </w:pPr>
      <w:r>
        <w:rPr>
          <w:rStyle w:val="InlineUI"/>
        </w:rPr>
        <w:t>Namespace Class.</w:t>
      </w:r>
      <w:r>
        <w:t xml:space="preserve"> Namespace classes are templates for defining guardrails on parameters that are used to create a namespace, like CPU limits, storage limits, permissible VM and storage classes, and others. Namespace classes are a prerequisite for creating namespaces. In the namespace class, you can set default values for CPU and memory limits and reservations. If a namespace class has a zone defined, default values for namespace limits and reservations are used from the zone section. As an organization administrator, you create namespace classes that fit your project needs. You can create one or more namespaces using the default namespace classes that come preconfigured in your organization. You can also override those defaults in a given project to suit specific configurations.</w:t>
      </w:r>
    </w:p>
    <w:p>
      <w:pPr>
        <w:pStyle w:val="BodyText"/>
      </w:pPr>
      <w:r>
        <w:t>An example of an organization quota:</w:t>
      </w:r>
    </w:p>
    <w:p>
      <w:pPr>
        <w:pStyle w:val="BodyText"/>
        <w:numPr>
          <w:numId w:val="13"/>
        </w:numPr>
      </w:pPr>
      <w:r>
        <w:t xml:space="preserve">Region </w:t>
      </w:r>
      <w:r>
        <w:rPr>
          <w:rStyle w:val="InlineVar"/>
        </w:rPr>
        <w:t>region-one</w:t>
      </w:r>
      <w:r>
        <w:t xml:space="preserve"> has three vSphere Zones - </w:t>
      </w:r>
      <w:r>
        <w:rPr>
          <w:rStyle w:val="InlineVar"/>
        </w:rPr>
        <w:t>vs-zone-1</w:t>
      </w:r>
      <w:r>
        <w:t xml:space="preserve">, </w:t>
      </w:r>
      <w:r>
        <w:rPr>
          <w:rStyle w:val="InlineVar"/>
        </w:rPr>
        <w:t>vs-zone-2</w:t>
      </w:r>
      <w:r>
        <w:t xml:space="preserve">, and </w:t>
      </w:r>
      <w:r>
        <w:rPr>
          <w:rStyle w:val="InlineVar"/>
        </w:rPr>
        <w:t>vs-zone-3</w:t>
      </w:r>
      <w:r>
        <w:t>.</w:t>
      </w:r>
    </w:p>
    <w:p>
      <w:pPr>
        <w:pStyle w:val="BodyText"/>
        <w:numPr>
          <w:numId w:val="13"/>
        </w:numPr>
      </w:pPr>
      <w:r>
        <w:t xml:space="preserve">Organization </w:t>
      </w:r>
      <w:r>
        <w:rPr>
          <w:rStyle w:val="InlineVar"/>
        </w:rPr>
        <w:t>org-1</w:t>
      </w:r>
      <w:r>
        <w:t xml:space="preserve"> has a region quota of 25Ghz of CPU in </w:t>
      </w:r>
      <w:r>
        <w:rPr>
          <w:rStyle w:val="InlineVar"/>
        </w:rPr>
        <w:t>vs-zone-1</w:t>
      </w:r>
      <w:r>
        <w:t xml:space="preserve"> and 50GHz of CPU in </w:t>
      </w:r>
      <w:r>
        <w:rPr>
          <w:rStyle w:val="InlineVar"/>
        </w:rPr>
        <w:t>vs-zone2</w:t>
      </w:r>
      <w:r>
        <w:t xml:space="preserve"> for a total quota of 75Ghz of CPU in </w:t>
      </w:r>
      <w:r>
        <w:rPr>
          <w:rStyle w:val="InlineVar"/>
        </w:rPr>
        <w:t>region-one</w:t>
      </w:r>
      <w:r>
        <w:t>.</w:t>
      </w:r>
    </w:p>
    <w:p>
      <w:pPr>
        <w:pStyle w:val="SectionHeading3"/>
      </w:pPr>
      <w:bookmarkStart w:id="23" w:name="_Toc256000591"/>
      <w:r>
        <w:t>Networking Concepts</w:t>
      </w:r>
      <w:bookmarkEnd w:id="23"/>
    </w:p>
    <w:p>
      <w:pPr>
        <w:pStyle w:val="BodyText"/>
      </w:pPr>
      <w:r>
        <w:rPr>
          <w:rStyle w:val="InlineUI"/>
        </w:rPr>
        <w:t>VPC.</w:t>
      </w:r>
      <w:r>
        <w:t xml:space="preserve"> Virtual private clouds (VPCs) are the foundational networking element used in </w:t>
      </w:r>
      <w:r>
        <w:t>VCF Automation</w:t>
      </w:r>
      <w:r>
        <w:t xml:space="preserve"> to enable applications to communicate with each other and the outside world. A VPC provides an isolated domain of networking resources that can be associated with one or more namespaces. As the organization administrator, you create VPCs for your organization. In addition, organization administrators and advanced project users can use the Networking Service in the IaaS Console to create, update, and manage resources within a given VPC.</w:t>
      </w:r>
    </w:p>
    <w:p>
      <w:pPr>
        <w:pStyle w:val="BodyText"/>
      </w:pPr>
      <w:r>
        <w:rPr>
          <w:rStyle w:val="InlineUI"/>
        </w:rPr>
        <w:t>Connectivity Profile.</w:t>
      </w:r>
      <w:r>
        <w:t xml:space="preserve"> A connectivity profile is a template for VPC configuration. You can provide one or more external and private Transit Gateway IP address blocks that are used by VPCs configured with a specific connectivity profile. When the provider administrator allocates the regional networking configuration to the organization, а default connectivity profile is created. As an organization administrator, you can create additional connectivity profiles to use in your organization. </w:t>
      </w:r>
    </w:p>
    <w:p>
      <w:pPr>
        <w:pStyle w:val="SectionHeading3"/>
      </w:pPr>
      <w:bookmarkStart w:id="24" w:name="_Toc256000592"/>
      <w:r>
        <w:t>Consumption Concepts</w:t>
      </w:r>
      <w:bookmarkEnd w:id="24"/>
    </w:p>
    <w:p>
      <w:pPr>
        <w:pStyle w:val="BodyText"/>
      </w:pPr>
      <w:r>
        <w:t xml:space="preserve">Application teams can provision resources on a self-service basis in </w:t>
      </w:r>
      <w:r>
        <w:t>VCF Automation</w:t>
      </w:r>
      <w:r>
        <w:t xml:space="preserve"> using the catalog or the IaaS Services console. The catalog contains blueprints that are curated and maintained by the organization administrator, while cloud services in the IaaS Services console can be accessed directly without blueprints. Both methods of provisioning resources require content libraries that host the images.</w:t>
      </w:r>
    </w:p>
    <w:p>
      <w:pPr>
        <w:pStyle w:val="BodyText"/>
      </w:pPr>
      <w:r>
        <w:rPr>
          <w:rStyle w:val="InlineUI"/>
        </w:rPr>
        <w:t>Blueprints and Catalog.</w:t>
      </w:r>
      <w:r>
        <w:t xml:space="preserve"> Blueprints are infrastructure templates that define the resources and cloud services you want to create to run an application. Organization administrators create the blueprints and publish them as catalog items for end users. End users interact with form entries of catalog items to request resources. These forms can be customized to hide unnecessary fields or to create dynamic entries.</w:t>
      </w:r>
    </w:p>
    <w:p>
      <w:pPr>
        <w:pStyle w:val="BodyText"/>
      </w:pPr>
      <w:r>
        <w:rPr>
          <w:rStyle w:val="InlineUI"/>
        </w:rPr>
        <w:t>Self-service IaaS Console.</w:t>
      </w:r>
      <w:r>
        <w:t xml:space="preserve"> The self-service IaaS Services Console in </w:t>
      </w:r>
      <w:r>
        <w:t>VCF Automation</w:t>
      </w:r>
      <w:r>
        <w:t xml:space="preserve"> allows users to provision cloud services directly on namespaces from the </w:t>
      </w:r>
      <w:r>
        <w:t>VCF Automation</w:t>
      </w:r>
      <w:r>
        <w:t xml:space="preserve"> user interface, the </w:t>
      </w:r>
      <w:r>
        <w:t>VCF Automation</w:t>
      </w:r>
      <w:r>
        <w:t xml:space="preserve"> APIs, and CLIs without the need for blueprints and the catalog.</w:t>
      </w:r>
    </w:p>
    <w:p>
      <w:pPr>
        <w:pStyle w:val="BodyText"/>
      </w:pPr>
      <w:r>
        <w:rPr>
          <w:rStyle w:val="InlineUI"/>
        </w:rPr>
        <w:t>Content Library.</w:t>
      </w:r>
      <w:r>
        <w:t xml:space="preserve"> Content libraries host VM images that application teams use when deploying resources. Organizations can either use content libraries that are provided by the provider administrator or create their own organization-specific content libraries.</w:t>
      </w:r>
    </w:p>
    <w:p>
      <w:pPr>
        <w:pStyle w:val="BodyText"/>
      </w:pPr>
      <w:r>
        <w:rPr>
          <w:rStyle w:val="InlineUI"/>
        </w:rPr>
        <w:t>Policies.</w:t>
      </w:r>
      <w:r>
        <w:t xml:space="preserve"> Policies provide governance on resources like VMs and VKS clusters that are provisioned from cloud services. Policies can be applied to the whole organization or to individual projects. </w:t>
      </w:r>
      <w:r>
        <w:t>VCF Automation</w:t>
      </w:r>
      <w:r>
        <w:t xml:space="preserve"> supports two types of policies:</w:t>
      </w:r>
    </w:p>
    <w:p>
      <w:pPr>
        <w:pStyle w:val="BodyText"/>
        <w:numPr>
          <w:numId w:val="14"/>
        </w:numPr>
      </w:pPr>
      <w:r>
        <w:t>Policies that are applied to resources provisioned from the catalog, such as Approval, Day 2, and Lease policies.</w:t>
      </w:r>
    </w:p>
    <w:p>
      <w:pPr>
        <w:pStyle w:val="BodyText"/>
        <w:numPr>
          <w:numId w:val="14"/>
        </w:numPr>
      </w:pPr>
      <w:r>
        <w:t>Policies that are applied to resources provisioned through the self-service IaaS console.</w:t>
      </w:r>
    </w:p>
    <w:p>
      <w:pPr>
        <w:pStyle w:val="Heading2"/>
      </w:pPr>
      <w:bookmarkStart w:id="25" w:name="_Toc256000593"/>
      <w:r>
        <w:t>Getting Started with Organizations in VCF Automation</w:t>
      </w:r>
      <w:bookmarkEnd w:id="25"/>
    </w:p>
    <w:p>
      <w:pPr>
        <w:pStyle w:val="BodyText"/>
      </w:pPr>
      <w:r>
        <w:t xml:space="preserve">As an administrator of a </w:t>
      </w:r>
      <w:r>
        <w:t>VCF Automation</w:t>
      </w:r>
      <w:r>
        <w:t xml:space="preserve"> organization, you manage user access, network configurations, including VPCs and subnets, and policies for your organization. You also create namespaces and manage provider-assigned quotas for the resources associated with the namespaces in your organization.</w:t>
      </w:r>
    </w:p>
    <w:p>
      <w:pPr>
        <w:pStyle w:val="SectionHeading3"/>
      </w:pPr>
      <w:bookmarkStart w:id="26" w:name="_Toc256000594"/>
      <w:r>
        <w:t>Using the VCF Automation Organization User Interface</w:t>
      </w:r>
      <w:bookmarkEnd w:id="26"/>
    </w:p>
    <w:p>
      <w:pPr>
        <w:pStyle w:val="BodyText"/>
      </w:pPr>
      <w:r>
        <w:t xml:space="preserve">An overview of the </w:t>
      </w:r>
      <w:r>
        <w:t>VCF Automation</w:t>
      </w:r>
      <w:r>
        <w:t xml:space="preserve"> organization user interface includes the following basic functions.</w:t>
      </w:r>
    </w:p>
    <w:p>
      <w:pPr>
        <w:pStyle w:val="BodyText"/>
        <w:pBdr>
          <w:top w:val="single" w:sz="8" w:space="2" w:color="D3D3D3"/>
          <w:bottom w:val="single" w:sz="8" w:space="2" w:color="D3D3D3"/>
        </w:pBdr>
      </w:pPr>
      <w:r>
        <w:rPr>
          <w:rStyle w:val="NoteLeadernote"/>
        </w:rPr>
        <w:t>Note</w:t>
        <w:tab/>
      </w:r>
      <w:r>
        <w:t>This overview covers what organization administrators with full access to the user interface see. Depending on your user rights, you may not see and access all tabs.</w:t>
      </w:r>
    </w:p>
    <w:p>
      <w:pPr>
        <w:pStyle w:val="BodyText"/>
        <w:numPr>
          <w:numId w:val="15"/>
        </w:numPr>
      </w:pPr>
      <w:r>
        <w:t xml:space="preserve">The </w:t>
      </w:r>
      <w:r>
        <w:rPr>
          <w:rStyle w:val="InlineUI"/>
        </w:rPr>
        <w:t>Overview</w:t>
      </w:r>
      <w:r>
        <w:t xml:space="preserve"> tab shows you important infrastructure and consumption metrics in your organization. It also provides quick links to your IaaS services.</w:t>
      </w:r>
    </w:p>
    <w:p>
      <w:pPr>
        <w:pStyle w:val="BodyText"/>
        <w:numPr>
          <w:numId w:val="15"/>
        </w:numPr>
      </w:pPr>
      <w:r>
        <w:t xml:space="preserve">The </w:t>
      </w:r>
      <w:r>
        <w:rPr>
          <w:rStyle w:val="InlineUI"/>
        </w:rPr>
        <w:t>Build &amp; Deploy</w:t>
      </w:r>
      <w:r>
        <w:t xml:space="preserve"> tab is your content hub and development home. Administrators can create blueprints and content libraries, publish workflows to the catalog, and create extensibility events. Project users can deploy cloud services from catalog items or can access the IaaS Services console.</w:t>
      </w:r>
    </w:p>
    <w:p>
      <w:pPr>
        <w:pStyle w:val="BodyText"/>
        <w:numPr>
          <w:numId w:val="15"/>
        </w:numPr>
      </w:pPr>
      <w:r>
        <w:t xml:space="preserve">The </w:t>
      </w:r>
      <w:r>
        <w:rPr>
          <w:rStyle w:val="InlineUI"/>
        </w:rPr>
        <w:t>Manage &amp; Govern</w:t>
      </w:r>
      <w:r>
        <w:t xml:space="preserve"> tab is where administrators manage the slices of infrastructure that the provider allocated to the organization. That includes projects, namespaces, namespace classes, policies, and networking. </w:t>
      </w:r>
    </w:p>
    <w:p>
      <w:pPr>
        <w:pStyle w:val="BodyText"/>
        <w:numPr>
          <w:numId w:val="15"/>
        </w:numPr>
      </w:pPr>
      <w:r>
        <w:t xml:space="preserve">The </w:t>
      </w:r>
      <w:r>
        <w:rPr>
          <w:rStyle w:val="InlineUI"/>
        </w:rPr>
        <w:t>Orchestrate</w:t>
      </w:r>
      <w:r>
        <w:t xml:space="preserve"> tab is where you access the </w:t>
      </w:r>
      <w:r>
        <w:t>VCF Operations orchestrator</w:t>
      </w:r>
      <w:r>
        <w:t xml:space="preserve"> integration that your provider administrator configured for the organization.</w:t>
      </w:r>
    </w:p>
    <w:p>
      <w:pPr>
        <w:pStyle w:val="BodyText"/>
        <w:numPr>
          <w:numId w:val="15"/>
        </w:numPr>
      </w:pPr>
      <w:r>
        <w:t xml:space="preserve">The </w:t>
      </w:r>
      <w:r>
        <w:rPr>
          <w:rStyle w:val="InlineUI"/>
        </w:rPr>
        <w:t>Administer</w:t>
      </w:r>
      <w:r>
        <w:t xml:space="preserve"> tab is where you manage expenses, identity providers, users and user roles, integrations, certificates and passwords, email notifications, and so on.</w:t>
      </w:r>
    </w:p>
    <w:p>
      <w:pPr>
        <w:pStyle w:val="BodyText"/>
        <w:numPr>
          <w:numId w:val="15"/>
        </w:numPr>
      </w:pPr>
      <w:r>
        <w:t xml:space="preserve">The </w:t>
      </w:r>
      <w:r>
        <w:rPr>
          <w:rStyle w:val="InlineUI"/>
        </w:rPr>
        <w:t>Inbox</w:t>
      </w:r>
      <w:r>
        <w:t xml:space="preserve"> tab is where you can see and respond to policy-based approval requests and deployment requests that require user input.</w:t>
      </w:r>
    </w:p>
    <w:p>
      <w:pPr>
        <w:pStyle w:val="SectionHeading3"/>
      </w:pPr>
      <w:bookmarkStart w:id="27" w:name="_Toc256000595"/>
      <w:r>
        <w:t>Review Assigned Resources</w:t>
      </w:r>
      <w:bookmarkEnd w:id="27"/>
    </w:p>
    <w:p>
      <w:pPr>
        <w:pStyle w:val="BodyText"/>
      </w:pPr>
      <w:r>
        <w:t xml:space="preserve">On the </w:t>
      </w:r>
      <w:r>
        <w:rPr>
          <w:rStyle w:val="InlineUI"/>
        </w:rPr>
        <w:t>Manage &amp; Govern</w:t>
      </w:r>
      <w:r>
        <w:t xml:space="preserve"> tab, review the following pages to familiarize yourself with the interface and to review the default objects created for your organization.</w:t>
      </w:r>
    </w:p>
    <w:p>
      <w:pPr>
        <w:pStyle w:val="BodyText"/>
        <w:numPr>
          <w:numId w:val="16"/>
        </w:numPr>
      </w:pPr>
      <w:r>
        <w:rPr>
          <w:rStyle w:val="InlineUI"/>
        </w:rPr>
        <w:t>Projects.</w:t>
      </w:r>
      <w:r>
        <w:t xml:space="preserve"> All organizations are created with a default project. The default project is empty and does not have any namespaces or users.</w:t>
      </w:r>
    </w:p>
    <w:p>
      <w:pPr>
        <w:pStyle w:val="BodyText"/>
        <w:numPr>
          <w:numId w:val="16"/>
        </w:numPr>
      </w:pPr>
      <w:r>
        <w:rPr>
          <w:rStyle w:val="InlineUI"/>
        </w:rPr>
        <w:t>Regions.</w:t>
      </w:r>
      <w:r>
        <w:t xml:space="preserve"> The Regions page lists all the regions where the organization has a quota in. Organizations can have a quota in one or many regions. Your provider administrator assigns the regional quota to your organization. Quota in a region can come from one or many vSphere Zones within that region.</w:t>
      </w:r>
    </w:p>
    <w:p>
      <w:pPr>
        <w:pStyle w:val="BodyText"/>
        <w:ind w:left="480"/>
      </w:pPr>
      <w:r>
        <w:t>Click the double arrow next to a region name to review the region details. The details page contains information about available CPU and memory from each zone in the region.</w:t>
      </w:r>
    </w:p>
    <w:p>
      <w:pPr>
        <w:pStyle w:val="BodyText"/>
        <w:numPr>
          <w:numId w:val="16"/>
        </w:numPr>
      </w:pPr>
      <w:r>
        <w:rPr>
          <w:rStyle w:val="InlineUI"/>
        </w:rPr>
        <w:t>Namespace Class.</w:t>
      </w:r>
      <w:r>
        <w:t xml:space="preserve"> Namespace classes are templates for creating namespaces. These templates can be used to standardize namespace attributes, like utilization limits, reservations, VM classes, storage classes, and content libraries. Your organization comes preconfigured with three default namespace classes (small, medium, and large), which serve as example templates. The only different attributes among these built-in templates are the CPU and Memory limits. Organization administrators can use these templates as-is or can modify them to suit their needs.</w:t>
      </w:r>
    </w:p>
    <w:p>
      <w:pPr>
        <w:pStyle w:val="BodyText"/>
        <w:ind w:left="480"/>
      </w:pPr>
      <w:r>
        <w:t>Click the namespace class name to inspect the limits, VM class, and storage class presets.</w:t>
      </w:r>
    </w:p>
    <w:p>
      <w:pPr>
        <w:pStyle w:val="BodyText"/>
        <w:numPr>
          <w:numId w:val="16"/>
        </w:numPr>
      </w:pPr>
      <w:r>
        <w:rPr>
          <w:rStyle w:val="InlineUI"/>
        </w:rPr>
        <w:t>Networking.</w:t>
      </w:r>
      <w:r>
        <w:t xml:space="preserve"> Review the default VPC (virtual private cloud). A VPC is an isolated domain of networking resources.</w:t>
      </w:r>
    </w:p>
    <w:p>
      <w:pPr>
        <w:pStyle w:val="BodyText"/>
        <w:ind w:left="480"/>
      </w:pPr>
      <w:r>
        <w:t>You can also review the Connectivity Profiles tab. A connectivity profile is a template for creating VPCs.</w:t>
      </w:r>
    </w:p>
    <w:p>
      <w:pPr>
        <w:pStyle w:val="SectionHeading3"/>
      </w:pPr>
      <w:bookmarkStart w:id="28" w:name="_Toc256000596"/>
      <w:r>
        <w:t>Using the VCF Automation API Interfaces</w:t>
      </w:r>
      <w:bookmarkEnd w:id="28"/>
    </w:p>
    <w:p>
      <w:pPr>
        <w:pStyle w:val="BodyText"/>
      </w:pPr>
      <w:r>
        <w:t xml:space="preserve">The </w:t>
      </w:r>
      <w:r>
        <w:t>VCF Automation</w:t>
      </w:r>
      <w:r>
        <w:t xml:space="preserve"> API Help Center is a built-in user experience which documents the API interface for the organization. Users can also execute and test APIs from this experience.</w:t>
      </w:r>
    </w:p>
    <w:p>
      <w:pPr>
        <w:pStyle w:val="BodyText"/>
      </w:pPr>
      <w:r>
        <w:t xml:space="preserve">You can access the API Help Center from the </w:t>
      </w:r>
      <w:r>
        <w:t>VCF Automation</w:t>
      </w:r>
      <w:r>
        <w:t xml:space="preserve"> organization portal. Click your user profile in the upper right corner and then click </w:t>
      </w:r>
      <w:r>
        <w:rPr>
          <w:rStyle w:val="InlineUI"/>
        </w:rPr>
        <w:t>API Help Center</w:t>
      </w:r>
      <w:r>
        <w:t>.</w:t>
      </w:r>
    </w:p>
    <w:p>
      <w:pPr>
        <w:pStyle w:val="BodyText"/>
      </w:pPr>
      <w:r>
        <w:t>VCF Automation</w:t>
      </w:r>
      <w:r>
        <w:t xml:space="preserve"> API Help Center has the following components.</w:t>
      </w:r>
    </w:p>
    <w:p>
      <w:pPr>
        <w:pStyle w:val="BodyText"/>
        <w:numPr>
          <w:numId w:val="17"/>
        </w:numPr>
      </w:pPr>
      <w:r>
        <w:rPr>
          <w:rStyle w:val="InlineUI"/>
        </w:rPr>
        <w:t>Automation APIs</w:t>
      </w:r>
      <w:r>
        <w:t>. The Automation API section provides details about various components such as blueprints, catalog, instances, projects, custom forms, and so on. This documentation includes OpenAPI specifications. Each section defines the available endpoints, required input/output formats, and how to authenticate requests.</w:t>
      </w:r>
    </w:p>
    <w:p>
      <w:pPr>
        <w:pStyle w:val="BodyText"/>
        <w:numPr>
          <w:numId w:val="17"/>
        </w:numPr>
      </w:pPr>
      <w:r>
        <w:rPr>
          <w:rStyle w:val="InlineUI"/>
        </w:rPr>
        <w:t>IaaS APIs</w:t>
      </w:r>
      <w:r>
        <w:t>. The IaaS APIs are used for managing Infrastructure-as-a-Service (IaaS) components on vSphere Supervisor Clusters. They follow Kubernetes-style API conventions and offer two main contexts:</w:t>
      </w:r>
    </w:p>
    <w:p>
      <w:pPr>
        <w:pStyle w:val="BodyText"/>
        <w:numPr>
          <w:ilvl w:val="1"/>
          <w:numId w:val="17"/>
        </w:numPr>
      </w:pPr>
      <w:r>
        <w:t xml:space="preserve">The </w:t>
      </w:r>
      <w:r>
        <w:rPr>
          <w:rStyle w:val="InlineUI"/>
        </w:rPr>
        <w:t>Automation</w:t>
      </w:r>
      <w:r>
        <w:t xml:space="preserve"> context is used to create </w:t>
      </w:r>
      <w:r>
        <w:t>VCF Automation</w:t>
      </w:r>
      <w:r>
        <w:t xml:space="preserve"> resources like projects and provision additional resources. It brings automation-specific capabilities into the Kubernetes management framework.</w:t>
      </w:r>
    </w:p>
    <w:p>
      <w:pPr>
        <w:pStyle w:val="BodyText"/>
        <w:numPr>
          <w:ilvl w:val="1"/>
          <w:numId w:val="17"/>
        </w:numPr>
      </w:pPr>
      <w:r>
        <w:t xml:space="preserve">The </w:t>
      </w:r>
      <w:r>
        <w:rPr>
          <w:rStyle w:val="InlineUI"/>
        </w:rPr>
        <w:t>Namespace</w:t>
      </w:r>
      <w:r>
        <w:t xml:space="preserve"> context is used to create and manage traditional infrastructure resources, like virtual machines, networks, storage, and so on. This allows users to work with infrastructure using Kubernetes-native methods.</w:t>
      </w:r>
    </w:p>
    <w:p>
      <w:pPr>
        <w:pStyle w:val="BodyText"/>
        <w:numPr>
          <w:numId w:val="17"/>
        </w:numPr>
      </w:pPr>
      <w:r>
        <w:rPr>
          <w:rStyle w:val="InlineUI"/>
        </w:rPr>
        <w:t>Terraform Provider</w:t>
      </w:r>
      <w:r>
        <w:t xml:space="preserve">. The Terraform Provider section provides details about using Terraform provider to interact with </w:t>
      </w:r>
      <w:r>
        <w:t>VCF Automation</w:t>
      </w:r>
      <w:r>
        <w:t xml:space="preserve">. For more information on the supported Terraform providers,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B3383606950c8463a87ce995167a62d85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Terraform Configuration in VCF Automation</w:t>
      </w:r>
      <w:r>
        <w:fldChar w:fldCharType="end"/>
      </w:r>
      <w:r>
        <w:t>.</w:t>
      </w:r>
    </w:p>
    <w:p>
      <w:pPr>
        <w:pStyle w:val="BodyText"/>
        <w:numPr>
          <w:numId w:val="17"/>
        </w:numPr>
      </w:pPr>
      <w:r>
        <w:rPr>
          <w:rStyle w:val="InlineUI"/>
        </w:rPr>
        <w:t>SDK Generation &amp; Usage</w:t>
      </w:r>
      <w:r>
        <w:t xml:space="preserve">. The </w:t>
      </w:r>
      <w:r>
        <w:t>VCF Automation</w:t>
      </w:r>
      <w:r>
        <w:t xml:space="preserve"> SDK provides a standardized way to generate APIs for various components. You can explore examples that demonstrate its usage for various use cases to get started with the SDK.</w:t>
      </w:r>
    </w:p>
    <w:p>
      <w:pPr>
        <w:pStyle w:val="SectionHeading3"/>
      </w:pPr>
      <w:bookmarkStart w:id="29" w:name="_Toc256000597"/>
      <w:r>
        <w:t>Set Up Your VCF Automation Organization</w:t>
      </w:r>
      <w:bookmarkEnd w:id="29"/>
    </w:p>
    <w:p>
      <w:pPr>
        <w:pStyle w:val="BodyText"/>
      </w:pPr>
      <w:r>
        <w:t>As the organization administrator, you set up your organization using the following procedure.</w:t>
      </w:r>
    </w:p>
    <w:p>
      <w:pPr>
        <w:pStyle w:val="BodyText"/>
        <w:numPr>
          <w:numId w:val="18"/>
        </w:numPr>
      </w:pPr>
      <w:r>
        <w:t>Log in to the organization portal.</w:t>
      </w:r>
    </w:p>
    <w:p>
      <w:pPr>
        <w:pStyle w:val="BodyText"/>
        <w:ind w:left="480"/>
      </w:pPr>
      <w:r>
        <w:t>When you log in to the organization portal for the first time, you must get the login credentials for the local account from your provider administrator. After you configure identity providers, you can use those credentials to log in.</w:t>
      </w:r>
    </w:p>
    <w:p>
      <w:pPr>
        <w:pStyle w:val="BodyText"/>
        <w:numPr>
          <w:numId w:val="18"/>
        </w:numPr>
      </w:pPr>
      <w:r>
        <w:t>Add users to your organization.</w:t>
      </w:r>
    </w:p>
    <w:p>
      <w:pPr>
        <w:pStyle w:val="BodyText"/>
        <w:ind w:left="480"/>
      </w:pPr>
      <w:r>
        <w:t xml:space="preserve">You can onboard an identity provider and import users from there. </w:t>
      </w:r>
      <w:r>
        <w:t>VCF Automation</w:t>
      </w:r>
      <w:r>
        <w:t xml:space="preserve"> supports LDAP, OIDC, and SAML-compliant identity providers. As you add users to the organization, you assign roles to them.</w:t>
      </w:r>
    </w:p>
    <w:p>
      <w:pPr>
        <w:pStyle w:val="BodyText"/>
        <w:numPr>
          <w:ilvl w:val="1"/>
          <w:numId w:val="18"/>
        </w:numPr>
      </w:pPr>
      <w:r>
        <w:t xml:space="preserve">Configure an identity provider.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B76b0ccde26494ba8876fe02fe2817cb4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Identity Providers in VCF Automation Organizations</w:t>
      </w:r>
      <w:r>
        <w:fldChar w:fldCharType="end"/>
      </w:r>
      <w:r>
        <w:t>.</w:t>
      </w:r>
    </w:p>
    <w:p>
      <w:pPr>
        <w:pStyle w:val="BodyText"/>
        <w:numPr>
          <w:ilvl w:val="1"/>
          <w:numId w:val="18"/>
        </w:numPr>
      </w:pPr>
      <w:r>
        <w:t xml:space="preserve">Import users and user groups.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B5b01daa815c74b2dae7c37d44b26b2fd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Users and Assign Roles in VCF Automation</w:t>
      </w:r>
      <w:r>
        <w:fldChar w:fldCharType="end"/>
      </w:r>
      <w:r>
        <w:t>.</w:t>
      </w:r>
    </w:p>
    <w:p>
      <w:pPr>
        <w:pStyle w:val="BodyText"/>
        <w:numPr>
          <w:numId w:val="18"/>
        </w:numPr>
      </w:pPr>
      <w:r>
        <w:t>Set up networking.</w:t>
      </w:r>
    </w:p>
    <w:p>
      <w:pPr>
        <w:pStyle w:val="BodyText"/>
        <w:ind w:left="480"/>
      </w:pPr>
      <w:r>
        <w:t>VPCs are required networking constructs for namespaces. Connectivity profiles define and templatize common configuration elements for VPCs. You can use the default connectivity profile and VPC or you can create new ones.</w:t>
      </w:r>
    </w:p>
    <w:p>
      <w:pPr>
        <w:pStyle w:val="BodyText"/>
        <w:numPr>
          <w:ilvl w:val="1"/>
          <w:numId w:val="18"/>
        </w:numPr>
      </w:pPr>
      <w:r>
        <w:t xml:space="preserve">Create a connectivity profile.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B5bb5e0fb60884e90ad865f47c016bbb6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Connectivity Profile in VCF Automation</w:t>
      </w:r>
      <w:r>
        <w:fldChar w:fldCharType="end"/>
      </w:r>
      <w:r>
        <w:t>.</w:t>
      </w:r>
    </w:p>
    <w:p>
      <w:pPr>
        <w:pStyle w:val="BodyText"/>
        <w:numPr>
          <w:ilvl w:val="1"/>
          <w:numId w:val="18"/>
        </w:numPr>
      </w:pPr>
      <w:r>
        <w:t xml:space="preserve">Create a VPC.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B0e146cd67fd14f5580c585ace8bd94f7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Virtual Private Cloud in VCF Automation</w:t>
      </w:r>
      <w:r>
        <w:fldChar w:fldCharType="end"/>
      </w:r>
      <w:r>
        <w:t>.</w:t>
      </w:r>
    </w:p>
    <w:p>
      <w:pPr>
        <w:pStyle w:val="BodyText"/>
        <w:numPr>
          <w:numId w:val="18"/>
        </w:numPr>
      </w:pPr>
      <w:r>
        <w:t>Set up a content library.</w:t>
      </w:r>
    </w:p>
    <w:p>
      <w:pPr>
        <w:pStyle w:val="BodyText"/>
        <w:ind w:left="480"/>
      </w:pPr>
      <w:r>
        <w:t>VCF Automation</w:t>
      </w:r>
      <w:r>
        <w:t xml:space="preserve"> has two types of content libraries, provider content libraries and organization content libraries. You can use the content library provided to you by your provider administrator or you can create your own.</w:t>
      </w:r>
    </w:p>
    <w:p>
      <w:pPr>
        <w:pStyle w:val="BodyText"/>
        <w:numPr>
          <w:ilvl w:val="1"/>
          <w:numId w:val="18"/>
        </w:numPr>
      </w:pPr>
      <w:r>
        <w:t xml:space="preserve">Create a content library.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B03d02ed67ae749fbab437fdf380f1fb1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Content Library in VCF Automation</w:t>
      </w:r>
      <w:r>
        <w:fldChar w:fldCharType="end"/>
      </w:r>
      <w:r>
        <w:t>.</w:t>
      </w:r>
    </w:p>
    <w:p>
      <w:pPr>
        <w:pStyle w:val="BodyText"/>
        <w:numPr>
          <w:ilvl w:val="1"/>
          <w:numId w:val="18"/>
        </w:numPr>
      </w:pPr>
      <w:r>
        <w:t xml:space="preserve">Upload VM images to the content library and publish them to the catalog.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Bacb48234e3ad40d7b3e483b479311d6f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VM Image to a Content Library and Publish It to the Catalog in VCF Automation</w:t>
      </w:r>
      <w:r>
        <w:fldChar w:fldCharType="end"/>
      </w:r>
      <w:r>
        <w:t>.</w:t>
      </w:r>
    </w:p>
    <w:p>
      <w:pPr>
        <w:pStyle w:val="BodyText"/>
        <w:numPr>
          <w:numId w:val="18"/>
        </w:numPr>
      </w:pPr>
      <w:r>
        <w:t>Set up project teams.</w:t>
      </w:r>
    </w:p>
    <w:p>
      <w:pPr>
        <w:pStyle w:val="BodyText"/>
        <w:numPr>
          <w:ilvl w:val="1"/>
          <w:numId w:val="18"/>
        </w:numPr>
      </w:pPr>
      <w:r>
        <w:t>Create a namespace class.</w:t>
      </w:r>
    </w:p>
    <w:p>
      <w:pPr>
        <w:pStyle w:val="BodyText"/>
        <w:ind w:left="960"/>
      </w:pPr>
      <w:r>
        <w:t>To create namespaces, you need a namespace class. You can use the default namespace classes and override the values in them at the time of creating a new namespace. You can edit any or all of the default namespace classes.</w:t>
      </w:r>
    </w:p>
    <w:p>
      <w:pPr>
        <w:pStyle w:val="BodyText"/>
        <w:ind w:left="960"/>
      </w:pPr>
      <w:r>
        <w:t xml:space="preserve">Alternatively, you can create your own namespace classes.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B3c307d30449946a9b4aa25d9bd8939d7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Namespace Class in VCF Automation</w:t>
      </w:r>
      <w:r>
        <w:fldChar w:fldCharType="end"/>
      </w:r>
      <w:r>
        <w:t>.</w:t>
      </w:r>
    </w:p>
    <w:p>
      <w:pPr>
        <w:pStyle w:val="BodyText"/>
        <w:numPr>
          <w:ilvl w:val="1"/>
          <w:numId w:val="18"/>
        </w:numPr>
      </w:pPr>
      <w:r>
        <w:t>Configure a project.</w:t>
      </w:r>
    </w:p>
    <w:p>
      <w:pPr>
        <w:pStyle w:val="BodyText"/>
        <w:ind w:left="960"/>
      </w:pPr>
      <w:r>
        <w:t>You can use the default project and change the name and description or you can create your own projects.</w:t>
      </w:r>
    </w:p>
    <w:p>
      <w:pPr>
        <w:pStyle w:val="BodyText"/>
        <w:numPr>
          <w:ilvl w:val="2"/>
          <w:numId w:val="18"/>
        </w:numPr>
      </w:pPr>
      <w:r>
        <w:t xml:space="preserve">Create the project.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B3f2a1ee197f44136b073d107b7db477f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Project in VCF Automation</w:t>
      </w:r>
      <w:r>
        <w:fldChar w:fldCharType="end"/>
      </w:r>
      <w:r>
        <w:t>.</w:t>
      </w:r>
    </w:p>
    <w:p>
      <w:pPr>
        <w:pStyle w:val="BodyText"/>
        <w:numPr>
          <w:ilvl w:val="2"/>
          <w:numId w:val="18"/>
        </w:numPr>
      </w:pPr>
      <w:r>
        <w:t xml:space="preserve">Projects are created without namespaces. To create a namespace,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Bdd3863eb7a0e490ebe5d4252e7d7ba7c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Namespace in VCF Automation</w:t>
      </w:r>
      <w:r>
        <w:fldChar w:fldCharType="end"/>
      </w:r>
      <w:r>
        <w:t>.</w:t>
      </w:r>
    </w:p>
    <w:p>
      <w:pPr>
        <w:pStyle w:val="BodyText"/>
        <w:numPr>
          <w:ilvl w:val="2"/>
          <w:numId w:val="18"/>
        </w:numPr>
      </w:pPr>
      <w:r>
        <w:t xml:space="preserve">Add project users.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Bd9003913a7bf482381ad61b70de8e92f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Assign Project Roles to Users and Groups in VCF Automation</w:t>
      </w:r>
      <w:r>
        <w:fldChar w:fldCharType="end"/>
      </w:r>
      <w:r>
        <w:t>.</w:t>
      </w:r>
    </w:p>
    <w:p>
      <w:pPr>
        <w:pStyle w:val="BodyText"/>
        <w:numPr>
          <w:numId w:val="18"/>
        </w:numPr>
      </w:pPr>
      <w:r>
        <w:t xml:space="preserve">Create blueprints and publish them to the catalog for project users to request and consume. See </w:t>
      </w:r>
      <w:r>
        <w:t>Creating Blueprints in VCF Automation</w:t>
      </w:r>
      <w:r>
        <w:t>.</w:t>
      </w:r>
    </w:p>
    <w:p>
      <w:pPr>
        <w:pStyle w:val="BodyText"/>
        <w:numPr>
          <w:numId w:val="18"/>
        </w:numPr>
      </w:pPr>
      <w:r>
        <w:t xml:space="preserve">Publish </w:t>
      </w:r>
      <w:r>
        <w:t>VCF Operations orchestrator</w:t>
      </w:r>
      <w:r>
        <w:t xml:space="preserve"> workflows to the catalog. See </w:t>
      </w:r>
      <w:r>
        <w:t>Publishing Workflows to the VCF Automation Catalog</w:t>
      </w:r>
      <w:r>
        <w:t>.</w:t>
      </w:r>
    </w:p>
    <w:p>
      <w:pPr>
        <w:pStyle w:val="BodyText"/>
        <w:numPr>
          <w:numId w:val="18"/>
        </w:numPr>
      </w:pPr>
      <w:r>
        <w:t xml:space="preserve">Set up event subscriptions. See </w:t>
      </w:r>
      <w:r>
        <w:t>Managing Event Subscriptions in VCF Automation</w:t>
      </w:r>
      <w:r>
        <w:t>.</w:t>
      </w:r>
    </w:p>
    <w:p>
      <w:pPr>
        <w:pStyle w:val="BodyText"/>
        <w:numPr>
          <w:numId w:val="18"/>
        </w:numPr>
      </w:pPr>
      <w:r>
        <w:t xml:space="preserve">Set up policies to apply governance to provisioned resources. See </w:t>
      </w:r>
      <w:r>
        <w:t>Managing Policies in VCF Automation</w:t>
      </w:r>
      <w:r>
        <w:t>.</w:t>
      </w:r>
    </w:p>
    <w:p>
      <w:pPr>
        <w:pStyle w:val="Heading2"/>
      </w:pPr>
      <w:bookmarkStart w:id="30" w:name="B76b0ccde26494ba8876fe02fe2817cb4"/>
      <w:bookmarkStart w:id="31" w:name="_Toc256000598"/>
      <w:r>
        <w:t>Managing Identity Providers in VCF Automation Organizations</w:t>
      </w:r>
      <w:bookmarkEnd w:id="31"/>
      <w:bookmarkEnd w:id="30"/>
    </w:p>
    <w:p>
      <w:pPr>
        <w:pStyle w:val="BodyText"/>
      </w:pPr>
      <w:r>
        <w:t>As an organization administrator, you can use one or more external identity providers to import and manage users and groups in your organization. You can configure an LDAP server connection, a SAML integration, and an OpenID Connect (OIDC) integration.</w:t>
      </w:r>
    </w:p>
    <w:p>
      <w:pPr>
        <w:pStyle w:val="BodyText"/>
      </w:pPr>
      <w:r>
        <w:t>VCF Automation</w:t>
      </w:r>
      <w:r>
        <w:t xml:space="preserve"> supports user login with an identity providers directly. Any third-party provider with OIDC, SAML, AD/LDAP protocols can be configured to use Single Sign-on to </w:t>
      </w:r>
      <w:r>
        <w:t>VCF Automation</w:t>
      </w:r>
      <w:r>
        <w:t xml:space="preserve"> for identity and access management.</w:t>
      </w:r>
    </w:p>
    <w:p>
      <w:pPr>
        <w:pStyle w:val="Heading3"/>
      </w:pPr>
      <w:bookmarkStart w:id="32" w:name="_Toc256000599"/>
      <w:r>
        <w:t>Configure Your VCF Automation Organization to Use a Custom LDAP Connection</w:t>
      </w:r>
      <w:bookmarkEnd w:id="32"/>
    </w:p>
    <w:p>
      <w:pPr>
        <w:pStyle w:val="BodyText"/>
      </w:pPr>
      <w:r>
        <w:t xml:space="preserve">As an organization administrator, you can configure your </w:t>
      </w:r>
      <w:r>
        <w:t>VCF Automation</w:t>
      </w:r>
      <w:r>
        <w:t xml:space="preserve"> organization to use an LDAP server as a source of users and groups.</w:t>
      </w:r>
    </w:p>
    <w:p>
      <w:pPr>
        <w:pStyle w:val="BodyText"/>
      </w:pPr>
      <w:r>
        <w:t xml:space="preserve">When adding or editing a new LDAP server endpoint, you can test a remote connection to an endpoint and to establish a trust relationship. </w:t>
      </w:r>
      <w:r>
        <w:t>VCF Automation</w:t>
      </w:r>
      <w:r>
        <w:t xml:space="preserve"> adds any certificate that you decide to trust to a centralized certificate storage area.</w:t>
      </w:r>
    </w:p>
    <w:p>
      <w:pPr>
        <w:pStyle w:val="BodyText"/>
      </w:pPr>
      <w:r>
        <w:rPr>
          <w:rStyle w:val="Strong"/>
        </w:rPr>
        <w:t>Procedure</w:t>
      </w:r>
    </w:p>
    <w:p>
      <w:pPr>
        <w:pStyle w:val="BodyText"/>
        <w:numPr>
          <w:numId w:val="19"/>
        </w:numPr>
      </w:pPr>
      <w:r>
        <w:t xml:space="preserve">Log in to the </w:t>
      </w:r>
      <w:r>
        <w:t>VCF Automation</w:t>
      </w:r>
      <w:r>
        <w:t xml:space="preserve"> organization portal as an organization administrator.</w:t>
      </w:r>
    </w:p>
    <w:p>
      <w:pPr>
        <w:pStyle w:val="BodyText"/>
        <w:numPr>
          <w:numId w:val="19"/>
        </w:numPr>
      </w:pPr>
      <w:r>
        <w:t xml:space="preserve">Select </w:t>
      </w:r>
      <w:r>
        <w:rPr>
          <w:rStyle w:val="InlineUI"/>
        </w:rPr>
        <w:t>Administer</w:t>
      </w:r>
      <w:r>
        <w:rPr>
          <w:rStyle w:val="InlineUI"/>
        </w:rPr>
        <w:t xml:space="preserve"> &gt; </w:t>
      </w:r>
      <w:r>
        <w:rPr>
          <w:rStyle w:val="InlineUI"/>
        </w:rPr>
        <w:t>Identity Providers</w:t>
      </w:r>
      <w:r>
        <w:t>.</w:t>
      </w:r>
    </w:p>
    <w:p>
      <w:pPr>
        <w:pStyle w:val="BodyText"/>
        <w:numPr>
          <w:numId w:val="19"/>
        </w:numPr>
      </w:pPr>
      <w:r>
        <w:t xml:space="preserve">On the </w:t>
      </w:r>
      <w:r>
        <w:rPr>
          <w:rStyle w:val="InlineUI"/>
        </w:rPr>
        <w:t>Identity Providers</w:t>
      </w:r>
      <w:r>
        <w:t xml:space="preserve"> page, click the </w:t>
      </w:r>
      <w:r>
        <w:rPr>
          <w:rStyle w:val="InlineUI"/>
        </w:rPr>
        <w:t>LDAP</w:t>
      </w:r>
      <w:r>
        <w:t xml:space="preserve"> tab.</w:t>
      </w:r>
    </w:p>
    <w:p>
      <w:pPr>
        <w:pStyle w:val="BodyText"/>
        <w:numPr>
          <w:numId w:val="19"/>
        </w:numPr>
      </w:pPr>
      <w:r>
        <w:t xml:space="preserve">If you are configuring LDAP for the first time, click </w:t>
      </w:r>
      <w:r>
        <w:rPr>
          <w:rStyle w:val="InlineUI"/>
        </w:rPr>
        <w:t>Configure</w:t>
      </w:r>
      <w:r>
        <w:t xml:space="preserve"> and select a configuration option.</w:t>
      </w:r>
    </w:p>
    <w:p>
      <w:pPr>
        <w:pStyle w:val="BodyText"/>
        <w:ind w:left="480"/>
      </w:pPr>
      <w:r>
        <w:t xml:space="preserve">If you are reconfiguring an existing LDAP connection, click </w:t>
      </w:r>
      <w:r>
        <w:rPr>
          <w:rStyle w:val="InlineUI"/>
        </w:rPr>
        <w:t>Edit</w:t>
      </w:r>
      <w:r>
        <w:t xml:space="preserve"> and proceed to the next step.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9"/>
        <w:gridCol w:w="723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Do not use LDAP.</w:t>
            </w:r>
          </w:p>
        </w:tc>
        <w:tc>
          <w:tcPr>
            <w:tcBorders>
              <w:left w:val="nil"/>
              <w:right w:val="nil"/>
            </w:tcBorders>
          </w:tcPr>
          <w:p>
            <w:pPr>
              <w:pStyle w:val="TableBodyText"/>
            </w:pPr>
            <w:r>
              <w:t xml:space="preserve">Use this option if you want to add </w:t>
            </w:r>
            <w:r>
              <w:t>VCF Automation</w:t>
            </w:r>
            <w:r>
              <w:t xml:space="preserve"> users who are private to the organization. If you select this option, you cannot create or import user groups.</w:t>
            </w:r>
          </w:p>
        </w:tc>
      </w:tr>
      <w:tr>
        <w:tblPrEx>
          <w:tblInd w:w="480" w:type="dxa"/>
          <w:tblCellMar>
            <w:left w:w="108" w:type="dxa"/>
            <w:right w:w="108" w:type="dxa"/>
          </w:tblCellMar>
        </w:tblPrEx>
        <w:trPr>
          <w:cantSplit/>
        </w:trPr>
        <w:tc>
          <w:tcPr>
            <w:tcBorders>
              <w:left w:val="nil"/>
              <w:right w:val="nil"/>
            </w:tcBorders>
          </w:tcPr>
          <w:p>
            <w:pPr>
              <w:pStyle w:val="TableBodyText"/>
            </w:pPr>
            <w:r>
              <w:t>VCF Automation system LDAP service</w:t>
            </w:r>
          </w:p>
        </w:tc>
        <w:tc>
          <w:tcPr>
            <w:tcBorders>
              <w:left w:val="nil"/>
              <w:right w:val="nil"/>
            </w:tcBorders>
          </w:tcPr>
          <w:p>
            <w:pPr>
              <w:pStyle w:val="TableBodyText"/>
            </w:pPr>
            <w:r>
              <w:t>Use when an LDAP connection is configured by your provider administrator and the organization is a member of the cloud provider company.</w:t>
            </w:r>
          </w:p>
          <w:p>
            <w:pPr>
              <w:pStyle w:val="TableBodyText"/>
            </w:pPr>
            <w:r>
              <w:t xml:space="preserve">If you select this option, enter a distinguished name for the organization and click </w:t>
            </w:r>
            <w:r>
              <w:rPr>
                <w:rStyle w:val="InlineUI"/>
              </w:rPr>
              <w:t>Save</w:t>
            </w:r>
            <w:r>
              <w:t>.</w:t>
            </w:r>
          </w:p>
        </w:tc>
      </w:tr>
      <w:tr>
        <w:tblPrEx>
          <w:tblInd w:w="480" w:type="dxa"/>
          <w:tblCellMar>
            <w:left w:w="108" w:type="dxa"/>
            <w:right w:w="108" w:type="dxa"/>
          </w:tblCellMar>
        </w:tblPrEx>
        <w:trPr>
          <w:cantSplit/>
        </w:trPr>
        <w:tc>
          <w:tcPr>
            <w:tcBorders>
              <w:left w:val="nil"/>
              <w:right w:val="nil"/>
            </w:tcBorders>
          </w:tcPr>
          <w:p>
            <w:pPr>
              <w:pStyle w:val="TableBodyText"/>
            </w:pPr>
            <w:r>
              <w:t>Custom LDAP service</w:t>
            </w:r>
          </w:p>
        </w:tc>
        <w:tc>
          <w:tcPr>
            <w:tcBorders>
              <w:left w:val="nil"/>
              <w:right w:val="nil"/>
            </w:tcBorders>
          </w:tcPr>
          <w:p>
            <w:pPr>
              <w:pStyle w:val="TableBodyText"/>
            </w:pPr>
            <w:r>
              <w:t>Used when you want the organization to use its own directory service. Before you can use this option, you must configure your cloud system LDAP service to link to their LDAP service.</w:t>
            </w:r>
          </w:p>
          <w:p>
            <w:pPr>
              <w:pStyle w:val="TableBodyText"/>
            </w:pPr>
            <w:r>
              <w:t>If you select this option, proceed to Step 5.</w:t>
            </w:r>
          </w:p>
        </w:tc>
      </w:tr>
    </w:tbl>
    <w:p>
      <w:pPr>
        <w:pStyle w:val="BodyText"/>
        <w:numPr>
          <w:numId w:val="19"/>
        </w:numPr>
        <w:spacing w:before="240"/>
      </w:pPr>
      <w:r>
        <w:t xml:space="preserve">Click the </w:t>
      </w:r>
      <w:r>
        <w:rPr>
          <w:rStyle w:val="InlineUI"/>
        </w:rPr>
        <w:t>Custom LDAP</w:t>
      </w:r>
      <w:r>
        <w:t xml:space="preserve"> tab.</w:t>
      </w:r>
    </w:p>
    <w:p>
      <w:pPr>
        <w:pStyle w:val="BodyText"/>
        <w:numPr>
          <w:numId w:val="19"/>
        </w:numPr>
      </w:pPr>
      <w:r>
        <w:t xml:space="preserve">Click </w:t>
      </w:r>
      <w:r>
        <w:rPr>
          <w:rStyle w:val="InlineUI"/>
        </w:rPr>
        <w:t>Edit</w:t>
      </w:r>
      <w:r>
        <w:t xml:space="preserve"> and enter the required information for the LDAP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0"/>
        <w:gridCol w:w="222"/>
        <w:gridCol w:w="70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Required Information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Server</w:t>
            </w:r>
          </w:p>
        </w:tc>
        <w:tc>
          <w:tcPr>
            <w:tcBorders>
              <w:left w:val="nil"/>
              <w:right w:val="nil"/>
            </w:tcBorders>
          </w:tcPr>
          <w:p>
            <w:pPr>
              <w:pStyle w:val="TableBodyText"/>
            </w:pPr>
          </w:p>
        </w:tc>
        <w:tc>
          <w:tcPr>
            <w:tcBorders>
              <w:left w:val="nil"/>
              <w:right w:val="nil"/>
            </w:tcBorders>
          </w:tcPr>
          <w:p>
            <w:pPr>
              <w:pStyle w:val="TableBodyText"/>
            </w:pPr>
            <w:r>
              <w:t>The host name or IP address of the LDAP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Port</w:t>
            </w:r>
          </w:p>
        </w:tc>
        <w:tc>
          <w:tcPr>
            <w:tcBorders>
              <w:left w:val="nil"/>
              <w:right w:val="nil"/>
            </w:tcBorders>
          </w:tcPr>
          <w:p>
            <w:pPr>
              <w:pStyle w:val="TableBodyText"/>
            </w:pPr>
          </w:p>
        </w:tc>
        <w:tc>
          <w:tcPr>
            <w:tcBorders>
              <w:left w:val="nil"/>
              <w:right w:val="nil"/>
            </w:tcBorders>
          </w:tcPr>
          <w:p>
            <w:pPr>
              <w:pStyle w:val="TableBodyText"/>
            </w:pPr>
            <w:r>
              <w:t>The port number on which the LDAP server is listening.</w:t>
            </w:r>
          </w:p>
          <w:p>
            <w:pPr>
              <w:pStyle w:val="TableBodyText"/>
            </w:pPr>
            <w:r>
              <w:t>For LDAP, the default port number is 389. For LDAPS, the default port number is 636.</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Base distinguished name</w:t>
            </w:r>
          </w:p>
        </w:tc>
        <w:tc>
          <w:tcPr>
            <w:tcBorders>
              <w:left w:val="nil"/>
              <w:right w:val="nil"/>
            </w:tcBorders>
          </w:tcPr>
          <w:p>
            <w:pPr>
              <w:pStyle w:val="TableBodyText"/>
            </w:pPr>
          </w:p>
        </w:tc>
        <w:tc>
          <w:tcPr>
            <w:tcBorders>
              <w:left w:val="nil"/>
              <w:right w:val="nil"/>
            </w:tcBorders>
          </w:tcPr>
          <w:p>
            <w:pPr>
              <w:pStyle w:val="TableBodyText"/>
            </w:pPr>
            <w:r>
              <w:t xml:space="preserve">The base distinguished name (DN) is the location in the LDAP directory where </w:t>
            </w:r>
            <w:r>
              <w:t>VCF Automation</w:t>
            </w:r>
            <w:r>
              <w:t xml:space="preserve"> to connect.</w:t>
            </w:r>
          </w:p>
          <w:p>
            <w:pPr>
              <w:pStyle w:val="TableBodyText"/>
            </w:pPr>
            <w:r>
              <w:t xml:space="preserve">To connect at root level, enter only the domain components, for example, </w:t>
            </w:r>
            <w:r>
              <w:t>DC=example,DC=com</w:t>
            </w:r>
            <w:r>
              <w:t>.</w:t>
            </w:r>
          </w:p>
          <w:p>
            <w:pPr>
              <w:pStyle w:val="TableBodyText"/>
            </w:pPr>
            <w:r>
              <w:t xml:space="preserve">To connect to a node in the domain tree structure, enter the distinguished name for that node, for example, </w:t>
            </w:r>
            <w:r>
              <w:t>OU=ServiceDirector,DC=example,DC=com</w:t>
            </w:r>
            <w:r>
              <w:t>.</w:t>
            </w:r>
          </w:p>
          <w:p>
            <w:pPr>
              <w:pStyle w:val="TableBodyText"/>
            </w:pPr>
            <w:r>
              <w:t xml:space="preserve">Connecting to a node limits the scope of the directory available to </w:t>
            </w:r>
            <w:r>
              <w:t>VCF Automation</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Connector type</w:t>
            </w:r>
          </w:p>
        </w:tc>
        <w:tc>
          <w:tcPr>
            <w:tcBorders>
              <w:left w:val="nil"/>
              <w:right w:val="nil"/>
            </w:tcBorders>
          </w:tcPr>
          <w:p>
            <w:pPr>
              <w:pStyle w:val="TableBodyText"/>
            </w:pPr>
          </w:p>
        </w:tc>
        <w:tc>
          <w:tcPr>
            <w:tcBorders>
              <w:left w:val="nil"/>
              <w:right w:val="nil"/>
            </w:tcBorders>
          </w:tcPr>
          <w:p>
            <w:pPr>
              <w:pStyle w:val="TableBodyText"/>
            </w:pPr>
            <w:r>
              <w:t xml:space="preserve">The type of your LDAP server. Can be </w:t>
            </w:r>
            <w:r>
              <w:rPr>
                <w:rStyle w:val="InlineUI"/>
              </w:rPr>
              <w:t>Active Directory</w:t>
            </w:r>
            <w:r>
              <w:t xml:space="preserve"> or </w:t>
            </w:r>
            <w:r>
              <w:rPr>
                <w:rStyle w:val="InlineUI"/>
              </w:rPr>
              <w:t>OpenLDAP</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 SSL</w:t>
            </w:r>
          </w:p>
        </w:tc>
        <w:tc>
          <w:tcPr>
            <w:tcBorders>
              <w:left w:val="nil"/>
              <w:right w:val="nil"/>
            </w:tcBorders>
          </w:tcPr>
          <w:p>
            <w:pPr>
              <w:pStyle w:val="TableBodyText"/>
            </w:pPr>
          </w:p>
        </w:tc>
        <w:tc>
          <w:tcPr>
            <w:tcBorders>
              <w:left w:val="nil"/>
              <w:right w:val="nil"/>
            </w:tcBorders>
          </w:tcPr>
          <w:p>
            <w:pPr>
              <w:pStyle w:val="TableBodyText"/>
            </w:pPr>
            <w:r>
              <w:t>If your server is LDAPS, select this check box.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Authentication method</w:t>
            </w:r>
          </w:p>
        </w:tc>
        <w:tc>
          <w:tcPr>
            <w:tcBorders>
              <w:left w:val="nil"/>
              <w:right w:val="nil"/>
            </w:tcBorders>
          </w:tcPr>
          <w:p>
            <w:pPr>
              <w:pStyle w:val="TableBodyText"/>
            </w:pPr>
          </w:p>
        </w:tc>
        <w:tc>
          <w:tcPr>
            <w:tcBorders>
              <w:left w:val="nil"/>
              <w:right w:val="nil"/>
            </w:tcBorders>
          </w:tcPr>
          <w:p>
            <w:pPr>
              <w:pStyle w:val="TableBodyText"/>
            </w:pPr>
            <w:r>
              <w:t>Simple authentication consists of sending the user's DN and password to the LDAP server. If you are using LDAP, the LDAP password is sent over the network in plain text.</w:t>
            </w:r>
          </w:p>
          <w:p>
            <w:pPr>
              <w:pStyle w:val="TableBodyText"/>
            </w:pPr>
            <w:r>
              <w:t>If you want to use Kerberos, you must configure the LDAP connection by using the vCloud API.</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User name</w:t>
            </w:r>
          </w:p>
        </w:tc>
        <w:tc>
          <w:tcPr>
            <w:tcBorders>
              <w:left w:val="nil"/>
              <w:right w:val="nil"/>
            </w:tcBorders>
          </w:tcPr>
          <w:p>
            <w:pPr>
              <w:pStyle w:val="TableBodyText"/>
            </w:pPr>
          </w:p>
        </w:tc>
        <w:tc>
          <w:tcPr>
            <w:tcBorders>
              <w:left w:val="nil"/>
              <w:right w:val="nil"/>
            </w:tcBorders>
          </w:tcPr>
          <w:p>
            <w:pPr>
              <w:pStyle w:val="TableBodyText"/>
            </w:pPr>
            <w:r>
              <w:t xml:space="preserve">Enter the full LDAP distinguished name (DN) of a service account with domain admin rights. </w:t>
            </w:r>
            <w:r>
              <w:t>VCF Automation</w:t>
            </w:r>
            <w:r>
              <w:t xml:space="preserve"> uses this account to query the LDAP directory and retrieve user information.</w:t>
            </w:r>
          </w:p>
          <w:p>
            <w:pPr>
              <w:pStyle w:val="TableBodyText"/>
            </w:pPr>
            <w:r>
              <w:t>If the anonymous read support is enabled on your LDAP server, you can leave these text boxes blank.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Password</w:t>
            </w:r>
          </w:p>
        </w:tc>
        <w:tc>
          <w:tcPr>
            <w:tcBorders>
              <w:left w:val="nil"/>
              <w:right w:val="nil"/>
            </w:tcBorders>
          </w:tcPr>
          <w:p>
            <w:pPr>
              <w:pStyle w:val="TableBodyText"/>
            </w:pPr>
          </w:p>
        </w:tc>
        <w:tc>
          <w:tcPr>
            <w:tcBorders>
              <w:left w:val="nil"/>
              <w:right w:val="nil"/>
            </w:tcBorders>
          </w:tcPr>
          <w:p>
            <w:pPr>
              <w:pStyle w:val="TableBodyText"/>
            </w:pPr>
            <w:r>
              <w:t>The password for the service account that connects to the LDAP server.</w:t>
            </w:r>
          </w:p>
          <w:p>
            <w:pPr>
              <w:pStyle w:val="TableBodyText"/>
            </w:pPr>
            <w:r>
              <w:t>If the anonymous read support is enabled on your LDAP server, you can leave these text boxes blank.</w:t>
            </w:r>
          </w:p>
        </w:tc>
      </w:tr>
    </w:tbl>
    <w:p>
      <w:pPr>
        <w:pStyle w:val="BodyText"/>
        <w:numPr>
          <w:numId w:val="19"/>
        </w:numPr>
        <w:spacing w:before="240"/>
      </w:pPr>
      <w:r>
        <w:t xml:space="preserve">Click the </w:t>
      </w:r>
      <w:r>
        <w:rPr>
          <w:rStyle w:val="InlineUI"/>
        </w:rPr>
        <w:t>User Attributes</w:t>
      </w:r>
      <w:r>
        <w:t xml:space="preserve"> tab, examine the default values for the user attributes, and, if your LDAP directory uses different schema, modify the values.</w:t>
      </w:r>
    </w:p>
    <w:p>
      <w:pPr>
        <w:pStyle w:val="BodyText"/>
        <w:numPr>
          <w:numId w:val="19"/>
        </w:numPr>
      </w:pPr>
      <w:r>
        <w:t xml:space="preserve">Click the </w:t>
      </w:r>
      <w:r>
        <w:rPr>
          <w:rStyle w:val="InlineUI"/>
        </w:rPr>
        <w:t>Group Attributes</w:t>
      </w:r>
      <w:r>
        <w:t xml:space="preserve"> tab, examine the default values for the group attributes, and, if your LDAP directory uses different schema, modify the values.</w:t>
      </w:r>
    </w:p>
    <w:p>
      <w:pPr>
        <w:pStyle w:val="BodyText"/>
        <w:numPr>
          <w:numId w:val="19"/>
        </w:numPr>
      </w:pPr>
      <w:r>
        <w:t xml:space="preserve">If you want to customize the </w:t>
      </w:r>
      <w:r>
        <w:rPr>
          <w:rStyle w:val="InlineUI"/>
        </w:rPr>
        <w:t>Sign in with LDAP</w:t>
      </w:r>
      <w:r>
        <w:t xml:space="preserve"> button label that appears on the </w:t>
      </w:r>
      <w:r>
        <w:t>VCF Automation</w:t>
      </w:r>
      <w:r>
        <w:t xml:space="preserve"> login page, enter a new custom button text.</w:t>
      </w:r>
    </w:p>
    <w:p>
      <w:pPr>
        <w:pStyle w:val="BodyText"/>
        <w:numPr>
          <w:numId w:val="19"/>
        </w:numPr>
      </w:pPr>
      <w:r>
        <w:t xml:space="preserve">Click </w:t>
      </w:r>
      <w:r>
        <w:rPr>
          <w:rStyle w:val="InlineUI"/>
        </w:rPr>
        <w:t>Save</w:t>
      </w:r>
      <w:r>
        <w:t>.</w:t>
      </w:r>
    </w:p>
    <w:p>
      <w:pPr>
        <w:pStyle w:val="BodyText"/>
        <w:numPr>
          <w:numId w:val="19"/>
        </w:numPr>
      </w:pPr>
      <w:r>
        <w:t xml:space="preserve">If you selected the </w:t>
      </w:r>
      <w:r>
        <w:rPr>
          <w:rStyle w:val="InlineUI"/>
        </w:rPr>
        <w:t>Use SSL</w:t>
      </w:r>
      <w:r>
        <w:t xml:space="preserve"> check box, and if the certificate of the LDAPS server is not yet trusted, on the </w:t>
      </w:r>
      <w:r>
        <w:rPr>
          <w:rStyle w:val="InlineUI"/>
        </w:rPr>
        <w:t>Trust Certificate</w:t>
      </w:r>
      <w:r>
        <w:t xml:space="preserve"> window, confirm if you trust the certificate presented by the server endpoint.</w:t>
      </w:r>
    </w:p>
    <w:p>
      <w:pPr>
        <w:pStyle w:val="BodyText"/>
        <w:numPr>
          <w:numId w:val="19"/>
        </w:numPr>
      </w:pPr>
      <w:r>
        <w:t>To test the LDAP connection settings and the LDAP attribute mappings:</w:t>
      </w:r>
    </w:p>
    <w:p>
      <w:pPr>
        <w:pStyle w:val="BodyText"/>
        <w:numPr>
          <w:ilvl w:val="1"/>
          <w:numId w:val="19"/>
        </w:numPr>
      </w:pPr>
      <w:r>
        <w:t xml:space="preserve">Click </w:t>
      </w:r>
      <w:r>
        <w:rPr>
          <w:rStyle w:val="InlineUI"/>
        </w:rPr>
        <w:t>Test</w:t>
      </w:r>
      <w:r>
        <w:t>.</w:t>
      </w:r>
    </w:p>
    <w:p>
      <w:pPr>
        <w:pStyle w:val="BodyText"/>
        <w:numPr>
          <w:ilvl w:val="1"/>
          <w:numId w:val="19"/>
        </w:numPr>
      </w:pPr>
      <w:r>
        <w:t xml:space="preserve">Enter the password of the LDAP server user that you configured and click </w:t>
      </w:r>
      <w:r>
        <w:rPr>
          <w:rStyle w:val="InlineUI"/>
        </w:rPr>
        <w:t>Test</w:t>
      </w:r>
      <w:r>
        <w:t>.</w:t>
      </w:r>
    </w:p>
    <w:p>
      <w:pPr>
        <w:pStyle w:val="BodyText"/>
        <w:ind w:left="960"/>
      </w:pPr>
      <w:r>
        <w:t>If connected successfully, a green check mark is displayed.</w:t>
      </w:r>
    </w:p>
    <w:p>
      <w:pPr>
        <w:pStyle w:val="BodyText"/>
        <w:ind w:left="960"/>
      </w:pPr>
      <w:r>
        <w:t>If a user name is entered for the test, the retrieved user and group attribute values are displayed in a table. The values that are successfully mapped to LDAP attributes are marked with green check marks. The values that are not mapped to LDAP attributes are blank and marked with red exclamation marks.</w:t>
      </w:r>
    </w:p>
    <w:p>
      <w:pPr>
        <w:pStyle w:val="BodyText"/>
        <w:numPr>
          <w:ilvl w:val="1"/>
          <w:numId w:val="19"/>
        </w:numPr>
      </w:pPr>
      <w:r>
        <w:t xml:space="preserve">To exit, click </w:t>
      </w:r>
      <w:r>
        <w:rPr>
          <w:rStyle w:val="InlineUI"/>
        </w:rPr>
        <w:t>Cancel</w:t>
      </w:r>
      <w:r>
        <w:t>.</w:t>
      </w:r>
    </w:p>
    <w:p>
      <w:pPr>
        <w:pStyle w:val="BodyText"/>
        <w:numPr>
          <w:numId w:val="19"/>
        </w:numPr>
      </w:pPr>
      <w:r>
        <w:t xml:space="preserve">To synchronize </w:t>
      </w:r>
      <w:r>
        <w:t>VCF Automation</w:t>
      </w:r>
      <w:r>
        <w:t xml:space="preserve"> with the configured LDAP server, click </w:t>
      </w:r>
      <w:r>
        <w:rPr>
          <w:rStyle w:val="InlineUI"/>
        </w:rPr>
        <w:t>Sync</w:t>
      </w:r>
      <w:r>
        <w:t>.</w:t>
      </w:r>
    </w:p>
    <w:p>
      <w:pPr>
        <w:pStyle w:val="BodyText"/>
        <w:ind w:left="480"/>
      </w:pPr>
      <w:r>
        <w:t>VCF Automation</w:t>
      </w:r>
      <w:r>
        <w:t xml:space="preserve"> synchronizes the user and group information with the LDAP server regularly depending on the synchronization interval that you set in the general system settings.</w:t>
      </w:r>
    </w:p>
    <w:p>
      <w:pPr>
        <w:pStyle w:val="BodyText"/>
        <w:ind w:left="480"/>
      </w:pPr>
      <w:r>
        <w:t>Wait a few minutes for the synchronization to finish.</w:t>
      </w:r>
    </w:p>
    <w:p>
      <w:pPr>
        <w:pStyle w:val="BodyText"/>
      </w:pPr>
      <w:r>
        <w:rPr>
          <w:rStyle w:val="Strong"/>
        </w:rPr>
        <w:t>What to do next</w:t>
      </w:r>
    </w:p>
    <w:p>
      <w:pPr>
        <w:pStyle w:val="BodyText"/>
      </w:pPr>
      <w:r>
        <w:t>On the Access Control page, you can import users and groups from the newly configured LDAP server and assign roles to them.</w:t>
      </w:r>
    </w:p>
    <w:p>
      <w:pPr>
        <w:pStyle w:val="Heading3"/>
      </w:pPr>
      <w:bookmarkStart w:id="33" w:name="_Toc256000600"/>
      <w:r>
        <w:t>Configure Your VCF Automation Organization to Use a SAML Identity Provider</w:t>
      </w:r>
      <w:bookmarkEnd w:id="33"/>
    </w:p>
    <w:p>
      <w:pPr>
        <w:pStyle w:val="BodyText"/>
      </w:pPr>
      <w:r>
        <w:t xml:space="preserve">If you want to import users and groups from a SAML identity provider to your </w:t>
      </w:r>
      <w:r>
        <w:t>VCF Automation</w:t>
      </w:r>
      <w:r>
        <w:t xml:space="preserve"> organization, you must configure the organization with this SAML identity provider. Imported users can log in to the organization with the credentials established in the SAML identity provider.</w:t>
      </w:r>
    </w:p>
    <w:p>
      <w:pPr>
        <w:pStyle w:val="BodyText"/>
      </w:pPr>
      <w:r>
        <w:t xml:space="preserve">To configure </w:t>
      </w:r>
      <w:r>
        <w:t>VCF Automation</w:t>
      </w:r>
      <w:r>
        <w:t xml:space="preserve"> with a SAML identity provider, you establish a mutual trust by exchanging SAML service provider and identity provider metadata.</w:t>
      </w:r>
    </w:p>
    <w:p>
      <w:pPr>
        <w:pStyle w:val="BodyText"/>
      </w:pPr>
      <w:r>
        <w:t>To determine the correct values and settings and to ensure proper and accurate configuration, see also the product documentation of those identity providers.</w:t>
      </w:r>
    </w:p>
    <w:p>
      <w:pPr>
        <w:pStyle w:val="BodyText"/>
      </w:pPr>
      <w:r>
        <w:t>When an imported user attempts to log in, the system extracts the following attributes from the SAML token, if available, and use them for interpreting the corresponding pieces of information about the user.</w:t>
      </w:r>
    </w:p>
    <w:p>
      <w:pPr>
        <w:pStyle w:val="BodyText"/>
        <w:numPr>
          <w:numId w:val="20"/>
        </w:numPr>
      </w:pPr>
      <w:r>
        <w:rPr>
          <w:rStyle w:val="InlineCode"/>
        </w:rPr>
        <w:t>email address = "EmailAddress"</w:t>
      </w:r>
    </w:p>
    <w:p>
      <w:pPr>
        <w:pStyle w:val="BodyText"/>
        <w:numPr>
          <w:numId w:val="20"/>
        </w:numPr>
      </w:pPr>
      <w:r>
        <w:rPr>
          <w:rStyle w:val="InlineCode"/>
        </w:rPr>
        <w:t>user name = "UserName"</w:t>
      </w:r>
    </w:p>
    <w:p>
      <w:pPr>
        <w:pStyle w:val="BodyText"/>
        <w:numPr>
          <w:numId w:val="20"/>
        </w:numPr>
      </w:pPr>
      <w:r>
        <w:rPr>
          <w:rStyle w:val="InlineCode"/>
        </w:rPr>
        <w:t>full name = "FullName"</w:t>
      </w:r>
    </w:p>
    <w:p>
      <w:pPr>
        <w:pStyle w:val="BodyText"/>
        <w:numPr>
          <w:numId w:val="20"/>
        </w:numPr>
      </w:pPr>
      <w:r>
        <w:rPr>
          <w:rStyle w:val="InlineCode"/>
        </w:rPr>
        <w:t>user's groups = "Groups"</w:t>
      </w:r>
    </w:p>
    <w:p>
      <w:pPr>
        <w:pStyle w:val="BodyText"/>
        <w:numPr>
          <w:numId w:val="20"/>
        </w:numPr>
      </w:pPr>
      <w:r>
        <w:rPr>
          <w:rStyle w:val="InlineCode"/>
        </w:rPr>
        <w:t>user's roles = "Roles"</w:t>
      </w:r>
      <w:r>
        <w:t xml:space="preserve"> (this attribute is configurable)</w:t>
      </w:r>
    </w:p>
    <w:p>
      <w:pPr>
        <w:pStyle w:val="BodyText"/>
      </w:pPr>
      <w:r>
        <w:t>Group information is used if the user is not directly imported but is expected to log in by virtue of membership in imported groups. A user can belong to multiple groups, so can have multiple roles during a session.</w:t>
      </w:r>
    </w:p>
    <w:p>
      <w:pPr>
        <w:pStyle w:val="BodyText"/>
      </w:pPr>
      <w:r>
        <w:t xml:space="preserve">If an imported user or group is assigned the </w:t>
      </w:r>
      <w:r>
        <w:rPr>
          <w:rStyle w:val="InlineUI"/>
        </w:rPr>
        <w:t>Defer to Identity Provider</w:t>
      </w:r>
      <w:r>
        <w:t xml:space="preserve"> role, the roles are assigned based on the information gathered from the </w:t>
      </w:r>
      <w:r>
        <w:rPr>
          <w:rStyle w:val="InlineCode"/>
        </w:rPr>
        <w:t>Roles</w:t>
      </w:r>
      <w:r>
        <w:t xml:space="preserve"> attribute in the token. If a different attribute is used, this attribute name can be configured using API and only the </w:t>
      </w:r>
      <w:r>
        <w:rPr>
          <w:rStyle w:val="InlineCode"/>
        </w:rPr>
        <w:t>Roles</w:t>
      </w:r>
      <w:r>
        <w:t xml:space="preserve"> attribute is configurable. If the </w:t>
      </w:r>
      <w:r>
        <w:rPr>
          <w:rStyle w:val="InlineUI"/>
        </w:rPr>
        <w:t>Defer to Identity Provider</w:t>
      </w:r>
      <w:r>
        <w:t xml:space="preserve"> role is used, but no role information can be extracted, the user can log in but has no any rights to perform any activities.</w:t>
      </w:r>
    </w:p>
    <w:p>
      <w:pPr>
        <w:pStyle w:val="BodyText"/>
      </w:pPr>
      <w:r>
        <w:rPr>
          <w:rStyle w:val="Strong"/>
        </w:rPr>
        <w:t>Prerequisites</w:t>
      </w:r>
    </w:p>
    <w:p>
      <w:pPr>
        <w:pStyle w:val="BodyText"/>
        <w:numPr>
          <w:numId w:val="21"/>
        </w:numPr>
      </w:pPr>
      <w:r>
        <w:t>Verify that you have access to a SAML 2.0 compliant identity provider.</w:t>
      </w:r>
    </w:p>
    <w:p>
      <w:pPr>
        <w:pStyle w:val="BodyText"/>
        <w:numPr>
          <w:numId w:val="21"/>
        </w:numPr>
      </w:pPr>
      <w:r>
        <w:t xml:space="preserve">Supply the </w:t>
      </w:r>
      <w:r>
        <w:t>VCF Automation</w:t>
      </w:r>
      <w:r>
        <w:t xml:space="preserve"> service provider metadata to the SAML identity provider administrator and obtain an XML file with the following metadata from your SAML identity provider in return.</w:t>
      </w:r>
    </w:p>
    <w:p>
      <w:pPr>
        <w:pStyle w:val="BodyText"/>
        <w:numPr>
          <w:ilvl w:val="1"/>
          <w:numId w:val="21"/>
        </w:numPr>
      </w:pPr>
      <w:r>
        <w:t>The location of the single sign-on service</w:t>
      </w:r>
    </w:p>
    <w:p>
      <w:pPr>
        <w:pStyle w:val="BodyText"/>
        <w:numPr>
          <w:ilvl w:val="1"/>
          <w:numId w:val="21"/>
        </w:numPr>
      </w:pPr>
      <w:r>
        <w:t>The location of the single logout service</w:t>
      </w:r>
    </w:p>
    <w:p>
      <w:pPr>
        <w:pStyle w:val="BodyText"/>
        <w:numPr>
          <w:ilvl w:val="1"/>
          <w:numId w:val="21"/>
        </w:numPr>
      </w:pPr>
      <w:r>
        <w:t>The location of the service's X.509 certificate</w:t>
      </w:r>
    </w:p>
    <w:p>
      <w:pPr>
        <w:pStyle w:val="BodyText"/>
        <w:ind w:left="480"/>
      </w:pPr>
      <w:r>
        <w:t>For information on configuring and acquiring metadata from a SAML provider, consult the documentation for your SAML provider.</w:t>
      </w:r>
    </w:p>
    <w:p>
      <w:pPr>
        <w:pStyle w:val="BodyText"/>
      </w:pPr>
      <w:r>
        <w:rPr>
          <w:rStyle w:val="Strong"/>
        </w:rPr>
        <w:t>Procedure</w:t>
      </w:r>
    </w:p>
    <w:p>
      <w:pPr>
        <w:pStyle w:val="BodyText"/>
        <w:numPr>
          <w:numId w:val="22"/>
        </w:numPr>
      </w:pPr>
      <w:r>
        <w:t xml:space="preserve">Log in to the </w:t>
      </w:r>
      <w:r>
        <w:t>VCF Automation</w:t>
      </w:r>
      <w:r>
        <w:t xml:space="preserve"> organization portal as an organization administrator.</w:t>
      </w:r>
    </w:p>
    <w:p>
      <w:pPr>
        <w:pStyle w:val="BodyText"/>
        <w:numPr>
          <w:numId w:val="22"/>
        </w:numPr>
      </w:pPr>
      <w:r>
        <w:t xml:space="preserve">Select </w:t>
      </w:r>
      <w:r>
        <w:rPr>
          <w:rStyle w:val="InlineUI"/>
        </w:rPr>
        <w:t>Administer</w:t>
      </w:r>
      <w:r>
        <w:rPr>
          <w:rStyle w:val="InlineUI"/>
        </w:rPr>
        <w:t xml:space="preserve"> &gt; </w:t>
      </w:r>
      <w:r>
        <w:rPr>
          <w:rStyle w:val="InlineUI"/>
        </w:rPr>
        <w:t>Identity Providers</w:t>
      </w:r>
      <w:r>
        <w:t>.</w:t>
      </w:r>
    </w:p>
    <w:p>
      <w:pPr>
        <w:pStyle w:val="BodyText"/>
        <w:numPr>
          <w:numId w:val="22"/>
        </w:numPr>
      </w:pPr>
      <w:r>
        <w:t xml:space="preserve">On the </w:t>
      </w:r>
      <w:r>
        <w:rPr>
          <w:rStyle w:val="InlineUI"/>
        </w:rPr>
        <w:t>Identity Providers</w:t>
      </w:r>
      <w:r>
        <w:t xml:space="preserve"> page, click the </w:t>
      </w:r>
      <w:r>
        <w:rPr>
          <w:rStyle w:val="InlineUI"/>
        </w:rPr>
        <w:t>SAML</w:t>
      </w:r>
      <w:r>
        <w:t xml:space="preserve"> tab.</w:t>
      </w:r>
    </w:p>
    <w:p>
      <w:pPr>
        <w:pStyle w:val="BodyText"/>
        <w:numPr>
          <w:numId w:val="22"/>
        </w:numPr>
      </w:pPr>
      <w:r>
        <w:t xml:space="preserve">Click </w:t>
      </w:r>
      <w:r>
        <w:rPr>
          <w:rStyle w:val="InlineUI"/>
        </w:rPr>
        <w:t>Configure</w:t>
      </w:r>
      <w:r>
        <w:t>.</w:t>
      </w:r>
    </w:p>
    <w:p>
      <w:pPr>
        <w:pStyle w:val="BodyText"/>
        <w:ind w:left="480"/>
      </w:pPr>
      <w:r>
        <w:t>The current SAML settings appear.</w:t>
      </w:r>
    </w:p>
    <w:p>
      <w:pPr>
        <w:pStyle w:val="BodyText"/>
        <w:numPr>
          <w:numId w:val="22"/>
        </w:numPr>
      </w:pPr>
      <w:r>
        <w:t xml:space="preserve">From the </w:t>
      </w:r>
      <w:r>
        <w:rPr>
          <w:rStyle w:val="InlineUI"/>
        </w:rPr>
        <w:t>Service Provider</w:t>
      </w:r>
      <w:r>
        <w:t xml:space="preserve"> tab, download the </w:t>
      </w:r>
      <w:r>
        <w:t>VCF Automation</w:t>
      </w:r>
      <w:r>
        <w:t xml:space="preserve"> SAML service provider metadata.</w:t>
      </w:r>
    </w:p>
    <w:p>
      <w:pPr>
        <w:pStyle w:val="BodyText"/>
        <w:numPr>
          <w:ilvl w:val="1"/>
          <w:numId w:val="22"/>
        </w:numPr>
      </w:pPr>
      <w:r>
        <w:t>Enter an Entity ID for the organization.</w:t>
      </w:r>
    </w:p>
    <w:p>
      <w:pPr>
        <w:pStyle w:val="BodyText"/>
        <w:ind w:left="960"/>
      </w:pPr>
      <w:r>
        <w:t>The Entity ID uniquely identifies your organization to your Identity Provider.</w:t>
      </w:r>
    </w:p>
    <w:p>
      <w:pPr>
        <w:pStyle w:val="BodyText"/>
        <w:numPr>
          <w:ilvl w:val="1"/>
          <w:numId w:val="22"/>
        </w:numPr>
      </w:pPr>
      <w:r>
        <w:t xml:space="preserve">Examine the certificate expiration date and, if expiring soon, regenerate the certificate by clicking </w:t>
      </w:r>
      <w:r>
        <w:rPr>
          <w:rStyle w:val="InlineUI"/>
        </w:rPr>
        <w:t>Regenerate</w:t>
      </w:r>
      <w:r>
        <w:t>.</w:t>
      </w:r>
    </w:p>
    <w:p>
      <w:pPr>
        <w:pStyle w:val="BodyText"/>
        <w:ind w:left="960"/>
      </w:pPr>
      <w:r>
        <w:t>The certificate is included in the SAML metadata, and is used for both encryption and signing. Either or both of these might be required depending on how trust is established between your organization and your SAML IDP.</w:t>
      </w:r>
    </w:p>
    <w:p>
      <w:pPr>
        <w:pStyle w:val="BodyText"/>
        <w:numPr>
          <w:ilvl w:val="1"/>
          <w:numId w:val="22"/>
        </w:numPr>
      </w:pPr>
      <w:r>
        <w:t xml:space="preserve">Click </w:t>
      </w:r>
      <w:r>
        <w:rPr>
          <w:rStyle w:val="InlineUI"/>
        </w:rPr>
        <w:t>Retrieve Metadata</w:t>
      </w:r>
      <w:r>
        <w:t>.</w:t>
      </w:r>
    </w:p>
    <w:p>
      <w:pPr>
        <w:pStyle w:val="BodyText"/>
        <w:ind w:left="960"/>
      </w:pPr>
      <w:r>
        <w:t>Your browser downloads the SAML service provider metadata, an XML file which you must provide to your identity provider.</w:t>
      </w:r>
    </w:p>
    <w:p>
      <w:pPr>
        <w:pStyle w:val="BodyText"/>
        <w:numPr>
          <w:numId w:val="22"/>
        </w:numPr>
      </w:pPr>
      <w:r>
        <w:t xml:space="preserve">On the </w:t>
      </w:r>
      <w:r>
        <w:rPr>
          <w:rStyle w:val="InlineUI"/>
        </w:rPr>
        <w:t>Identity Provider</w:t>
      </w:r>
      <w:r>
        <w:t xml:space="preserve"> tab, upload the SAML metadata that you previously received from your identity provider.</w:t>
      </w:r>
    </w:p>
    <w:p>
      <w:pPr>
        <w:pStyle w:val="BodyText"/>
        <w:numPr>
          <w:ilvl w:val="1"/>
          <w:numId w:val="22"/>
        </w:numPr>
      </w:pPr>
      <w:r>
        <w:t xml:space="preserve">Select </w:t>
      </w:r>
      <w:r>
        <w:rPr>
          <w:rStyle w:val="InlineUI"/>
        </w:rPr>
        <w:t>Use SAML Identity Provider</w:t>
      </w:r>
      <w:r>
        <w:t>.</w:t>
      </w:r>
    </w:p>
    <w:p>
      <w:pPr>
        <w:pStyle w:val="BodyText"/>
        <w:numPr>
          <w:ilvl w:val="1"/>
          <w:numId w:val="22"/>
        </w:numPr>
      </w:pPr>
      <w:r>
        <w:t xml:space="preserve">Either click the </w:t>
      </w:r>
      <w:r>
        <w:rPr>
          <w:rStyle w:val="InlineUI"/>
        </w:rPr>
        <w:t>Browse</w:t>
      </w:r>
      <w:r>
        <w:t xml:space="preserve"> icon and upload the file, or copy and paste its content in the </w:t>
      </w:r>
      <w:r>
        <w:rPr>
          <w:rStyle w:val="InlineUI"/>
        </w:rPr>
        <w:t>Metadata XML</w:t>
      </w:r>
      <w:r>
        <w:t xml:space="preserve"> text box.</w:t>
      </w:r>
    </w:p>
    <w:p>
      <w:pPr>
        <w:pStyle w:val="BodyText"/>
        <w:numPr>
          <w:numId w:val="22"/>
        </w:numPr>
      </w:pPr>
      <w:r>
        <w:t xml:space="preserve">If you want to customize the </w:t>
      </w:r>
      <w:r>
        <w:rPr>
          <w:rStyle w:val="InlineUI"/>
        </w:rPr>
        <w:t>Sign in with SAML</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22"/>
        </w:numPr>
      </w:pPr>
      <w:r>
        <w:t xml:space="preserve">Click </w:t>
      </w:r>
      <w:r>
        <w:rPr>
          <w:rStyle w:val="InlineUI"/>
        </w:rPr>
        <w:t>Save</w:t>
      </w:r>
      <w:r>
        <w:t>.</w:t>
      </w:r>
    </w:p>
    <w:p>
      <w:pPr>
        <w:pStyle w:val="Heading3"/>
      </w:pPr>
      <w:bookmarkStart w:id="34" w:name="_Toc256000601"/>
      <w:r>
        <w:t>Configure Your VCF Automation Organization to Use an OpenID Identity Provider</w:t>
      </w:r>
      <w:bookmarkEnd w:id="34"/>
    </w:p>
    <w:p>
      <w:pPr>
        <w:pStyle w:val="BodyText"/>
      </w:pPr>
      <w:r>
        <w:t xml:space="preserve">If you want to import users and groups from an OpenID Connect (OIDC) identity provider to your </w:t>
      </w:r>
      <w:r>
        <w:t>VCF Automation</w:t>
      </w:r>
      <w:r>
        <w:t xml:space="preserve"> organization, you must configure your organization with this OIDC identity provider. Imported users can log in to the organization with the credentials established in the OIDC identity provider.</w:t>
      </w:r>
    </w:p>
    <w:p>
      <w:pPr>
        <w:pStyle w:val="BodyText"/>
        <w:pBdr>
          <w:top w:val="single" w:sz="8" w:space="2" w:color="D3D3D3"/>
          <w:bottom w:val="single" w:sz="8" w:space="2" w:color="D3D3D3"/>
        </w:pBdr>
      </w:pPr>
      <w:r>
        <w:rPr>
          <w:rStyle w:val="NoteLeadernote"/>
        </w:rPr>
        <w:t>Note</w:t>
        <w:tab/>
      </w:r>
      <w:r>
        <w:t xml:space="preserve">If </w:t>
      </w:r>
      <w:r>
        <w:t>VCF</w:t>
      </w:r>
      <w:r>
        <w:t xml:space="preserve"> Single Sign-On (SSO) is configured, a </w:t>
      </w:r>
      <w:r>
        <w:rPr>
          <w:rStyle w:val="InlineUI"/>
        </w:rPr>
        <w:t>VCF SSO</w:t>
      </w:r>
      <w:r>
        <w:t xml:space="preserve"> tab replaces the </w:t>
      </w:r>
      <w:r>
        <w:rPr>
          <w:rStyle w:val="InlineUI"/>
        </w:rPr>
        <w:t>OIDC</w:t>
      </w:r>
      <w:r>
        <w:t xml:space="preserve"> tab on the </w:t>
      </w:r>
      <w:r>
        <w:rPr>
          <w:rStyle w:val="InlineUI"/>
        </w:rPr>
        <w:t>Identity Providers</w:t>
      </w:r>
      <w:r>
        <w:t xml:space="preserve"> page. For more information about </w:t>
      </w:r>
      <w:r>
        <w:t>VCF</w:t>
      </w:r>
      <w:r>
        <w:t xml:space="preserve"> SSO, see </w:t>
      </w:r>
      <w:hyperlink r:id="rId9" w:tooltip="Configuring VCF Single Sign-On" w:history="1">
        <w:r>
          <w:rPr>
            <w:color w:val="0000FF"/>
            <w:u w:val="single"/>
          </w:rPr>
          <w:t>Configuring VCF Single Sign-On</w:t>
        </w:r>
      </w:hyperlink>
      <w:r>
        <w:t xml:space="preserve"> in the </w:t>
      </w:r>
      <w:r>
        <w:rPr>
          <w:rStyle w:val="InlineCite"/>
        </w:rPr>
        <w:t>Fleet Management</w:t>
      </w:r>
      <w:r>
        <w:t xml:space="preserve"> guide.</w:t>
      </w:r>
    </w:p>
    <w:p>
      <w:pPr>
        <w:pStyle w:val="BodyText"/>
      </w:pPr>
      <w:r>
        <w:t xml:space="preserve">OAuth is an open federation standard that delegates user access. OpenID Connect is an authentication layer on top of the OAuth 2.0 protocol. By using OpenID Connect, clients can receive information about authenticated sessions and end users. The OAuth authentication endpoint must be reachable from </w:t>
      </w:r>
      <w:r>
        <w:t>VCF Automation</w:t>
      </w:r>
      <w:r>
        <w:t xml:space="preserve"> which makes it more suitable when you use public identity providers or provider-managed ones.</w:t>
      </w:r>
    </w:p>
    <w:p>
      <w:pPr>
        <w:pStyle w:val="BodyText"/>
        <w:pBdr>
          <w:top w:val="single" w:sz="8" w:space="2" w:color="D3D3D3"/>
          <w:bottom w:val="single" w:sz="8" w:space="2" w:color="D3D3D3"/>
        </w:pBdr>
      </w:pPr>
      <w:r>
        <w:rPr>
          <w:rStyle w:val="NoteLeaderimportant"/>
        </w:rPr>
        <w:t>Important</w:t>
        <w:tab/>
      </w:r>
      <w:r>
        <w:t xml:space="preserve">Endpoint misconfigurations can lead to user inability to complete the SSO logout from </w:t>
      </w:r>
      <w:r>
        <w:t>VCF Automation</w:t>
      </w:r>
      <w:r>
        <w:t xml:space="preserve">. See </w:t>
      </w:r>
      <w:hyperlink r:id="rId10" w:tooltip="KB article 394731" w:history="1">
        <w:r>
          <w:rPr>
            <w:color w:val="0000FF"/>
            <w:u w:val="single"/>
          </w:rPr>
          <w:t>KB article 394731</w:t>
        </w:r>
      </w:hyperlink>
      <w:r>
        <w:t>.</w:t>
      </w:r>
    </w:p>
    <w:p>
      <w:pPr>
        <w:pStyle w:val="BodyText"/>
      </w:pPr>
      <w:r>
        <w:t>You can allow organizations to generate and issue API access tokens that applications can use on their behalf.</w:t>
      </w:r>
    </w:p>
    <w:p>
      <w:pPr>
        <w:pStyle w:val="BodyText"/>
      </w:pPr>
      <w:r>
        <w:t xml:space="preserve">You can configure </w:t>
      </w:r>
      <w:r>
        <w:t>VCF Automation</w:t>
      </w:r>
      <w:r>
        <w:t xml:space="preserve"> to automatically refresh your OIDC key configurations from the JSON Web Key Set </w:t>
      </w:r>
      <w:r>
        <w:t>(</w:t>
      </w:r>
      <w:r>
        <w:t xml:space="preserve">JWKS) endpoint you provide. You can configure the frequency of the key refresh process and the rotation strategy that determines whether </w:t>
      </w:r>
      <w:r>
        <w:t>VCF Automation</w:t>
      </w:r>
      <w:r>
        <w:t xml:space="preserve"> adds new keys, replaces the old keys with new, or the old keys expire after a certain period.</w:t>
      </w:r>
    </w:p>
    <w:p>
      <w:pPr>
        <w:pStyle w:val="BodyText"/>
      </w:pPr>
      <w:r>
        <w:t>To determine the correct values and settings and to ensure proper and accurate configuration, see also the product documentation of those identity providers.</w:t>
      </w:r>
    </w:p>
    <w:p>
      <w:pPr>
        <w:pStyle w:val="BodyText"/>
      </w:pPr>
      <w:r>
        <w:t>VCF Automation</w:t>
      </w:r>
      <w:r>
        <w:t xml:space="preserve"> generates audit events for both successful and failed key refreshes under the event topic </w:t>
      </w:r>
      <w:r>
        <w:rPr>
          <w:rStyle w:val="InlineCode"/>
        </w:rPr>
        <w:t>com/vmware/vcloud/event/oidcSettings/keys/modify</w:t>
      </w:r>
      <w:r>
        <w:t>. The audit events for failed key refreshes include additional information about the failure.</w:t>
      </w:r>
    </w:p>
    <w:p>
      <w:pPr>
        <w:pStyle w:val="BodyText"/>
      </w:pPr>
      <w:r>
        <w:rPr>
          <w:rStyle w:val="Strong"/>
        </w:rPr>
        <w:t>Procedure</w:t>
      </w:r>
    </w:p>
    <w:p>
      <w:pPr>
        <w:pStyle w:val="BodyText"/>
        <w:numPr>
          <w:numId w:val="23"/>
        </w:numPr>
      </w:pPr>
      <w:r>
        <w:t xml:space="preserve">Log in to the </w:t>
      </w:r>
      <w:r>
        <w:t>VCF Automation</w:t>
      </w:r>
      <w:r>
        <w:t xml:space="preserve"> organization portal as an organization administrator.</w:t>
      </w:r>
    </w:p>
    <w:p>
      <w:pPr>
        <w:pStyle w:val="BodyText"/>
        <w:numPr>
          <w:numId w:val="23"/>
        </w:numPr>
      </w:pPr>
      <w:r>
        <w:t xml:space="preserve">Select </w:t>
      </w:r>
      <w:r>
        <w:rPr>
          <w:rStyle w:val="InlineUI"/>
        </w:rPr>
        <w:t>Administer</w:t>
      </w:r>
      <w:r>
        <w:rPr>
          <w:rStyle w:val="InlineUI"/>
        </w:rPr>
        <w:t xml:space="preserve"> &gt; </w:t>
      </w:r>
      <w:r>
        <w:rPr>
          <w:rStyle w:val="InlineUI"/>
        </w:rPr>
        <w:t>Identity Providers</w:t>
      </w:r>
      <w:r>
        <w:t>.</w:t>
      </w:r>
    </w:p>
    <w:p>
      <w:pPr>
        <w:pStyle w:val="BodyText"/>
        <w:numPr>
          <w:numId w:val="23"/>
        </w:numPr>
      </w:pPr>
      <w:r>
        <w:t xml:space="preserve">On the </w:t>
      </w:r>
      <w:r>
        <w:rPr>
          <w:rStyle w:val="InlineUI"/>
        </w:rPr>
        <w:t>Identity Providers</w:t>
      </w:r>
      <w:r>
        <w:t xml:space="preserve"> page, click the </w:t>
      </w:r>
      <w:r>
        <w:rPr>
          <w:rStyle w:val="InlineUI"/>
        </w:rPr>
        <w:t>OIDC</w:t>
      </w:r>
      <w:r>
        <w:t xml:space="preserve"> tab.</w:t>
      </w:r>
    </w:p>
    <w:p>
      <w:pPr>
        <w:pStyle w:val="BodyText"/>
        <w:numPr>
          <w:numId w:val="23"/>
        </w:numPr>
      </w:pPr>
      <w:r>
        <w:t>If you are configuring OIDC for the first time, copy the client configuration redirect URI and use it to create a client application registration with an identity provider that complies with the OpenID Connect standard, for example, VMware Cloud Foundation Identity Broker or VMware Identity Manager 3.7.</w:t>
      </w:r>
    </w:p>
    <w:p>
      <w:pPr>
        <w:pStyle w:val="BodyText"/>
        <w:ind w:left="480"/>
      </w:pPr>
      <w:r>
        <w:t>You need this registration to obtain a client ID and a client secret that you must use during the OIDC identity provider configuration.</w:t>
      </w:r>
    </w:p>
    <w:p>
      <w:pPr>
        <w:pStyle w:val="BodyText"/>
        <w:numPr>
          <w:numId w:val="23"/>
        </w:numPr>
      </w:pPr>
      <w:r>
        <w:t xml:space="preserve">Click </w:t>
      </w:r>
      <w:r>
        <w:rPr>
          <w:rStyle w:val="InlineUI"/>
        </w:rPr>
        <w:t>Configure</w:t>
      </w:r>
      <w:r>
        <w:t>.</w:t>
      </w:r>
    </w:p>
    <w:p>
      <w:pPr>
        <w:pStyle w:val="BodyText"/>
        <w:numPr>
          <w:numId w:val="23"/>
        </w:numPr>
      </w:pPr>
      <w:r>
        <w:t>Verify that OpenID Connect is active, and enter the client ID and client secret information from the OIDC server registration.</w:t>
      </w:r>
    </w:p>
    <w:p>
      <w:pPr>
        <w:pStyle w:val="BodyText"/>
        <w:numPr>
          <w:numId w:val="23"/>
        </w:numPr>
      </w:pPr>
      <w:r>
        <w:t xml:space="preserve">(Optional) </w:t>
      </w:r>
      <w:r>
        <w:t xml:space="preserve">To use the information from a well-known endpoint to automatically fill in the configuration information, turn on the </w:t>
      </w:r>
      <w:r>
        <w:rPr>
          <w:rStyle w:val="InlineUI"/>
        </w:rPr>
        <w:t>Configuration Discovery</w:t>
      </w:r>
      <w:r>
        <w:t xml:space="preserve"> toggle and enter a URL at the site of the provider that </w:t>
      </w:r>
      <w:r>
        <w:t>VCF Automation</w:t>
      </w:r>
      <w:r>
        <w:t xml:space="preserve"> can use to sent authentication requests to.</w:t>
      </w:r>
    </w:p>
    <w:p>
      <w:pPr>
        <w:pStyle w:val="BodyText"/>
        <w:numPr>
          <w:numId w:val="23"/>
        </w:numPr>
      </w:pPr>
      <w:r>
        <w:t xml:space="preserve">Click </w:t>
      </w:r>
      <w:r>
        <w:rPr>
          <w:rStyle w:val="InlineUI"/>
        </w:rPr>
        <w:t>Next</w:t>
      </w:r>
      <w:r>
        <w:t>.</w:t>
      </w:r>
    </w:p>
    <w:p>
      <w:pPr>
        <w:pStyle w:val="BodyText"/>
        <w:numPr>
          <w:numId w:val="23"/>
        </w:numPr>
      </w:pPr>
      <w:r>
        <w:t xml:space="preserve">If you did not use </w:t>
      </w:r>
      <w:r>
        <w:rPr>
          <w:rStyle w:val="InlineUI"/>
        </w:rPr>
        <w:t>Configuration Discovery</w:t>
      </w:r>
      <w:r>
        <w:t xml:space="preserve"> in Step 6, enter the information in the </w:t>
      </w:r>
      <w:r>
        <w:rPr>
          <w:rStyle w:val="InlineUI"/>
        </w:rPr>
        <w:t>Endpoints</w:t>
      </w:r>
      <w:r>
        <w:t xml:space="preserve"> section.</w:t>
      </w:r>
    </w:p>
    <w:p>
      <w:pPr>
        <w:pStyle w:val="BodyText"/>
        <w:numPr>
          <w:ilvl w:val="1"/>
          <w:numId w:val="23"/>
        </w:numPr>
      </w:pPr>
      <w:r>
        <w:t>Enter the endpoint and issuer ID information.</w:t>
      </w:r>
    </w:p>
    <w:p>
      <w:pPr>
        <w:pStyle w:val="BodyText"/>
        <w:numPr>
          <w:ilvl w:val="1"/>
          <w:numId w:val="23"/>
        </w:numPr>
      </w:pPr>
      <w:r>
        <w:t xml:space="preserve">If you are using VMware Cloud Foundation Identity Broker as an identity provider, select </w:t>
      </w:r>
      <w:r>
        <w:rPr>
          <w:rStyle w:val="InlineUI"/>
        </w:rPr>
        <w:t>SCIM</w:t>
      </w:r>
      <w:r>
        <w:t xml:space="preserve"> under Account Details Retrieval.</w:t>
      </w:r>
    </w:p>
    <w:p>
      <w:pPr>
        <w:pStyle w:val="BodyText"/>
        <w:ind w:left="960"/>
      </w:pPr>
      <w:r>
        <w:t xml:space="preserve">For other identity providers, you can leave the default </w:t>
      </w:r>
      <w:r>
        <w:rPr>
          <w:rStyle w:val="InlineUI"/>
        </w:rPr>
        <w:t>User Info</w:t>
      </w:r>
      <w:r>
        <w:t xml:space="preserve"> selection.</w:t>
      </w:r>
    </w:p>
    <w:p>
      <w:pPr>
        <w:pStyle w:val="BodyText"/>
        <w:numPr>
          <w:ilvl w:val="1"/>
          <w:numId w:val="23"/>
        </w:numPr>
      </w:pPr>
      <w:r>
        <w:t xml:space="preserve">If you want to combine claims from the </w:t>
      </w:r>
      <w:r>
        <w:rPr>
          <w:rStyle w:val="InlineCode"/>
        </w:rPr>
        <w:t>UserInfo</w:t>
      </w:r>
      <w:r>
        <w:t xml:space="preserve"> endpoint and the ID Token, turn on the </w:t>
      </w:r>
      <w:r>
        <w:rPr>
          <w:rStyle w:val="InlineUI"/>
        </w:rPr>
        <w:t>Prefer ID Token</w:t>
      </w:r>
      <w:r>
        <w:t xml:space="preserve"> toggle.</w:t>
      </w:r>
    </w:p>
    <w:p>
      <w:pPr>
        <w:pStyle w:val="BodyText"/>
        <w:ind w:left="960"/>
      </w:pPr>
      <w:r>
        <w:t xml:space="preserve">The identity providers do not provide all the required claims set in the </w:t>
      </w:r>
      <w:r>
        <w:rPr>
          <w:rStyle w:val="InlineCode"/>
        </w:rPr>
        <w:t>UserInfo</w:t>
      </w:r>
      <w:r>
        <w:t xml:space="preserve"> endpoint. By turning on the </w:t>
      </w:r>
      <w:r>
        <w:rPr>
          <w:rStyle w:val="InlineUI"/>
        </w:rPr>
        <w:t>Prefer ID Token</w:t>
      </w:r>
      <w:r>
        <w:t xml:space="preserve"> toggle, </w:t>
      </w:r>
      <w:r>
        <w:t>VCF Automation</w:t>
      </w:r>
      <w:r>
        <w:t xml:space="preserve"> can fetch and consume claims from both sources.</w:t>
      </w:r>
    </w:p>
    <w:p>
      <w:pPr>
        <w:pStyle w:val="BodyText"/>
        <w:numPr>
          <w:ilvl w:val="1"/>
          <w:numId w:val="23"/>
        </w:numPr>
      </w:pPr>
      <w:r>
        <w:t>Enter the maximum acceptable clock skew.</w:t>
      </w:r>
    </w:p>
    <w:p>
      <w:pPr>
        <w:pStyle w:val="BodyText"/>
        <w:ind w:left="960"/>
      </w:pPr>
      <w:r>
        <w:t>The maximum clock skew is the maximum allowable time difference between the client and server. This time compensates for any small time differences in the time stamps when verifying tokens. The default value is 60 seconds.</w:t>
      </w:r>
    </w:p>
    <w:p>
      <w:pPr>
        <w:pStyle w:val="BodyText"/>
        <w:numPr>
          <w:ilvl w:val="1"/>
          <w:numId w:val="23"/>
        </w:numPr>
      </w:pPr>
      <w:r>
        <w:t xml:space="preserve">Click </w:t>
      </w:r>
      <w:r>
        <w:rPr>
          <w:rStyle w:val="InlineUI"/>
        </w:rPr>
        <w:t>Next</w:t>
      </w:r>
      <w:r>
        <w:t>.</w:t>
      </w:r>
    </w:p>
    <w:p>
      <w:pPr>
        <w:pStyle w:val="BodyText"/>
        <w:numPr>
          <w:numId w:val="23"/>
        </w:numPr>
      </w:pPr>
      <w:r>
        <w:t xml:space="preserve">If you did not use </w:t>
      </w:r>
      <w:r>
        <w:rPr>
          <w:rStyle w:val="InlineUI"/>
        </w:rPr>
        <w:t>Configuration Discovery</w:t>
      </w:r>
      <w:r>
        <w:t xml:space="preserve"> in Step 6, enter the scope information, and click </w:t>
      </w:r>
      <w:r>
        <w:rPr>
          <w:rStyle w:val="InlineUI"/>
        </w:rPr>
        <w:t>Next</w:t>
      </w:r>
      <w:r>
        <w:t>.</w:t>
      </w:r>
    </w:p>
    <w:p>
      <w:pPr>
        <w:pStyle w:val="BodyText"/>
        <w:ind w:left="480"/>
      </w:pPr>
      <w:r>
        <w:t>VCF Automation</w:t>
      </w:r>
      <w:r>
        <w:t xml:space="preserve"> uses the scopes to authorize access to user details. When a client requests an access token, the scopes define the permissions that this token has to access user information.</w:t>
      </w:r>
    </w:p>
    <w:p>
      <w:pPr>
        <w:pStyle w:val="BodyText"/>
        <w:ind w:left="480"/>
      </w:pPr>
      <w:r>
        <w:t xml:space="preserve">The default scopes are </w:t>
      </w:r>
      <w:r>
        <w:rPr>
          <w:rStyle w:val="InlineCode"/>
        </w:rPr>
        <w:t>openid</w:t>
      </w:r>
      <w:r>
        <w:t xml:space="preserve">, </w:t>
      </w:r>
      <w:r>
        <w:rPr>
          <w:rStyle w:val="InlineCode"/>
        </w:rPr>
        <w:t>profile</w:t>
      </w:r>
      <w:r>
        <w:t xml:space="preserve">, and </w:t>
      </w:r>
      <w:r>
        <w:rPr>
          <w:rStyle w:val="InlineCode"/>
        </w:rPr>
        <w:t>email</w:t>
      </w:r>
      <w:r>
        <w:t xml:space="preserve">. You can also add </w:t>
      </w:r>
      <w:r>
        <w:rPr>
          <w:rStyle w:val="InlineCode"/>
        </w:rPr>
        <w:t>user</w:t>
      </w:r>
      <w:r>
        <w:t xml:space="preserve"> to scope.</w:t>
      </w:r>
    </w:p>
    <w:p>
      <w:pPr>
        <w:pStyle w:val="BodyText"/>
        <w:numPr>
          <w:numId w:val="23"/>
        </w:numPr>
      </w:pPr>
      <w:r>
        <w:t xml:space="preserve">If you are using </w:t>
      </w:r>
      <w:r>
        <w:rPr>
          <w:rStyle w:val="InlineUI"/>
        </w:rPr>
        <w:t>User Info</w:t>
      </w:r>
      <w:r>
        <w:t xml:space="preserve"> as an access type, map the claims and click </w:t>
      </w:r>
      <w:r>
        <w:rPr>
          <w:rStyle w:val="InlineUI"/>
        </w:rPr>
        <w:t>Next</w:t>
      </w:r>
      <w:r>
        <w:t>.</w:t>
      </w:r>
    </w:p>
    <w:p>
      <w:pPr>
        <w:pStyle w:val="BodyText"/>
        <w:ind w:left="480"/>
      </w:pPr>
      <w:r>
        <w:t xml:space="preserve">You can use this section to map the information </w:t>
      </w:r>
      <w:r>
        <w:t>VCF Automation</w:t>
      </w:r>
      <w:r>
        <w:t xml:space="preserve"> gets from the user info endpoint to specific claims. The claims are strings for the field names in the </w:t>
      </w:r>
      <w:r>
        <w:t>VCF Automation</w:t>
      </w:r>
      <w:r>
        <w:t xml:space="preserve"> response.</w:t>
      </w:r>
    </w:p>
    <w:p>
      <w:pPr>
        <w:pStyle w:val="BodyText"/>
        <w:numPr>
          <w:numId w:val="23"/>
        </w:numPr>
      </w:pPr>
      <w:r>
        <w:t xml:space="preserve">If you want </w:t>
      </w:r>
      <w:r>
        <w:t>VCF Automation</w:t>
      </w:r>
      <w:r>
        <w:t xml:space="preserve"> to automatically refresh the OIDC key configurations, turn on the </w:t>
      </w:r>
      <w:r>
        <w:rPr>
          <w:rStyle w:val="InlineUI"/>
        </w:rPr>
        <w:t>Automatic Key Refresh</w:t>
      </w:r>
      <w:r>
        <w:t xml:space="preserve"> toggle.</w:t>
      </w:r>
    </w:p>
    <w:p>
      <w:pPr>
        <w:pStyle w:val="BodyText"/>
        <w:numPr>
          <w:ilvl w:val="1"/>
          <w:numId w:val="23"/>
        </w:numPr>
      </w:pPr>
      <w:r>
        <w:t xml:space="preserve">If you did not use </w:t>
      </w:r>
      <w:r>
        <w:rPr>
          <w:rStyle w:val="InlineUI"/>
        </w:rPr>
        <w:t>Configuration Discovery</w:t>
      </w:r>
      <w:r>
        <w:t xml:space="preserve"> in Step 6, enter the </w:t>
      </w:r>
      <w:r>
        <w:rPr>
          <w:rStyle w:val="InlineUI"/>
        </w:rPr>
        <w:t>Key Refresh Endpoint</w:t>
      </w:r>
      <w:r>
        <w:t>.</w:t>
      </w:r>
    </w:p>
    <w:p>
      <w:pPr>
        <w:pStyle w:val="BodyText"/>
        <w:ind w:left="960"/>
      </w:pPr>
      <w:r>
        <w:t xml:space="preserve">The </w:t>
      </w:r>
      <w:r>
        <w:rPr>
          <w:rStyle w:val="InlineUI"/>
        </w:rPr>
        <w:t>Key Refresh Endpoint</w:t>
      </w:r>
      <w:r>
        <w:t xml:space="preserve"> is a JSON Web Key Set (JWKS) endpoint and it is the endpoint from which </w:t>
      </w:r>
      <w:r>
        <w:t>VCF Automation</w:t>
      </w:r>
      <w:r>
        <w:t xml:space="preserve"> fetches the keys.</w:t>
      </w:r>
    </w:p>
    <w:p>
      <w:pPr>
        <w:pStyle w:val="BodyText"/>
        <w:numPr>
          <w:ilvl w:val="1"/>
          <w:numId w:val="23"/>
        </w:numPr>
      </w:pPr>
      <w:r>
        <w:t>Select how often the key refresh occurs.</w:t>
      </w:r>
    </w:p>
    <w:p>
      <w:pPr>
        <w:pStyle w:val="BodyText"/>
        <w:ind w:left="960"/>
      </w:pPr>
      <w:r>
        <w:t>You can set the period in hourly increments from 1 hour up to 30 days.</w:t>
      </w:r>
    </w:p>
    <w:p>
      <w:pPr>
        <w:pStyle w:val="BodyText"/>
        <w:numPr>
          <w:ilvl w:val="1"/>
          <w:numId w:val="23"/>
        </w:numPr>
      </w:pPr>
      <w:r>
        <w:t xml:space="preserve">Select a </w:t>
      </w:r>
      <w:r>
        <w:rPr>
          <w:rStyle w:val="InlineUI"/>
        </w:rPr>
        <w:t>Key Refresh Strategy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3"/>
        <w:gridCol w:w="771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Add</w:t>
            </w:r>
          </w:p>
        </w:tc>
        <w:tc>
          <w:tcPr>
            <w:tcBorders>
              <w:left w:val="nil"/>
              <w:right w:val="nil"/>
            </w:tcBorders>
          </w:tcPr>
          <w:p>
            <w:pPr>
              <w:pStyle w:val="TableBodyText"/>
            </w:pPr>
            <w:r>
              <w:t>Add the incoming set of keys to the existing set of keys. All keys in the merged set are valid and usable.</w:t>
            </w:r>
          </w:p>
          <w:p>
            <w:pPr>
              <w:pStyle w:val="TableBodyText"/>
            </w:pPr>
            <w:r>
              <w:t>For example, your existing set of keys includes keys A, B, and D. Your incoming set of keys includes keys B, C, and D. When the key refresh occurs, the new set includes keys A, B, C, and 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Replace</w:t>
            </w:r>
          </w:p>
        </w:tc>
        <w:tc>
          <w:tcPr>
            <w:tcBorders>
              <w:left w:val="nil"/>
              <w:right w:val="nil"/>
            </w:tcBorders>
          </w:tcPr>
          <w:p>
            <w:pPr>
              <w:pStyle w:val="TableBodyText"/>
            </w:pPr>
            <w:r>
              <w:t>Replace the existing set of keys with the incoming set of keys.</w:t>
            </w:r>
          </w:p>
          <w:p>
            <w:pPr>
              <w:pStyle w:val="TableBodyText"/>
            </w:pPr>
            <w:r>
              <w:t>For example, your existing set of keys includes keys A, B, and D. Your incoming set of keys includes keys B, C, and D. When the key refresh occurs, key C replaces key A. The incoming keys B, C, and D become the new set of valid keys without any overlap with the old set.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Expire After</w:t>
            </w:r>
          </w:p>
        </w:tc>
        <w:tc>
          <w:tcPr>
            <w:tcBorders>
              <w:left w:val="nil"/>
              <w:right w:val="nil"/>
            </w:tcBorders>
          </w:tcPr>
          <w:p>
            <w:pPr>
              <w:pStyle w:val="TableBodyText"/>
            </w:pPr>
            <w:r>
              <w:t xml:space="preserve">You can configure an overlap period between the existing and incoming sets of keys. You can configure the overlapping time using the </w:t>
            </w:r>
            <w:r>
              <w:rPr>
                <w:rStyle w:val="InlineUI"/>
              </w:rPr>
              <w:t>Expire Key After Period</w:t>
            </w:r>
            <w:r>
              <w:t>, which you can set in hourly increments from 1 hour up to 1 day.</w:t>
            </w:r>
          </w:p>
          <w:p>
            <w:pPr>
              <w:pStyle w:val="TableBodyText"/>
            </w:pPr>
            <w:r>
              <w:t xml:space="preserve">The key refresh runs start at the beginning of every hour. When the key refresh occurs, </w:t>
            </w:r>
            <w:r>
              <w:t>VCF Automation</w:t>
            </w:r>
            <w:r>
              <w:t xml:space="preserve"> tags as expiring the keys in the existing set of keys that are not included in the incoming set. At the next key refresh run, </w:t>
            </w:r>
            <w:r>
              <w:t>VCF Automation</w:t>
            </w:r>
            <w:r>
              <w:t xml:space="preserve"> stops using the expiring keys. Only keys included in the incoming set are valid and usable.</w:t>
            </w:r>
          </w:p>
          <w:p>
            <w:pPr>
              <w:pStyle w:val="TableBodyText"/>
            </w:pPr>
            <w:r>
              <w:t xml:space="preserve">For example, your existing set of keys includes keys A, B, and D. The incoming set includes keys B, C, and D. If you configure the existing keys to expire in 1 hour, there is 1 hour of overlap during which both sets of keys are valid. </w:t>
            </w:r>
            <w:r>
              <w:t>VCF Automation</w:t>
            </w:r>
            <w:r>
              <w:t xml:space="preserve"> marks key A as expiring and until the next key refresh run, keys A, B, C, and D are usable. At the next run, key A expires and only B, C, and D continue working.</w:t>
            </w:r>
          </w:p>
        </w:tc>
      </w:tr>
    </w:tbl>
    <w:p>
      <w:pPr>
        <w:pStyle w:val="BodyText"/>
        <w:numPr>
          <w:numId w:val="23"/>
        </w:numPr>
        <w:spacing w:before="240"/>
      </w:pPr>
      <w:r>
        <w:t xml:space="preserve">If you did not use </w:t>
      </w:r>
      <w:r>
        <w:rPr>
          <w:rStyle w:val="InlineUI"/>
        </w:rPr>
        <w:t>Configuration Discovery</w:t>
      </w:r>
      <w:r>
        <w:t xml:space="preserve"> in Step 6, upload the private key that the identity provider uses to sign its tokens.</w:t>
      </w:r>
    </w:p>
    <w:p>
      <w:pPr>
        <w:pStyle w:val="BodyText"/>
        <w:numPr>
          <w:numId w:val="23"/>
        </w:numPr>
      </w:pPr>
      <w:r>
        <w:t xml:space="preserve">If you want to customize the </w:t>
      </w:r>
      <w:r>
        <w:rPr>
          <w:rStyle w:val="InlineUI"/>
        </w:rPr>
        <w:t>Sign in with OIDC</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23"/>
        </w:numPr>
      </w:pPr>
      <w:r>
        <w:t xml:space="preserve">Click </w:t>
      </w:r>
      <w:r>
        <w:rPr>
          <w:rStyle w:val="InlineUI"/>
        </w:rPr>
        <w:t>Save</w:t>
      </w:r>
      <w:r>
        <w:t>.</w:t>
      </w:r>
    </w:p>
    <w:p>
      <w:pPr>
        <w:pStyle w:val="BodyText"/>
      </w:pPr>
      <w:r>
        <w:rPr>
          <w:rStyle w:val="Strong"/>
        </w:rPr>
        <w:t>What to do next</w:t>
      </w:r>
    </w:p>
    <w:p>
      <w:pPr>
        <w:pStyle w:val="BodyText"/>
        <w:numPr>
          <w:numId w:val="24"/>
        </w:numPr>
      </w:pPr>
      <w:r>
        <w:t xml:space="preserve">Subscribe to the </w:t>
      </w:r>
      <w:r>
        <w:rPr>
          <w:rStyle w:val="InlineCode"/>
        </w:rPr>
        <w:t>com/vmware/vcloud/event/oidcSettings/keys/modify</w:t>
      </w:r>
      <w:r>
        <w:t xml:space="preserve"> event topic.</w:t>
      </w:r>
    </w:p>
    <w:p>
      <w:pPr>
        <w:pStyle w:val="BodyText"/>
        <w:numPr>
          <w:numId w:val="24"/>
        </w:numPr>
      </w:pPr>
      <w:r>
        <w:t xml:space="preserve">Verify that the </w:t>
      </w:r>
      <w:r>
        <w:rPr>
          <w:rStyle w:val="InlineUI"/>
        </w:rPr>
        <w:t>Last Run</w:t>
      </w:r>
      <w:r>
        <w:t xml:space="preserve"> and the </w:t>
      </w:r>
      <w:r>
        <w:rPr>
          <w:rStyle w:val="InlineUI"/>
        </w:rPr>
        <w:t>Last Successful Run</w:t>
      </w:r>
      <w:r>
        <w:t xml:space="preserve"> are identical. The runs start at the beginning of the hour. The </w:t>
      </w:r>
      <w:r>
        <w:rPr>
          <w:rStyle w:val="InlineUI"/>
        </w:rPr>
        <w:t>Last Run</w:t>
      </w:r>
      <w:r>
        <w:t xml:space="preserve"> is the time stamp of the last key refresh attempt. The </w:t>
      </w:r>
      <w:r>
        <w:rPr>
          <w:rStyle w:val="InlineUI"/>
        </w:rPr>
        <w:t>Last Successful Run</w:t>
      </w:r>
      <w:r>
        <w:t xml:space="preserve"> is the time stamp of the last successful key refresh. If the time stamps are different, the automatic key refresh is failing and you can diagnose the problem by reviewing the audit events.</w:t>
      </w:r>
    </w:p>
    <w:p>
      <w:pPr>
        <w:pStyle w:val="Heading2"/>
      </w:pPr>
      <w:bookmarkStart w:id="35" w:name="B146d770842104303aba5c7b7adf26c4a"/>
      <w:bookmarkStart w:id="36" w:name="_Toc256000602"/>
      <w:r>
        <w:t>Managing Predefined User Roles in VCF Automation</w:t>
      </w:r>
      <w:bookmarkEnd w:id="36"/>
      <w:bookmarkEnd w:id="35"/>
    </w:p>
    <w:p>
      <w:pPr>
        <w:pStyle w:val="BodyText"/>
      </w:pPr>
      <w:r>
        <w:t xml:space="preserve">Roles assigned to users and groups are an essential part to identity and access management in </w:t>
      </w:r>
      <w:r>
        <w:t>VCF Automation</w:t>
      </w:r>
      <w:r>
        <w:t xml:space="preserve">. You can leverage identity providers with </w:t>
      </w:r>
      <w:r>
        <w:t>VCF Automation</w:t>
      </w:r>
      <w:r>
        <w:t xml:space="preserve"> organizations to enable single sign-on to provision users and groups. Once the users and groups are added to the </w:t>
      </w:r>
      <w:r>
        <w:t>VCF Automation</w:t>
      </w:r>
      <w:r>
        <w:t xml:space="preserve"> organization, they must be assigned roles to enable specific permissions and access to different features within </w:t>
      </w:r>
      <w:r>
        <w:t>VCF Automation</w:t>
      </w:r>
      <w:r>
        <w:t>.</w:t>
      </w:r>
    </w:p>
    <w:p>
      <w:pPr>
        <w:pStyle w:val="SectionHeading3"/>
      </w:pPr>
      <w:bookmarkStart w:id="37" w:name="_Toc256000603"/>
      <w:r>
        <w:t>What are User Roles in VCF Automation</w:t>
      </w:r>
      <w:bookmarkEnd w:id="37"/>
    </w:p>
    <w:p>
      <w:pPr>
        <w:pStyle w:val="BodyText"/>
      </w:pPr>
      <w:r>
        <w:t>VCF Automation</w:t>
      </w:r>
      <w:r>
        <w:t xml:space="preserve"> has several levels of user roles. These different levels control access to the organization, the projects that produce or consume the blueprints, catalog items, access to IaaS services, and the ability for users to use or see individual parts of the user interface. These different levels give organization administrators different tools to apply any level of granularity that is required by their operational needs.</w:t>
      </w:r>
    </w:p>
    <w:p>
      <w:pPr>
        <w:pStyle w:val="BodyText"/>
      </w:pPr>
      <w:r>
        <w:t xml:space="preserve">As the organization administrator, after you configure an identity provider for your organization, you can import users and groups and manage their role assignments using the </w:t>
      </w:r>
      <w:r>
        <w:rPr>
          <w:rStyle w:val="InlineUI"/>
        </w:rPr>
        <w:t>Access Control</w:t>
      </w:r>
      <w:r>
        <w:t xml:space="preserve"> page. There are two types of predefined roles in </w:t>
      </w:r>
      <w:r>
        <w:t>VCF Automation</w:t>
      </w:r>
      <w:r>
        <w:t>: organization roles and project roles. In addition, you can create custom roles for specific use cases.</w:t>
      </w:r>
    </w:p>
    <w:p>
      <w:pPr>
        <w:pStyle w:val="SectionHeading3"/>
      </w:pPr>
      <w:bookmarkStart w:id="38" w:name="_Toc256000604"/>
      <w:r>
        <w:t>Predefined Organization Roles</w:t>
      </w:r>
      <w:bookmarkEnd w:id="38"/>
    </w:p>
    <w:p>
      <w:pPr>
        <w:pStyle w:val="BodyText"/>
      </w:pPr>
      <w:r>
        <w:t>The organization roles are global. The predefined organization-level roles are Organization Administrator, Organization Auditor, and Organization User.</w:t>
      </w:r>
    </w:p>
    <w:p>
      <w:pPr>
        <w:pStyle w:val="BodyText"/>
      </w:pPr>
      <w:r>
        <w:t>Organizational roles define permissions within the organization. Organization administrators can add and manage other users and create custom roles at the organization level. Custom roles allow you to tailor permissions to specific user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2"/>
        <w:gridCol w:w="82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General permissions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Administrator</w:t>
            </w:r>
          </w:p>
        </w:tc>
        <w:tc>
          <w:tcPr>
            <w:tcBorders>
              <w:left w:val="nil"/>
              <w:right w:val="nil"/>
            </w:tcBorders>
          </w:tcPr>
          <w:p>
            <w:pPr>
              <w:pStyle w:val="TableBodyText"/>
            </w:pPr>
            <w:r>
              <w:t>Can access the organization portal and add users and groups to the organization.</w:t>
            </w:r>
          </w:p>
          <w:p>
            <w:pPr>
              <w:pStyle w:val="TableBodyText"/>
            </w:pPr>
            <w:r>
              <w:t>Organization administrators can:</w:t>
            </w:r>
          </w:p>
          <w:p>
            <w:pPr>
              <w:pStyle w:val="TableBodyText"/>
              <w:numPr>
                <w:numId w:val="25"/>
              </w:numPr>
            </w:pPr>
            <w:r>
              <w:t>Manage projects and project users</w:t>
            </w:r>
          </w:p>
          <w:p>
            <w:pPr>
              <w:pStyle w:val="TableBodyText"/>
              <w:numPr>
                <w:numId w:val="25"/>
              </w:numPr>
            </w:pPr>
            <w:r>
              <w:t xml:space="preserve">Configure integrations, such as Git </w:t>
            </w:r>
          </w:p>
          <w:p>
            <w:pPr>
              <w:pStyle w:val="TableBodyText"/>
              <w:numPr>
                <w:numId w:val="25"/>
              </w:numPr>
            </w:pPr>
            <w:r>
              <w:t>Manage blueprints and catalog items</w:t>
            </w:r>
          </w:p>
          <w:p>
            <w:pPr>
              <w:pStyle w:val="TableBodyText"/>
              <w:numPr>
                <w:numId w:val="25"/>
              </w:numPr>
            </w:pPr>
            <w:r>
              <w:t>Manage namespaces and associated resources</w:t>
            </w:r>
          </w:p>
          <w:p>
            <w:pPr>
              <w:pStyle w:val="TableBodyText"/>
              <w:numPr>
                <w:numId w:val="25"/>
              </w:numPr>
            </w:pPr>
            <w:r>
              <w:t>Fully access namespaces that they did not create</w:t>
            </w:r>
          </w:p>
          <w:p>
            <w:pPr>
              <w:pStyle w:val="TableBodyText"/>
              <w:numPr>
                <w:numId w:val="25"/>
              </w:numPr>
            </w:pPr>
            <w:r>
              <w:t>Manage new VPCs and associated resources</w:t>
            </w:r>
          </w:p>
          <w:p>
            <w:pPr>
              <w:pStyle w:val="TableBodyText"/>
              <w:numPr>
                <w:numId w:val="25"/>
              </w:numPr>
            </w:pPr>
            <w:r>
              <w:t>See all projects and all deployments</w:t>
            </w:r>
          </w:p>
          <w:p>
            <w:pPr>
              <w:pStyle w:val="TableBodyText"/>
              <w:numPr>
                <w:numId w:val="25"/>
              </w:numPr>
            </w:pPr>
            <w:r>
              <w:t>Create and manage content libraries</w:t>
            </w:r>
          </w:p>
          <w:p>
            <w:pPr>
              <w:pStyle w:val="TableBodyText"/>
              <w:numPr>
                <w:numId w:val="25"/>
              </w:numPr>
            </w:pPr>
            <w:r>
              <w:t>Create and manage policies on resources and deployments</w:t>
            </w:r>
          </w:p>
          <w:p>
            <w:pPr>
              <w:pStyle w:val="TableBodyText"/>
              <w:numPr>
                <w:numId w:val="25"/>
              </w:numPr>
            </w:pPr>
            <w:r>
              <w:t>Create and manage event subscriptions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User</w:t>
            </w:r>
          </w:p>
        </w:tc>
        <w:tc>
          <w:tcPr>
            <w:tcBorders>
              <w:left w:val="nil"/>
              <w:right w:val="nil"/>
            </w:tcBorders>
          </w:tcPr>
          <w:p>
            <w:pPr>
              <w:pStyle w:val="TableBodyText"/>
            </w:pPr>
            <w:r>
              <w:t>Can log in to the organization portal. Must be added to a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Auditor</w:t>
            </w:r>
          </w:p>
        </w:tc>
        <w:tc>
          <w:tcPr>
            <w:tcBorders>
              <w:left w:val="nil"/>
              <w:right w:val="nil"/>
            </w:tcBorders>
          </w:tcPr>
          <w:p>
            <w:pPr>
              <w:pStyle w:val="TableBodyText"/>
            </w:pPr>
            <w:r>
              <w:t>Read-only version of the organization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Defer to Identity Provider</w:t>
            </w:r>
          </w:p>
        </w:tc>
        <w:tc>
          <w:tcPr>
            <w:tcBorders>
              <w:left w:val="nil"/>
              <w:right w:val="nil"/>
            </w:tcBorders>
          </w:tcPr>
          <w:p>
            <w:pPr>
              <w:pStyle w:val="TableBodyText"/>
            </w:pPr>
            <w:r>
              <w:t>User permissions are determined based on information received from the identity provider for the organization.</w:t>
            </w:r>
            <w:r>
              <w:t xml:space="preserve">Predefined organization-level roles are managed by the provider administrator in the </w:t>
            </w:r>
            <w:r>
              <w:t>VCF Automation</w:t>
            </w:r>
            <w:r>
              <w:t xml:space="preserve"> Provider Management Portal. For a full list of what rights are given to each role, see </w:t>
            </w:r>
            <w:r>
              <w:t>Predefined Roles and Their Rights</w:t>
            </w:r>
            <w:r>
              <w:t xml:space="preserve"> in the Provider Management documentation.</w:t>
            </w:r>
          </w:p>
        </w:tc>
      </w:tr>
    </w:tbl>
    <w:p>
      <w:pPr>
        <w:pStyle w:val="SectionHeading3"/>
        <w:spacing w:before="320"/>
      </w:pPr>
      <w:bookmarkStart w:id="39" w:name="_Toc256000605"/>
      <w:r>
        <w:t>Custom Organization Roles</w:t>
      </w:r>
      <w:bookmarkEnd w:id="39"/>
    </w:p>
    <w:p>
      <w:pPr>
        <w:pStyle w:val="BodyText"/>
      </w:pPr>
      <w:r>
        <w:t>As an organization administrator, you can create custom roles for your organization.</w:t>
      </w:r>
    </w:p>
    <w:p>
      <w:pPr>
        <w:pStyle w:val="BodyText"/>
      </w:pPr>
      <w:r>
        <w:t>The custom roles have two categories, view and manage.</w:t>
      </w:r>
    </w:p>
    <w:p>
      <w:pPr>
        <w:pStyle w:val="BodyText"/>
        <w:numPr>
          <w:numId w:val="26"/>
        </w:numPr>
      </w:pPr>
      <w:r>
        <w:t>View. A user assigned to a role with this permission can see all the items for all projects across the organization in the selected sections of the user interface. This role is useful for users who need to see accounts, configurations, or assigned values.</w:t>
      </w:r>
    </w:p>
    <w:p>
      <w:pPr>
        <w:pStyle w:val="BodyText"/>
        <w:numPr>
          <w:numId w:val="26"/>
        </w:numPr>
      </w:pPr>
      <w:r>
        <w:t>Manage. A user assigned to a role with this permission can see all the items and has full add, edit, and delete permissions for all projects across the organization in the selected sections of the user interface.</w:t>
      </w:r>
    </w:p>
    <w:p>
      <w:pPr>
        <w:pStyle w:val="BodyText"/>
      </w:pPr>
      <w:r>
        <w:t>These permissions extend the privileges that are granted by the other roles and are not restricted by project membership. For example, you can expand a project administrator's permissions to manage parts of the infrastructure or give an organization auditor an ability to review and respond to approvals requests.</w:t>
      </w:r>
    </w:p>
    <w:p>
      <w:pPr>
        <w:pStyle w:val="BodyText"/>
      </w:pPr>
      <w:r>
        <w:t xml:space="preserve">For instructions on how to create a custom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Bc5ed3379d9ae475fa8e5e75e48bf2894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Custom Role in VCF Automation</w:t>
      </w:r>
      <w:r>
        <w:fldChar w:fldCharType="end"/>
      </w:r>
      <w:r>
        <w:t>.</w:t>
      </w:r>
    </w:p>
    <w:p>
      <w:pPr>
        <w:pStyle w:val="SectionHeading3"/>
      </w:pPr>
      <w:bookmarkStart w:id="40" w:name="_Toc256000606"/>
      <w:r>
        <w:t>Project Roles</w:t>
      </w:r>
      <w:bookmarkEnd w:id="40"/>
    </w:p>
    <w:p>
      <w:pPr>
        <w:pStyle w:val="BodyText"/>
      </w:pPr>
      <w:r>
        <w:t xml:space="preserve">In addition to the organizational roles, </w:t>
      </w:r>
      <w:r>
        <w:t>VCF Automation</w:t>
      </w:r>
      <w:r>
        <w:t xml:space="preserve"> has project roles. Project members can view and manage project resources depending on their project role. Project roles include Project Administrator, Project Advanced User, Project User, and Project Auditor.</w:t>
      </w:r>
    </w:p>
    <w:p>
      <w:pPr>
        <w:pStyle w:val="BodyText"/>
      </w:pPr>
      <w:r>
        <w:t xml:space="preserve">These roles are assigned automatically on a per project basis in </w:t>
      </w:r>
      <w:r>
        <w:t>VCF Automation</w:t>
      </w:r>
      <w:r>
        <w:t>. The project roles can vary between projects. The same user can be an administrator in one project and an advanced user in another project.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6"/>
        <w:gridCol w:w="81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General permissions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Administrator</w:t>
            </w:r>
          </w:p>
        </w:tc>
        <w:tc>
          <w:tcPr>
            <w:tcBorders>
              <w:left w:val="nil"/>
              <w:right w:val="nil"/>
            </w:tcBorders>
          </w:tcPr>
          <w:p>
            <w:pPr>
              <w:pStyle w:val="TableBodyText"/>
            </w:pPr>
            <w:r>
              <w:t>Project administrators leverage the infrastructure that is created by the organization administrator to ensure that their project members have the resources they need for their development work.</w:t>
            </w:r>
          </w:p>
          <w:p>
            <w:pPr>
              <w:pStyle w:val="TableBodyText"/>
            </w:pPr>
            <w:r>
              <w:t>Project administrators can:</w:t>
            </w:r>
          </w:p>
          <w:p>
            <w:pPr>
              <w:pStyle w:val="TableBodyText"/>
              <w:numPr>
                <w:numId w:val="27"/>
              </w:numPr>
            </w:pPr>
            <w:r>
              <w:t>View all content for their project, including namespaces, deployments, and so on</w:t>
            </w:r>
          </w:p>
          <w:p>
            <w:pPr>
              <w:pStyle w:val="TableBodyText"/>
              <w:numPr>
                <w:numId w:val="27"/>
              </w:numPr>
            </w:pPr>
            <w:r>
              <w:t>Perform all Day 2 actions on resources</w:t>
            </w:r>
          </w:p>
          <w:p>
            <w:pPr>
              <w:pStyle w:val="TableBodyText"/>
              <w:numPr>
                <w:numId w:val="27"/>
              </w:numPr>
            </w:pPr>
            <w:r>
              <w:t>Manage users in the project and assign roles</w:t>
            </w:r>
          </w:p>
          <w:p>
            <w:pPr>
              <w:pStyle w:val="TableBodyText"/>
              <w:numPr>
                <w:numId w:val="27"/>
              </w:numPr>
            </w:pPr>
            <w:r>
              <w:t>Manage project-level settings and administrator content</w:t>
            </w:r>
          </w:p>
          <w:p>
            <w:pPr>
              <w:pStyle w:val="TableBodyText"/>
              <w:numPr>
                <w:numId w:val="27"/>
              </w:numPr>
            </w:pPr>
            <w:r>
              <w:t>Create resources using the IaaS services console in namespaces they created or have access to</w:t>
            </w:r>
          </w:p>
          <w:p>
            <w:pPr>
              <w:pStyle w:val="TableBodyText"/>
              <w:numPr>
                <w:numId w:val="27"/>
              </w:numPr>
            </w:pPr>
            <w:r>
              <w:t>Manage catalog approval requests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Advanced User</w:t>
            </w:r>
          </w:p>
        </w:tc>
        <w:tc>
          <w:tcPr>
            <w:tcBorders>
              <w:left w:val="nil"/>
              <w:right w:val="nil"/>
            </w:tcBorders>
          </w:tcPr>
          <w:p>
            <w:pPr>
              <w:pStyle w:val="TableBodyText"/>
            </w:pPr>
            <w:r>
              <w:t>Advanced users work within their projects to request catalog items and create resources using the services console. They can perform day 2 actions on all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User</w:t>
            </w:r>
          </w:p>
        </w:tc>
        <w:tc>
          <w:tcPr>
            <w:tcBorders>
              <w:left w:val="nil"/>
              <w:right w:val="nil"/>
            </w:tcBorders>
          </w:tcPr>
          <w:p>
            <w:pPr>
              <w:pStyle w:val="TableBodyText"/>
            </w:pPr>
            <w:r>
              <w:t>Project users can only access the catalog and request catalog items. They can perform day 2 actions on their own deployments. They cannot use the IaaS services console.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Auditor</w:t>
            </w:r>
          </w:p>
        </w:tc>
        <w:tc>
          <w:tcPr>
            <w:tcBorders>
              <w:left w:val="nil"/>
              <w:right w:val="nil"/>
            </w:tcBorders>
          </w:tcPr>
          <w:p>
            <w:pPr>
              <w:pStyle w:val="TableBodyText"/>
            </w:pPr>
            <w:r>
              <w:t>Project auditors are restricted to read-only access.</w:t>
            </w:r>
            <w:r>
              <w:t xml:space="preserve">For a full list of what permissions each project role has, see </w:t>
            </w:r>
            <w:r>
              <w:t>Predefined Roles and Permissions in VCF Automation</w:t>
            </w:r>
            <w:r>
              <w:t>.</w:t>
            </w:r>
          </w:p>
        </w:tc>
      </w:tr>
    </w:tbl>
    <w:p>
      <w:pPr>
        <w:pStyle w:val="Heading3"/>
        <w:spacing w:before="320"/>
      </w:pPr>
      <w:bookmarkStart w:id="41" w:name="Bc7dafcec32204a4cb0ab641866c8c2ca"/>
      <w:bookmarkStart w:id="42" w:name="_Toc256000607"/>
      <w:r>
        <w:t>Predefined Roles and Permissions in VCF Automation</w:t>
      </w:r>
      <w:bookmarkEnd w:id="42"/>
      <w:bookmarkEnd w:id="41"/>
    </w:p>
    <w:p>
      <w:pPr>
        <w:pStyle w:val="BodyText"/>
      </w:pPr>
      <w:r>
        <w:t>As an organization administrator, you assign organization roles and project roles to users in your organization to determine what they can see and do in the organization. As an organization administrator, you have full permission on all areas of the user interface.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13"/>
        <w:gridCol w:w="1145"/>
        <w:gridCol w:w="1216"/>
        <w:gridCol w:w="1153"/>
        <w:gridCol w:w="1153"/>
        <w:gridCol w:w="1216"/>
        <w:gridCol w:w="784"/>
        <w:gridCol w:w="1090"/>
        <w:gridCol w:w="10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UI Context</w:t>
            </w:r>
          </w:p>
        </w:tc>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Organization Administrator</w:t>
            </w:r>
          </w:p>
        </w:tc>
        <w:tc>
          <w:tcPr>
            <w:tcBorders>
              <w:left w:val="nil"/>
              <w:right w:val="nil"/>
            </w:tcBorders>
            <w:shd w:val="clear" w:color="auto" w:fill="E1E1E1"/>
            <w:tcMar>
              <w:top w:w="60" w:type="dxa"/>
              <w:bottom w:w="60" w:type="dxa"/>
            </w:tcMar>
          </w:tcPr>
          <w:p>
            <w:pPr>
              <w:pStyle w:val="TableHeaderText"/>
            </w:pPr>
            <w:r>
              <w:t>Organization User</w:t>
            </w:r>
          </w:p>
        </w:tc>
        <w:tc>
          <w:tcPr>
            <w:tcBorders>
              <w:left w:val="nil"/>
              <w:right w:val="nil"/>
            </w:tcBorders>
            <w:shd w:val="clear" w:color="auto" w:fill="E1E1E1"/>
            <w:tcMar>
              <w:top w:w="60" w:type="dxa"/>
              <w:bottom w:w="60" w:type="dxa"/>
            </w:tcMar>
          </w:tcPr>
          <w:p>
            <w:pPr>
              <w:pStyle w:val="TableHeaderText"/>
            </w:pPr>
            <w:r>
              <w:t>Organization Auditor</w:t>
            </w:r>
          </w:p>
        </w:tc>
        <w:tc>
          <w:tcPr>
            <w:tcBorders>
              <w:left w:val="nil"/>
              <w:right w:val="nil"/>
            </w:tcBorders>
            <w:shd w:val="clear" w:color="auto" w:fill="E1E1E1"/>
            <w:tcMar>
              <w:top w:w="60" w:type="dxa"/>
              <w:bottom w:w="60" w:type="dxa"/>
            </w:tcMar>
          </w:tcPr>
          <w:p>
            <w:pPr>
              <w:pStyle w:val="TableHeaderText"/>
            </w:pPr>
            <w:r>
              <w:t>Project Administrator</w:t>
            </w:r>
          </w:p>
        </w:tc>
        <w:tc>
          <w:tcPr>
            <w:tcBorders>
              <w:left w:val="nil"/>
              <w:right w:val="nil"/>
            </w:tcBorders>
            <w:shd w:val="clear" w:color="auto" w:fill="E1E1E1"/>
            <w:tcMar>
              <w:top w:w="60" w:type="dxa"/>
              <w:bottom w:w="60" w:type="dxa"/>
            </w:tcMar>
          </w:tcPr>
          <w:p>
            <w:pPr>
              <w:pStyle w:val="TableHeaderText"/>
            </w:pPr>
            <w:r>
              <w:t>Project User</w:t>
            </w:r>
          </w:p>
        </w:tc>
        <w:tc>
          <w:tcPr>
            <w:tcBorders>
              <w:left w:val="nil"/>
              <w:right w:val="nil"/>
            </w:tcBorders>
            <w:shd w:val="clear" w:color="auto" w:fill="E1E1E1"/>
            <w:tcMar>
              <w:top w:w="60" w:type="dxa"/>
              <w:bottom w:w="60" w:type="dxa"/>
            </w:tcMar>
          </w:tcPr>
          <w:p>
            <w:pPr>
              <w:pStyle w:val="TableHeaderText"/>
            </w:pPr>
            <w:r>
              <w:t>Project Advanced User</w:t>
            </w:r>
          </w:p>
        </w:tc>
        <w:tc>
          <w:tcPr>
            <w:tcBorders>
              <w:left w:val="nil"/>
              <w:right w:val="nil"/>
            </w:tcBorders>
            <w:shd w:val="clear" w:color="auto" w:fill="E1E1E1"/>
            <w:tcMar>
              <w:top w:w="60" w:type="dxa"/>
              <w:bottom w:w="60" w:type="dxa"/>
            </w:tcMar>
          </w:tcPr>
          <w:p>
            <w:pPr>
              <w:pStyle w:val="TableHeaderText"/>
            </w:pPr>
            <w:r>
              <w:t>Project Auditor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Access the </w:t>
            </w:r>
            <w:r>
              <w:t>VCF Automation</w:t>
            </w:r>
            <w:r>
              <w:t xml:space="preserve"> organization portal</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Overview page</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My Account (User Profile)</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 &amp; Govern tab</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projects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delete projects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Edit project, including add users to the project and assign project roles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Namespaces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namespaces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namespaces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Namespace Classes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namespace classes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namespace classes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Regions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regions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Policies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policy definitions, assignments, and decisions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policies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policy enforcements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approval requests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Approve and reject requests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VPC</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VPCs, including connectivity profiles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Need Read access to creating networks within namespaces</w:t>
            </w:r>
          </w:p>
        </w:tc>
        <w:tc>
          <w:tcPr>
            <w:tcBorders>
              <w:left w:val="nil"/>
              <w:right w:val="nil"/>
            </w:tcBorders>
          </w:tcPr>
          <w:p>
            <w:pPr>
              <w:pStyle w:val="TableBodyText"/>
            </w:pPr>
          </w:p>
        </w:tc>
        <w:tc>
          <w:tcPr>
            <w:tcBorders>
              <w:left w:val="nil"/>
              <w:right w:val="nil"/>
            </w:tcBorders>
          </w:tcPr>
          <w:p>
            <w:pPr>
              <w:pStyle w:val="TableBodyText"/>
            </w:pPr>
            <w:r>
              <w:t>Need Read access to creating networks within namespaces</w:t>
            </w:r>
          </w:p>
        </w:tc>
        <w:tc>
          <w:tcPr>
            <w:tcBorders>
              <w:left w:val="nil"/>
              <w:right w:val="nil"/>
            </w:tcBorders>
          </w:tcPr>
          <w:p>
            <w:pPr>
              <w:pStyle w:val="TableBodyText"/>
            </w:pPr>
            <w:r>
              <w:t>Need Read access to creating networks within namespaces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VPCs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w:t>
            </w:r>
          </w:p>
          <w:p>
            <w:pPr>
              <w:pStyle w:val="TableBodyText"/>
            </w:pPr>
            <w:r>
              <w:t>Cannot edit VPC settings. Can only create new resources in the VPC</w:t>
            </w:r>
          </w:p>
        </w:tc>
        <w:tc>
          <w:tcPr>
            <w:tcBorders>
              <w:left w:val="nil"/>
              <w:right w:val="nil"/>
            </w:tcBorders>
          </w:tcPr>
          <w:p>
            <w:pPr>
              <w:pStyle w:val="TableBodyText"/>
            </w:pPr>
          </w:p>
        </w:tc>
        <w:tc>
          <w:tcPr>
            <w:tcBorders>
              <w:left w:val="nil"/>
              <w:right w:val="nil"/>
            </w:tcBorders>
          </w:tcPr>
          <w:p>
            <w:pPr>
              <w:pStyle w:val="TableBodyText"/>
            </w:pPr>
            <w:r>
              <w:t>Yes</w:t>
            </w:r>
          </w:p>
          <w:p>
            <w:pPr>
              <w:pStyle w:val="TableBodyText"/>
            </w:pPr>
            <w:r>
              <w:t>Cannot edit VPC settings. Can only create new resources in the VPC</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Connectivity Profiles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connectivity profiles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connectivity profiles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Transit Gateways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transit gateways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IP Blocks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IP blocks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IP blocks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IP Quotas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IP quotas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IP quotas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Services - Kubernetes Management</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VKS cluster management</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VKS clusters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tab</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Billing</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billing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Access Control</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users, groups, and roles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Import users and groups, assign roles, and create and manage custom roles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Identity Providers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Certificate Management</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Audit</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audit logs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Integrations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Git integrations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Git integrations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VCF Operations orchestrator integration</w:t>
            </w:r>
          </w:p>
        </w:tc>
        <w:tc>
          <w:tcPr>
            <w:tcBorders>
              <w:left w:val="nil"/>
              <w:right w:val="nil"/>
            </w:tcBorders>
          </w:tcPr>
          <w:p>
            <w:pPr>
              <w:pStyle w:val="TableBodyText"/>
            </w:pPr>
            <w:r>
              <w:t>Yes, only when the provider administrator published the Orchestrator Rights Bundle for the organization and assigned the rights to the user</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 and assigned the rights to the user</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VCF Operations orchestrator integration</w:t>
            </w:r>
          </w:p>
        </w:tc>
        <w:tc>
          <w:tcPr>
            <w:tcBorders>
              <w:left w:val="nil"/>
              <w:right w:val="nil"/>
            </w:tcBorders>
          </w:tcPr>
          <w:p>
            <w:pPr>
              <w:pStyle w:val="TableBodyText"/>
            </w:pPr>
            <w:r>
              <w:t>Yes, only when the provider administrator published the Orchestrator Rights Bundle for the organization and assigned the rights to the user</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Settings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settings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settings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Notifications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notifications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notifications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Secrets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secrets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secrets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Administer - Feature Flags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Allow users to configure their environment using feature flags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Extensibility</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extensibility events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extensibility subscriptions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Deactivate subscriptions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subscriptions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event topics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Build &amp; Deploy tab</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Instances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catalog instances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virtual machines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Kubernetes cluster instances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volumes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custom resource instances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resources (VMs, Kubernetes clusters, volumes) and instances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blueprint topology on deployed instances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Catalog</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Share catalog items with other organizations</w:t>
            </w:r>
          </w:p>
        </w:tc>
        <w:tc>
          <w:tcPr>
            <w:tcBorders>
              <w:left w:val="nil"/>
              <w:right w:val="nil"/>
            </w:tcBorders>
          </w:tcPr>
          <w:p>
            <w:pPr>
              <w:pStyle w:val="TableBodyText"/>
            </w:pPr>
            <w:r>
              <w:t>Yes, only if administering a provider consumption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Publish blueprints and their custom forms to the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Request items in the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Hub</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Hub - Content Libraries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content libraries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content libraries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Hub - VM Images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VM images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VM images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Publish VM images to the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Hub - Blueprints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blueprints and their custom forms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blueprints and their custom forms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blueprint requests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blueprint requests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custom resources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custom resources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resource actions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and manage resource actions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Hub - Workflows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workflows</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Publish workflows to the catalog</w:t>
            </w:r>
          </w:p>
        </w:tc>
        <w:tc>
          <w:tcPr>
            <w:tcBorders>
              <w:left w:val="nil"/>
              <w:right w:val="nil"/>
            </w:tcBorders>
          </w:tcPr>
          <w:p>
            <w:pPr>
              <w:pStyle w:val="TableBodyText"/>
            </w:pPr>
            <w:r>
              <w:t>Yes, only when the provider administrator published the Orchestrator Rights Bundle for the organization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IaaS Services Console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all services available for the namespace</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Yes, namespaces for your projects</w:t>
            </w:r>
          </w:p>
        </w:tc>
        <w:tc>
          <w:tcPr>
            <w:tcBorders>
              <w:left w:val="nil"/>
              <w:right w:val="nil"/>
            </w:tcBorders>
          </w:tcPr>
          <w:p>
            <w:pPr>
              <w:pStyle w:val="TableBodyText"/>
            </w:pPr>
          </w:p>
        </w:tc>
        <w:tc>
          <w:tcPr>
            <w:tcBorders>
              <w:left w:val="nil"/>
              <w:right w:val="nil"/>
            </w:tcBorders>
          </w:tcPr>
          <w:p>
            <w:pPr>
              <w:pStyle w:val="TableBodyText"/>
            </w:pPr>
            <w:r>
              <w:t>Yes, namespaces for your projects</w:t>
            </w:r>
          </w:p>
        </w:tc>
        <w:tc>
          <w:tcPr>
            <w:tcBorders>
              <w:left w:val="nil"/>
              <w:right w:val="nil"/>
            </w:tcBorders>
          </w:tcPr>
          <w:p>
            <w:pPr>
              <w:pStyle w:val="TableBodyText"/>
            </w:pPr>
            <w:r>
              <w:t>Yes, namespaces for your projects</w:t>
            </w:r>
          </w:p>
        </w:tc>
      </w:tr>
    </w:tbl>
    <w:p>
      <w:pPr>
        <w:pStyle w:val="Heading3"/>
        <w:spacing w:before="320"/>
      </w:pPr>
      <w:bookmarkStart w:id="43" w:name="B5b01daa815c74b2dae7c37d44b26b2fd"/>
      <w:bookmarkStart w:id="44" w:name="_Toc256000608"/>
      <w:r>
        <w:t>Add Users and Assign Roles in VCF Automation</w:t>
      </w:r>
      <w:bookmarkEnd w:id="44"/>
      <w:bookmarkEnd w:id="43"/>
    </w:p>
    <w:p>
      <w:pPr>
        <w:pStyle w:val="BodyText"/>
      </w:pPr>
      <w:r>
        <w:t xml:space="preserve">You can add role assignments for users in </w:t>
      </w:r>
      <w:r>
        <w:t>VCF Automation</w:t>
      </w:r>
      <w:r>
        <w:t>.</w:t>
      </w:r>
    </w:p>
    <w:p>
      <w:pPr>
        <w:pStyle w:val="BodyText"/>
      </w:pPr>
      <w:r>
        <w:rPr>
          <w:rStyle w:val="Strong"/>
        </w:rPr>
        <w:t>Prerequisites</w:t>
      </w:r>
    </w:p>
    <w:p>
      <w:pPr>
        <w:pStyle w:val="BodyText"/>
        <w:numPr>
          <w:numId w:val="28"/>
        </w:numPr>
      </w:pPr>
      <w:r>
        <w:t xml:space="preserve">Verify that users have been imported from a valid identity provider instance that is associated with your </w:t>
      </w:r>
      <w:r>
        <w:t>VCF Automation</w:t>
      </w:r>
      <w:r>
        <w:t xml:space="preserve"> deployment. See </w:t>
      </w:r>
      <w:r>
        <w:t>Managing Identity Providers in VCF Automation Organizations</w:t>
      </w:r>
      <w:r>
        <w:t>.</w:t>
      </w:r>
    </w:p>
    <w:p>
      <w:pPr>
        <w:pStyle w:val="BodyText"/>
        <w:numPr>
          <w:numId w:val="28"/>
        </w:numPr>
      </w:pPr>
      <w:r>
        <w:t xml:space="preserve">Review the </w:t>
      </w:r>
      <w:r>
        <w:t>VCF Automation</w:t>
      </w:r>
      <w:r>
        <w:t xml:space="preserve"> organization roles and project roles permissions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Bc7dafcec32204a4cb0ab641866c8c2ca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Predefined Roles and Permissions in VCF Automation</w:t>
      </w:r>
      <w:r>
        <w:fldChar w:fldCharType="end"/>
      </w:r>
      <w:r>
        <w:t>. You must understand what each user role can see and do.</w:t>
      </w:r>
    </w:p>
    <w:p>
      <w:pPr>
        <w:pStyle w:val="BodyText"/>
      </w:pPr>
      <w:r>
        <w:rPr>
          <w:rStyle w:val="Strong"/>
        </w:rPr>
        <w:t>Procedure</w:t>
      </w:r>
    </w:p>
    <w:p>
      <w:pPr>
        <w:pStyle w:val="BodyText"/>
        <w:numPr>
          <w:numId w:val="29"/>
        </w:numPr>
      </w:pPr>
      <w:r>
        <w:t xml:space="preserve">Log in to the </w:t>
      </w:r>
      <w:r>
        <w:t>VCF Automation</w:t>
      </w:r>
      <w:r>
        <w:t xml:space="preserve"> organization portal as an organization administrator.</w:t>
      </w:r>
    </w:p>
    <w:p>
      <w:pPr>
        <w:pStyle w:val="BodyText"/>
        <w:numPr>
          <w:numId w:val="29"/>
        </w:numPr>
      </w:pPr>
      <w:r>
        <w:t xml:space="preserve">Select </w:t>
      </w:r>
      <w:r>
        <w:rPr>
          <w:rStyle w:val="InlineUI"/>
        </w:rPr>
        <w:t>Administer</w:t>
      </w:r>
      <w:r>
        <w:rPr>
          <w:rStyle w:val="InlineUI"/>
        </w:rPr>
        <w:t xml:space="preserve"> &gt; </w:t>
      </w:r>
      <w:r>
        <w:rPr>
          <w:rStyle w:val="InlineUI"/>
        </w:rPr>
        <w:t>Access Control</w:t>
      </w:r>
      <w:r>
        <w:t>.</w:t>
      </w:r>
    </w:p>
    <w:p>
      <w:pPr>
        <w:pStyle w:val="BodyText"/>
        <w:numPr>
          <w:numId w:val="29"/>
        </w:numPr>
      </w:pPr>
      <w:r>
        <w:t xml:space="preserve">Select the </w:t>
      </w:r>
      <w:r>
        <w:rPr>
          <w:rStyle w:val="InlineUI"/>
        </w:rPr>
        <w:t>Users</w:t>
      </w:r>
      <w:r>
        <w:t xml:space="preserve"> tab and click </w:t>
      </w:r>
      <w:r>
        <w:rPr>
          <w:rStyle w:val="InlineUI"/>
        </w:rPr>
        <w:t>Import Users</w:t>
      </w:r>
      <w:r>
        <w:t>.</w:t>
      </w:r>
    </w:p>
    <w:p>
      <w:pPr>
        <w:pStyle w:val="BodyText"/>
        <w:numPr>
          <w:numId w:val="29"/>
        </w:numPr>
      </w:pPr>
      <w:r>
        <w:t xml:space="preserve">From the </w:t>
      </w:r>
      <w:r>
        <w:rPr>
          <w:rStyle w:val="InlineUI"/>
        </w:rPr>
        <w:t>Source</w:t>
      </w:r>
      <w:r>
        <w:t xml:space="preserve"> drop-down menu, select your identity provider type.</w:t>
      </w:r>
    </w:p>
    <w:p>
      <w:pPr>
        <w:pStyle w:val="BodyText"/>
        <w:ind w:left="480"/>
      </w:pPr>
      <w:r>
        <w:t>If you configured only one identity provider, this option is hard-coded.</w:t>
      </w:r>
    </w:p>
    <w:p>
      <w:pPr>
        <w:pStyle w:val="BodyText"/>
        <w:numPr>
          <w:numId w:val="29"/>
        </w:numPr>
      </w:pPr>
      <w:r>
        <w:t>Search for the users you want to assign roles to.</w:t>
      </w:r>
    </w:p>
    <w:p>
      <w:pPr>
        <w:pStyle w:val="BodyText"/>
        <w:ind w:left="480"/>
      </w:pPr>
      <w:r>
        <w:t>You can import a CSV list.</w:t>
      </w:r>
    </w:p>
    <w:p>
      <w:pPr>
        <w:pStyle w:val="BodyText"/>
        <w:numPr>
          <w:numId w:val="29"/>
        </w:numPr>
      </w:pPr>
      <w:r>
        <w:t>Assign one or more roles to the selected users.</w:t>
      </w:r>
    </w:p>
    <w:p>
      <w:pPr>
        <w:pStyle w:val="BodyText"/>
        <w:numPr>
          <w:numId w:val="29"/>
        </w:numPr>
      </w:pPr>
      <w:r>
        <w:t xml:space="preserve">If you want the roles of the users to become a combination of all group and assigned roles, turn on the </w:t>
      </w:r>
      <w:r>
        <w:rPr>
          <w:rStyle w:val="InlineUI"/>
        </w:rPr>
        <w:t>Inherit roles from groups</w:t>
      </w:r>
      <w:r>
        <w:t xml:space="preserve"> toggle.</w:t>
      </w:r>
    </w:p>
    <w:p>
      <w:pPr>
        <w:pStyle w:val="BodyText"/>
        <w:numPr>
          <w:numId w:val="29"/>
        </w:numPr>
      </w:pPr>
      <w:r>
        <w:t xml:space="preserve">Click </w:t>
      </w:r>
      <w:r>
        <w:rPr>
          <w:rStyle w:val="InlineUI"/>
        </w:rPr>
        <w:t>Save</w:t>
      </w:r>
      <w:r>
        <w:t>.</w:t>
      </w:r>
    </w:p>
    <w:p>
      <w:pPr>
        <w:pStyle w:val="BodyText"/>
      </w:pPr>
      <w:r>
        <w:rPr>
          <w:rStyle w:val="Strong"/>
        </w:rPr>
        <w:t>What to do next</w:t>
      </w:r>
    </w:p>
    <w:p>
      <w:pPr>
        <w:pStyle w:val="BodyText"/>
        <w:numPr>
          <w:numId w:val="30"/>
        </w:numPr>
      </w:pPr>
      <w:r>
        <w:t xml:space="preserve">You can edit roles assigned to users that have been imported into </w:t>
      </w:r>
      <w:r>
        <w:t>VCF Automation</w:t>
      </w:r>
      <w:r>
        <w:t xml:space="preserve"> at any time. To edit a user's role, click the vertical ellipsis next to their name on the </w:t>
      </w:r>
      <w:r>
        <w:rPr>
          <w:rStyle w:val="InlineUI"/>
        </w:rPr>
        <w:t>Users</w:t>
      </w:r>
      <w:r>
        <w:t xml:space="preserve"> page and click </w:t>
      </w:r>
      <w:r>
        <w:rPr>
          <w:rStyle w:val="InlineUI"/>
        </w:rPr>
        <w:t>Edit</w:t>
      </w:r>
      <w:r>
        <w:t>.</w:t>
      </w:r>
    </w:p>
    <w:p>
      <w:pPr>
        <w:pStyle w:val="Heading3"/>
      </w:pPr>
      <w:bookmarkStart w:id="45" w:name="_Toc256000609"/>
      <w:r>
        <w:t>Add Group and Assign Roles in VCF Automation</w:t>
      </w:r>
      <w:bookmarkEnd w:id="45"/>
    </w:p>
    <w:p>
      <w:pPr>
        <w:pStyle w:val="BodyText"/>
      </w:pPr>
      <w:r>
        <w:t xml:space="preserve">You can add role assignments for groups in </w:t>
      </w:r>
      <w:r>
        <w:t>VCF Automation</w:t>
      </w:r>
      <w:r>
        <w:t>.</w:t>
      </w:r>
    </w:p>
    <w:p>
      <w:pPr>
        <w:pStyle w:val="BodyText"/>
      </w:pPr>
      <w:r>
        <w:rPr>
          <w:rStyle w:val="Strong"/>
        </w:rPr>
        <w:t>Prerequisites</w:t>
      </w:r>
    </w:p>
    <w:p>
      <w:pPr>
        <w:pStyle w:val="BodyText"/>
        <w:numPr>
          <w:numId w:val="31"/>
        </w:numPr>
      </w:pPr>
      <w:r>
        <w:t xml:space="preserve">Verify that user groups have been imported from a valid identity provider instance that is associated with your </w:t>
      </w:r>
      <w:r>
        <w:t>VCF Automation</w:t>
      </w:r>
      <w:r>
        <w:t xml:space="preserve"> deployment. See </w:t>
      </w:r>
      <w:r>
        <w:t>Managing Identity Providers in VCF Automation Organizations</w:t>
      </w:r>
      <w:r>
        <w:t>.</w:t>
      </w:r>
    </w:p>
    <w:p>
      <w:pPr>
        <w:pStyle w:val="BodyText"/>
        <w:numPr>
          <w:numId w:val="31"/>
        </w:numPr>
      </w:pPr>
      <w:r>
        <w:t xml:space="preserve">Review the </w:t>
      </w:r>
      <w:r>
        <w:t>VCF Automation</w:t>
      </w:r>
      <w:r>
        <w:t xml:space="preserve"> organization roles and project roles permissions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Bc7dafcec32204a4cb0ab641866c8c2ca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Predefined Roles and Permissions in VCF Automation</w:t>
      </w:r>
      <w:r>
        <w:fldChar w:fldCharType="end"/>
      </w:r>
      <w:r>
        <w:t>. You must understand what each user role can see and do.</w:t>
      </w:r>
    </w:p>
    <w:p>
      <w:pPr>
        <w:pStyle w:val="BodyText"/>
      </w:pPr>
      <w:r>
        <w:rPr>
          <w:rStyle w:val="Strong"/>
        </w:rPr>
        <w:t>Procedure</w:t>
      </w:r>
    </w:p>
    <w:p>
      <w:pPr>
        <w:pStyle w:val="BodyText"/>
        <w:numPr>
          <w:numId w:val="32"/>
        </w:numPr>
      </w:pPr>
      <w:r>
        <w:t xml:space="preserve">Log in to the </w:t>
      </w:r>
      <w:r>
        <w:t>VCF Automation</w:t>
      </w:r>
      <w:r>
        <w:t xml:space="preserve"> organization portal as an organization administrator.</w:t>
      </w:r>
    </w:p>
    <w:p>
      <w:pPr>
        <w:pStyle w:val="BodyText"/>
        <w:numPr>
          <w:numId w:val="32"/>
        </w:numPr>
      </w:pPr>
      <w:r>
        <w:t xml:space="preserve">Select </w:t>
      </w:r>
      <w:r>
        <w:rPr>
          <w:rStyle w:val="InlineUI"/>
        </w:rPr>
        <w:t>Administer</w:t>
      </w:r>
      <w:r>
        <w:rPr>
          <w:rStyle w:val="InlineUI"/>
        </w:rPr>
        <w:t xml:space="preserve"> &gt; </w:t>
      </w:r>
      <w:r>
        <w:rPr>
          <w:rStyle w:val="InlineUI"/>
        </w:rPr>
        <w:t>Access Control</w:t>
      </w:r>
      <w:r>
        <w:t>.</w:t>
      </w:r>
    </w:p>
    <w:p>
      <w:pPr>
        <w:pStyle w:val="BodyText"/>
        <w:numPr>
          <w:numId w:val="32"/>
        </w:numPr>
      </w:pPr>
      <w:r>
        <w:t xml:space="preserve">Select the </w:t>
      </w:r>
      <w:r>
        <w:rPr>
          <w:rStyle w:val="InlineUI"/>
        </w:rPr>
        <w:t>Groups</w:t>
      </w:r>
      <w:r>
        <w:t xml:space="preserve"> tab and click </w:t>
      </w:r>
      <w:r>
        <w:rPr>
          <w:rStyle w:val="InlineUI"/>
        </w:rPr>
        <w:t>Import Groups</w:t>
      </w:r>
      <w:r>
        <w:t>.</w:t>
      </w:r>
    </w:p>
    <w:p>
      <w:pPr>
        <w:pStyle w:val="BodyText"/>
        <w:numPr>
          <w:numId w:val="32"/>
        </w:numPr>
      </w:pPr>
      <w:r>
        <w:t xml:space="preserve">From the </w:t>
      </w:r>
      <w:r>
        <w:rPr>
          <w:rStyle w:val="InlineUI"/>
        </w:rPr>
        <w:t>Source</w:t>
      </w:r>
      <w:r>
        <w:t xml:space="preserve"> drop-down menu, select your identity provider type.</w:t>
      </w:r>
    </w:p>
    <w:p>
      <w:pPr>
        <w:pStyle w:val="BodyText"/>
        <w:ind w:left="480"/>
      </w:pPr>
      <w:r>
        <w:t>If you configured only one identity provider, this option is hard-coded.</w:t>
      </w:r>
    </w:p>
    <w:p>
      <w:pPr>
        <w:pStyle w:val="BodyText"/>
        <w:numPr>
          <w:numId w:val="32"/>
        </w:numPr>
      </w:pPr>
      <w:r>
        <w:t>Use the search function to find the group that you are adding and select it.</w:t>
      </w:r>
    </w:p>
    <w:p>
      <w:pPr>
        <w:pStyle w:val="BodyText"/>
        <w:numPr>
          <w:numId w:val="32"/>
        </w:numPr>
      </w:pPr>
      <w:r>
        <w:t>Assign an organization role.</w:t>
      </w:r>
    </w:p>
    <w:p>
      <w:pPr>
        <w:pStyle w:val="BodyText"/>
        <w:numPr>
          <w:numId w:val="32"/>
        </w:numPr>
      </w:pPr>
      <w:r>
        <w:t xml:space="preserve">Click </w:t>
      </w:r>
      <w:r>
        <w:rPr>
          <w:rStyle w:val="InlineUI"/>
        </w:rPr>
        <w:t>Save</w:t>
      </w:r>
      <w:r>
        <w:t>.</w:t>
      </w:r>
    </w:p>
    <w:p>
      <w:pPr>
        <w:pStyle w:val="BodyText"/>
      </w:pPr>
      <w:r>
        <w:rPr>
          <w:rStyle w:val="Strong"/>
        </w:rPr>
        <w:t>What to do next</w:t>
      </w:r>
    </w:p>
    <w:p>
      <w:pPr>
        <w:pStyle w:val="BodyText"/>
        <w:numPr>
          <w:numId w:val="33"/>
        </w:numPr>
      </w:pPr>
      <w:r>
        <w:t xml:space="preserve">You can edit roles assigned to groups that have been imported into </w:t>
      </w:r>
      <w:r>
        <w:t>VCF Automation</w:t>
      </w:r>
      <w:r>
        <w:t xml:space="preserve"> at any time. To edit a group's role, click the vertical ellipsis next to the group's name on the </w:t>
      </w:r>
      <w:r>
        <w:rPr>
          <w:rStyle w:val="InlineUI"/>
        </w:rPr>
        <w:t>Groups</w:t>
      </w:r>
      <w:r>
        <w:t xml:space="preserve"> page and click </w:t>
      </w:r>
      <w:r>
        <w:rPr>
          <w:rStyle w:val="InlineUI"/>
        </w:rPr>
        <w:t>Edit</w:t>
      </w:r>
      <w:r>
        <w:t>.</w:t>
      </w:r>
    </w:p>
    <w:p>
      <w:pPr>
        <w:pStyle w:val="Heading3"/>
      </w:pPr>
      <w:bookmarkStart w:id="46" w:name="_Toc256000610"/>
      <w:r>
        <w:t>Disable and Delete Users in VCF Automation</w:t>
      </w:r>
      <w:bookmarkEnd w:id="46"/>
    </w:p>
    <w:p>
      <w:pPr>
        <w:pStyle w:val="BodyText"/>
      </w:pPr>
      <w:r>
        <w:t xml:space="preserve">As an organization administrator, you can disable and/or delete users and user groups from your </w:t>
      </w:r>
      <w:r>
        <w:t>VCF Automation</w:t>
      </w:r>
      <w:r>
        <w:t xml:space="preserve"> organization.</w:t>
      </w:r>
    </w:p>
    <w:p>
      <w:pPr>
        <w:pStyle w:val="BodyText"/>
      </w:pPr>
      <w:r>
        <w:t xml:space="preserve">Disabling a user or user group deactivates the user's access to the organization. They are no longer able to log in and access </w:t>
      </w:r>
      <w:r>
        <w:t>VCF Automation</w:t>
      </w:r>
      <w:r>
        <w:t xml:space="preserve"> features. Disabling a user does not remove them from the organization and you can reactivate their access at a later time.</w:t>
      </w:r>
    </w:p>
    <w:p>
      <w:pPr>
        <w:pStyle w:val="BodyText"/>
      </w:pPr>
      <w:r>
        <w:t xml:space="preserve">Deleting a user removes them from the organization. You must import the user again if you want to give them access to </w:t>
      </w:r>
      <w:r>
        <w:t>VCF Automation</w:t>
      </w:r>
      <w:r>
        <w:t>. Before you can delete a user, you must disable their access first.</w:t>
      </w:r>
    </w:p>
    <w:p>
      <w:pPr>
        <w:pStyle w:val="BodyText"/>
      </w:pPr>
      <w:r>
        <w:rPr>
          <w:rStyle w:val="Strong"/>
        </w:rPr>
        <w:t>Procedure</w:t>
      </w:r>
    </w:p>
    <w:p>
      <w:pPr>
        <w:pStyle w:val="BodyText"/>
        <w:numPr>
          <w:numId w:val="34"/>
        </w:numPr>
      </w:pPr>
      <w:r>
        <w:t xml:space="preserve">Log in to the </w:t>
      </w:r>
      <w:r>
        <w:t>VCF Automation</w:t>
      </w:r>
      <w:r>
        <w:t xml:space="preserve"> organization portal as an organization administrator.</w:t>
      </w:r>
    </w:p>
    <w:p>
      <w:pPr>
        <w:pStyle w:val="BodyText"/>
        <w:numPr>
          <w:numId w:val="34"/>
        </w:numPr>
      </w:pPr>
      <w:r>
        <w:t xml:space="preserve">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Users</w:t>
      </w:r>
      <w:r>
        <w:t>.</w:t>
      </w:r>
    </w:p>
    <w:p>
      <w:pPr>
        <w:pStyle w:val="BodyText"/>
        <w:numPr>
          <w:numId w:val="34"/>
        </w:numPr>
      </w:pPr>
      <w:r>
        <w:t xml:space="preserve">Click vertical ellipsis next to the name of the user you want to delete and then click </w:t>
      </w:r>
      <w:r>
        <w:rPr>
          <w:rStyle w:val="InlineUI"/>
        </w:rPr>
        <w:t>Disable</w:t>
      </w:r>
      <w:r>
        <w:t>.</w:t>
      </w:r>
    </w:p>
    <w:p>
      <w:pPr>
        <w:pStyle w:val="BodyText"/>
        <w:numPr>
          <w:numId w:val="34"/>
        </w:numPr>
      </w:pPr>
      <w:r>
        <w:t xml:space="preserve">Click </w:t>
      </w:r>
      <w:r>
        <w:rPr>
          <w:rStyle w:val="InlineUI"/>
        </w:rPr>
        <w:t>Disable</w:t>
      </w:r>
      <w:r>
        <w:t xml:space="preserve"> to confirm.</w:t>
      </w:r>
    </w:p>
    <w:p>
      <w:pPr>
        <w:pStyle w:val="BodyText"/>
        <w:numPr>
          <w:numId w:val="34"/>
        </w:numPr>
      </w:pPr>
      <w:r>
        <w:t xml:space="preserve">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Users</w:t>
      </w:r>
      <w:r>
        <w:t>.</w:t>
      </w:r>
    </w:p>
    <w:p>
      <w:pPr>
        <w:pStyle w:val="BodyText"/>
        <w:numPr>
          <w:numId w:val="34"/>
        </w:numPr>
      </w:pPr>
      <w:r>
        <w:t xml:space="preserve">Click vertical ellipsis next to the name of the user you want to delete and then click </w:t>
      </w:r>
      <w:r>
        <w:rPr>
          <w:rStyle w:val="InlineUI"/>
        </w:rPr>
        <w:t>Delete</w:t>
      </w:r>
      <w:r>
        <w:t>.</w:t>
      </w:r>
    </w:p>
    <w:p>
      <w:pPr>
        <w:pStyle w:val="BodyText"/>
        <w:numPr>
          <w:numId w:val="34"/>
        </w:numPr>
      </w:pPr>
      <w:r>
        <w:t xml:space="preserve">Click </w:t>
      </w:r>
      <w:r>
        <w:rPr>
          <w:rStyle w:val="InlineUI"/>
        </w:rPr>
        <w:t>Delete</w:t>
      </w:r>
      <w:r>
        <w:t xml:space="preserve"> to confirm.</w:t>
      </w:r>
    </w:p>
    <w:p>
      <w:pPr>
        <w:pStyle w:val="BodyText"/>
        <w:numPr>
          <w:numId w:val="34"/>
        </w:numPr>
      </w:pPr>
      <w:r>
        <w:t xml:space="preserve">(Optional) </w:t>
      </w:r>
      <w:r>
        <w:t xml:space="preserve">Select the </w:t>
      </w:r>
      <w:r>
        <w:rPr>
          <w:rStyle w:val="InlineUI"/>
        </w:rPr>
        <w:t>Transfer the user's objects to me</w:t>
      </w:r>
      <w:r>
        <w:t xml:space="preserve"> checkbox.</w:t>
      </w:r>
    </w:p>
    <w:p>
      <w:pPr>
        <w:pStyle w:val="BodyText"/>
        <w:ind w:left="480"/>
      </w:pPr>
      <w:r>
        <w:t>Transferring user objects to the administrator ensures that objects are not orphaned when user is deleted.</w:t>
      </w:r>
    </w:p>
    <w:p>
      <w:pPr>
        <w:pStyle w:val="BodyText"/>
        <w:numPr>
          <w:numId w:val="34"/>
        </w:numPr>
      </w:pPr>
      <w:r>
        <w:t xml:space="preserve">Click </w:t>
      </w:r>
      <w:r>
        <w:rPr>
          <w:rStyle w:val="InlineUI"/>
        </w:rPr>
        <w:t>Delete</w:t>
      </w:r>
      <w:r>
        <w:t xml:space="preserve"> to confirm.</w:t>
      </w:r>
    </w:p>
    <w:p>
      <w:pPr>
        <w:pStyle w:val="Heading3"/>
      </w:pPr>
      <w:bookmarkStart w:id="47" w:name="Bc5ed3379d9ae475fa8e5e75e48bf2894"/>
      <w:bookmarkStart w:id="48" w:name="_Toc256000611"/>
      <w:r>
        <w:t>Create a Custom Role in VCF Automation</w:t>
      </w:r>
      <w:bookmarkEnd w:id="48"/>
      <w:bookmarkEnd w:id="47"/>
    </w:p>
    <w:p>
      <w:pPr>
        <w:pStyle w:val="BodyText"/>
      </w:pPr>
      <w:r>
        <w:t xml:space="preserve">As a </w:t>
      </w:r>
      <w:r>
        <w:t>VCF Automation</w:t>
      </w:r>
      <w:r>
        <w:t xml:space="preserve"> organization administrator, you manage user access using the default organization roles. However, you might also want to create custom roles so that selected users can perform specific tasks or see content that is outside of their organization roles.</w:t>
      </w:r>
    </w:p>
    <w:p>
      <w:pPr>
        <w:pStyle w:val="BodyText"/>
        <w:numPr>
          <w:numId w:val="35"/>
        </w:numPr>
      </w:pPr>
      <w:r>
        <w:t xml:space="preserve">Review the custom organization role descriptions so that you know more about how you can refine the permissions for your users.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B146d770842104303aba5c7b7adf26c4a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Predefined User Roles in VCF Automation</w:t>
      </w:r>
      <w:r>
        <w:fldChar w:fldCharType="end"/>
      </w:r>
      <w:r>
        <w:t>.</w:t>
      </w:r>
    </w:p>
    <w:p>
      <w:pPr>
        <w:pStyle w:val="BodyText"/>
      </w:pPr>
      <w:r>
        <w:rPr>
          <w:rStyle w:val="Strong"/>
        </w:rPr>
        <w:t>Procedure</w:t>
      </w:r>
    </w:p>
    <w:p>
      <w:pPr>
        <w:pStyle w:val="BodyText"/>
        <w:numPr>
          <w:numId w:val="36"/>
        </w:numPr>
      </w:pPr>
      <w:r>
        <w:t xml:space="preserve">Log in to the </w:t>
      </w:r>
      <w:r>
        <w:t>VCF Automation</w:t>
      </w:r>
      <w:r>
        <w:t xml:space="preserve"> organization portal as an organization administrator.</w:t>
      </w:r>
    </w:p>
    <w:p>
      <w:pPr>
        <w:pStyle w:val="BodyText"/>
        <w:numPr>
          <w:numId w:val="36"/>
        </w:numPr>
      </w:pPr>
      <w:r>
        <w:t xml:space="preserve">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Roles</w:t>
      </w:r>
      <w:r>
        <w:t xml:space="preserve"> and click </w:t>
      </w:r>
      <w:r>
        <w:rPr>
          <w:rStyle w:val="InlineUI"/>
        </w:rPr>
        <w:t>New</w:t>
      </w:r>
      <w:r>
        <w:t>.</w:t>
      </w:r>
    </w:p>
    <w:p>
      <w:pPr>
        <w:pStyle w:val="BodyText"/>
        <w:numPr>
          <w:numId w:val="36"/>
        </w:numPr>
      </w:pPr>
      <w:r>
        <w:t>Enter a unique name that you can identify when you assign users to the role and, optionally, a description.</w:t>
      </w:r>
    </w:p>
    <w:p>
      <w:pPr>
        <w:pStyle w:val="BodyText"/>
        <w:numPr>
          <w:numId w:val="36"/>
        </w:numPr>
      </w:pPr>
      <w:r>
        <w:t>Select the check boxes that correspond to the permissions you want the users to have over the resources.</w:t>
      </w:r>
    </w:p>
    <w:p>
      <w:pPr>
        <w:pStyle w:val="BodyText"/>
        <w:numPr>
          <w:numId w:val="36"/>
        </w:numPr>
      </w:pPr>
      <w:r>
        <w:t xml:space="preserve">Click </w:t>
      </w:r>
      <w:r>
        <w:rPr>
          <w:rStyle w:val="InlineUI"/>
        </w:rPr>
        <w:t>Save</w:t>
      </w:r>
      <w:r>
        <w:t>.</w:t>
      </w:r>
    </w:p>
    <w:p>
      <w:pPr>
        <w:pStyle w:val="BodyText"/>
      </w:pPr>
      <w:r>
        <w:rPr>
          <w:rStyle w:val="Strong"/>
        </w:rPr>
        <w:t>What to do next</w:t>
      </w:r>
    </w:p>
    <w:p>
      <w:pPr>
        <w:pStyle w:val="BodyText"/>
      </w:pPr>
      <w:r>
        <w:t xml:space="preserve">Assign the custom role to users and groups in your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B5b01daa815c74b2dae7c37d44b26b2fd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Users and Assign Roles in VCF Automation</w:t>
      </w:r>
      <w:r>
        <w:fldChar w:fldCharType="end"/>
      </w:r>
    </w:p>
    <w:p>
      <w:pPr>
        <w:pStyle w:val="Heading2"/>
      </w:pPr>
      <w:bookmarkStart w:id="49" w:name="_Toc256000612"/>
      <w:r>
        <w:t>Managing Networking in VCF Automation</w:t>
      </w:r>
      <w:bookmarkEnd w:id="49"/>
    </w:p>
    <w:p>
      <w:pPr>
        <w:pStyle w:val="BodyText"/>
      </w:pPr>
      <w:r>
        <w:t>As an organization administrator, you can view what networking infrastructure is assigned to your organization by the provider administrator and you can manage networking infrastructure within the organization.</w:t>
      </w:r>
    </w:p>
    <w:p>
      <w:pPr>
        <w:pStyle w:val="SectionHeading3"/>
      </w:pPr>
      <w:bookmarkStart w:id="50" w:name="_Toc256000613"/>
      <w:r>
        <w:t>Virtual Private Clouds (VPCs)</w:t>
      </w:r>
      <w:bookmarkEnd w:id="50"/>
    </w:p>
    <w:p>
      <w:pPr>
        <w:pStyle w:val="BodyText"/>
      </w:pPr>
      <w:r>
        <w:t>A VPC provides an isolated domain of networking resources that can be associated with one or more namespaces. You can create VPCs for your organization and associate each VPC to one or more namespaces.</w:t>
      </w:r>
    </w:p>
    <w:p>
      <w:pPr>
        <w:pStyle w:val="BodyText"/>
      </w:pPr>
      <w:r>
        <w:t>Each VPC can leverage 3 different types of IP blocks that each have different levels of reachability:</w:t>
      </w:r>
    </w:p>
    <w:p>
      <w:pPr>
        <w:pStyle w:val="BodyText"/>
        <w:numPr>
          <w:numId w:val="37"/>
        </w:numPr>
      </w:pPr>
      <w:r>
        <w:t>Private CIDRs are local to the VPC and require NAT to connect to any resources outside of the VPC. These CIDRs are managed by the VPC administrator and do not need to be unique across multiple VPCs.</w:t>
      </w:r>
    </w:p>
    <w:p>
      <w:pPr>
        <w:pStyle w:val="BodyText"/>
        <w:numPr>
          <w:numId w:val="37"/>
        </w:numPr>
      </w:pPr>
      <w:r>
        <w:t xml:space="preserve">Transit Gateway (TGW) Private IP blocks are only advertised within the </w:t>
      </w:r>
      <w:r>
        <w:t>VCF Automation</w:t>
      </w:r>
      <w:r>
        <w:t xml:space="preserve"> organization and its TGW. The available IP blocks are defined by the organization administrator. Project administrators can allocate subnets from within the defined IP Blocks for use in their VPCs. These IPs have direct reachability to other VPCs within the organization using the TGW Private IP space.</w:t>
      </w:r>
    </w:p>
    <w:p>
      <w:pPr>
        <w:pStyle w:val="BodyText"/>
        <w:numPr>
          <w:numId w:val="37"/>
        </w:numPr>
      </w:pPr>
      <w:r>
        <w:t>External IP Blocks are managed by the provider administrator. IPs in this space are used for outbound Source NAT to enable external reachability for workloads using Private IPs. Organization administrators can assign subnets within the external IP blocks by the allocations defined by the Provider.</w:t>
      </w:r>
    </w:p>
    <w:p>
      <w:pPr>
        <w:pStyle w:val="BodyText"/>
      </w:pPr>
      <w:r>
        <w:t>You can create a new VPC for each namespace for workloads that require some degree of network separation. If no network separation is required, you can use the same VPC for multiple namespaces.</w:t>
      </w:r>
    </w:p>
    <w:p>
      <w:pPr>
        <w:pStyle w:val="BodyText"/>
      </w:pPr>
      <w:r>
        <w:t>The Network Service can be used to create, update, manage, and delete resources within the VPC by organization administrators and advanced project users.</w:t>
      </w:r>
    </w:p>
    <w:p>
      <w:pPr>
        <w:pStyle w:val="BodyText"/>
        <w:pBdr>
          <w:top w:val="single" w:sz="8" w:space="2" w:color="D3D3D3"/>
          <w:bottom w:val="single" w:sz="8" w:space="2" w:color="D3D3D3"/>
        </w:pBdr>
      </w:pPr>
      <w:r>
        <w:rPr>
          <w:rStyle w:val="NoteLeaderimportant"/>
        </w:rPr>
        <w:t>Important</w:t>
        <w:tab/>
      </w:r>
      <w:r>
        <w:t>VCF Automation</w:t>
      </w:r>
      <w:r>
        <w:t xml:space="preserve"> is compatible only with supervisors with NSX VPCs. For more information about networking, see the </w:t>
      </w:r>
      <w:hyperlink r:id="rId11" w:tooltip="Virtual Private Cloud in NSX" w:history="1">
        <w:r>
          <w:rPr>
            <w:color w:val="0000FF"/>
            <w:u w:val="single"/>
          </w:rPr>
          <w:t>Virtual Private Cloud in NSX</w:t>
        </w:r>
      </w:hyperlink>
      <w:r>
        <w:t xml:space="preserve"> documentation.</w:t>
      </w:r>
    </w:p>
    <w:p>
      <w:pPr>
        <w:pStyle w:val="SectionHeading3"/>
      </w:pPr>
      <w:bookmarkStart w:id="51" w:name="_Toc256000614"/>
      <w:r>
        <w:t>Connectivity profiles</w:t>
      </w:r>
      <w:bookmarkEnd w:id="51"/>
    </w:p>
    <w:p>
      <w:pPr>
        <w:pStyle w:val="BodyText"/>
      </w:pPr>
      <w:r>
        <w:t>A connectivity profile is a template that allows simplified configuration of new VPCs. A default connectivity profile is configured by the provider administrator to simplify the initial organization configuration. You can provide one or more external and private transit gateway IP address blocks that are used by VPCs configured with a specific connectivity profile.</w:t>
      </w:r>
    </w:p>
    <w:p>
      <w:pPr>
        <w:pStyle w:val="SectionHeading3"/>
      </w:pPr>
      <w:bookmarkStart w:id="52" w:name="_Toc256000615"/>
      <w:r>
        <w:t>Transit gateways</w:t>
      </w:r>
      <w:bookmarkEnd w:id="52"/>
    </w:p>
    <w:p>
      <w:pPr>
        <w:pStyle w:val="BodyText"/>
      </w:pPr>
      <w:r>
        <w:t>Depending on the regional quota, each organization has a transit gateway which provides connectivity to the provider gateway within the organization. One or more VPCs are connected to the transit gateway, and that connection is defined by a VPC connectivity profile. Each VPC has connected workloads and a private subnet. SNAT rules translate addresses from this private subnet to a public address in the IP spaces block. This infrastructure enables the organization and its workloads to connect to external networks.</w:t>
      </w:r>
    </w:p>
    <w:p>
      <w:pPr>
        <w:pStyle w:val="BodyText"/>
      </w:pPr>
      <w:r>
        <w:t xml:space="preserve">You can view what transit gateways are available to your organization on the </w:t>
      </w:r>
      <w:r>
        <w:rPr>
          <w:rStyle w:val="InlineUI"/>
        </w:rPr>
        <w:t>Manage &amp; Govern</w:t>
      </w:r>
      <w:r>
        <w:rPr>
          <w:rStyle w:val="InlineUI"/>
        </w:rPr>
        <w:t xml:space="preserve"> &gt; </w:t>
      </w:r>
      <w:r>
        <w:rPr>
          <w:rStyle w:val="InlineUI"/>
        </w:rPr>
        <w:t>Networking</w:t>
      </w:r>
      <w:r>
        <w:rPr>
          <w:rStyle w:val="InlineUI"/>
        </w:rPr>
        <w:t xml:space="preserve"> &gt; </w:t>
      </w:r>
      <w:r>
        <w:rPr>
          <w:rStyle w:val="InlineUI"/>
        </w:rPr>
        <w:t>Transit Gateways</w:t>
      </w:r>
      <w:r>
        <w:t xml:space="preserve"> page.</w:t>
      </w:r>
    </w:p>
    <w:p>
      <w:pPr>
        <w:pStyle w:val="BodyText"/>
      </w:pPr>
      <w:r>
        <w:t>You can also manage IP addresses that the provider administrator made available to you and create IP addresses that are specific to your organization.</w:t>
      </w:r>
    </w:p>
    <w:p>
      <w:pPr>
        <w:pStyle w:val="SectionHeading3"/>
      </w:pPr>
      <w:bookmarkStart w:id="53" w:name="_Toc256000616"/>
      <w:r>
        <w:t>Best Practices for Organization Networking</w:t>
      </w:r>
      <w:bookmarkEnd w:id="53"/>
    </w:p>
    <w:p>
      <w:pPr>
        <w:pStyle w:val="BodyText"/>
        <w:numPr>
          <w:numId w:val="38"/>
        </w:numPr>
      </w:pPr>
      <w:r>
        <w:t>Effectively using VPCs. VPCs offer networking isolation. As an organization administrator, you can create VPCs and reserve them for use by certain namespaces and projects or share VPCs with all organization users. You can review the following sections for examples for effectively using VPCs to fit your organization needs.</w:t>
      </w:r>
    </w:p>
    <w:p>
      <w:pPr>
        <w:pStyle w:val="BodyText"/>
        <w:numPr>
          <w:ilvl w:val="1"/>
          <w:numId w:val="38"/>
        </w:numPr>
      </w:pPr>
      <w:r>
        <w:t xml:space="preserve">For information about using a single VPC for the entire organization, see </w:t>
      </w:r>
      <w:hyperlink r:id="rId12" w:tooltip="Multi-Tenancy Consumption Pattern 1: Resource Isolation with Single VPC for Multiple Businesses in One Supervisor Zone" w:history="1">
        <w:r>
          <w:rPr>
            <w:color w:val="0000FF"/>
            <w:u w:val="single"/>
          </w:rPr>
          <w:t>Multi-Tenancy Consumption Pattern 1: Resource Isolation with Single VPC for Multiple Businesses in One Supervisor Zone</w:t>
        </w:r>
      </w:hyperlink>
      <w:r>
        <w:t xml:space="preserve"> in the </w:t>
      </w:r>
      <w:r>
        <w:t>VMware Cloud Foundation</w:t>
      </w:r>
      <w:r>
        <w:rPr>
          <w:rStyle w:val="InlineCite"/>
        </w:rPr>
        <w:t>Design Guide</w:t>
      </w:r>
      <w:r>
        <w:t>.</w:t>
      </w:r>
    </w:p>
    <w:p>
      <w:pPr>
        <w:pStyle w:val="BodyText"/>
        <w:numPr>
          <w:ilvl w:val="1"/>
          <w:numId w:val="38"/>
        </w:numPr>
      </w:pPr>
      <w:r>
        <w:t xml:space="preserve">For information about how each Line of Business, represented as a </w:t>
      </w:r>
      <w:r>
        <w:t>VCF Automation</w:t>
      </w:r>
      <w:r>
        <w:t xml:space="preserve"> project, can use a dedicated VPC, see </w:t>
      </w:r>
      <w:hyperlink r:id="rId13" w:tooltip="Multi-Tenancy Consumption Pattern 2: Resource Isolation with Multiple VPCs for Multiple Lines of Business in One Supervisor Zone" w:history="1">
        <w:r>
          <w:rPr>
            <w:color w:val="0000FF"/>
            <w:u w:val="single"/>
          </w:rPr>
          <w:t>Multi-Tenancy Consumption Pattern 2: Resource Isolation with Multiple VPCs for Multiple Lines of Business in One Supervisor Zone</w:t>
        </w:r>
      </w:hyperlink>
      <w:r>
        <w:t xml:space="preserve"> in the </w:t>
      </w:r>
      <w:r>
        <w:t>VMware Cloud Foundation</w:t>
      </w:r>
      <w:r>
        <w:rPr>
          <w:rStyle w:val="InlineCite"/>
        </w:rPr>
        <w:t>Design Guide</w:t>
      </w:r>
      <w:r>
        <w:t>.</w:t>
      </w:r>
    </w:p>
    <w:p>
      <w:pPr>
        <w:pStyle w:val="BodyText"/>
        <w:numPr>
          <w:numId w:val="38"/>
        </w:numPr>
      </w:pPr>
      <w:r>
        <w:t>Planning for IP blocks and quotas. To learn more about wokload networking and how to plan for IP blocks, see</w:t>
      </w:r>
    </w:p>
    <w:p>
      <w:pPr>
        <w:pStyle w:val="BodyText"/>
        <w:ind w:left="480"/>
      </w:pPr>
      <w:hyperlink r:id="rId14" w:tooltip="Understanding Workload Networking" w:history="1">
        <w:r>
          <w:rPr>
            <w:color w:val="0000FF"/>
            <w:u w:val="single"/>
          </w:rPr>
          <w:t>Understanding Workload Networking</w:t>
        </w:r>
      </w:hyperlink>
      <w:r>
        <w:t xml:space="preserve"> in the </w:t>
      </w:r>
      <w:r>
        <w:t>VMware Cloud Foundation</w:t>
      </w:r>
      <w:r>
        <w:rPr>
          <w:rStyle w:val="InlineCite"/>
        </w:rPr>
        <w:t>Design Guide</w:t>
      </w:r>
      <w:r>
        <w:t>.</w:t>
      </w:r>
    </w:p>
    <w:p>
      <w:pPr>
        <w:pStyle w:val="Heading3"/>
      </w:pPr>
      <w:bookmarkStart w:id="54" w:name="B5bb5e0fb60884e90ad865f47c016bbb6"/>
      <w:bookmarkStart w:id="55" w:name="_Toc256000617"/>
      <w:r>
        <w:t>Create a Connectivity Profile in VCF Automation</w:t>
      </w:r>
      <w:bookmarkEnd w:id="55"/>
      <w:bookmarkEnd w:id="54"/>
    </w:p>
    <w:p>
      <w:pPr>
        <w:pStyle w:val="BodyText"/>
      </w:pPr>
      <w:r>
        <w:t xml:space="preserve">As an organization administrator, you can create, update, and delete VPC connectivity profiles in </w:t>
      </w:r>
      <w:r>
        <w:t>VCF Automation</w:t>
      </w:r>
      <w:r>
        <w:t>.</w:t>
      </w:r>
    </w:p>
    <w:p>
      <w:pPr>
        <w:pStyle w:val="BodyText"/>
      </w:pPr>
      <w:r>
        <w:t>Your organization comes with а default connectivity profile. As an organization administrator, you can create additional connectivity profiles to use in your organization if, for example, you need to configure different external and/or private IP address blocks.</w:t>
      </w:r>
    </w:p>
    <w:p>
      <w:pPr>
        <w:pStyle w:val="BodyText"/>
      </w:pPr>
      <w:r>
        <w:rPr>
          <w:rStyle w:val="Strong"/>
        </w:rPr>
        <w:t>Prerequisites</w:t>
      </w:r>
    </w:p>
    <w:p>
      <w:pPr>
        <w:pStyle w:val="BodyText"/>
        <w:numPr>
          <w:numId w:val="39"/>
        </w:numPr>
      </w:pPr>
      <w:r>
        <w:t xml:space="preserve">Review what regions are available to your organization on the </w:t>
      </w:r>
      <w:r>
        <w:rPr>
          <w:rStyle w:val="InlineUI"/>
        </w:rPr>
        <w:t>Regions</w:t>
      </w:r>
      <w:r>
        <w:t xml:space="preserve"> page. You create the connectivity profile in a region that is allocated to your organization.</w:t>
      </w:r>
    </w:p>
    <w:p>
      <w:pPr>
        <w:pStyle w:val="BodyText"/>
      </w:pPr>
      <w:r>
        <w:rPr>
          <w:rStyle w:val="Strong"/>
        </w:rPr>
        <w:t>Procedure</w:t>
      </w:r>
    </w:p>
    <w:p>
      <w:pPr>
        <w:pStyle w:val="BodyText"/>
        <w:numPr>
          <w:numId w:val="40"/>
        </w:numPr>
      </w:pPr>
      <w:r>
        <w:t xml:space="preserve">Log in to the </w:t>
      </w:r>
      <w:r>
        <w:t>VCF Automation</w:t>
      </w:r>
      <w:r>
        <w:t xml:space="preserve"> organization portal as an organization administrator.</w:t>
      </w:r>
    </w:p>
    <w:p>
      <w:pPr>
        <w:pStyle w:val="BodyText"/>
        <w:numPr>
          <w:numId w:val="40"/>
        </w:numPr>
      </w:pPr>
      <w:r>
        <w:t xml:space="preserve">Select </w:t>
      </w:r>
      <w:r>
        <w:rPr>
          <w:rStyle w:val="InlineUI"/>
        </w:rPr>
        <w:t>Manage &amp; Govern</w:t>
      </w:r>
      <w:r>
        <w:rPr>
          <w:rStyle w:val="InlineUI"/>
        </w:rPr>
        <w:t xml:space="preserve"> &gt; </w:t>
      </w:r>
      <w:r>
        <w:rPr>
          <w:rStyle w:val="InlineUI"/>
        </w:rPr>
        <w:t>Networking</w:t>
      </w:r>
      <w:r>
        <w:rPr>
          <w:rStyle w:val="InlineUI"/>
        </w:rPr>
        <w:t xml:space="preserve"> &gt; </w:t>
      </w:r>
      <w:r>
        <w:rPr>
          <w:rStyle w:val="InlineUI"/>
        </w:rPr>
        <w:t>Virtual Private Clouds</w:t>
      </w:r>
      <w:r>
        <w:rPr>
          <w:rStyle w:val="InlineUI"/>
        </w:rPr>
        <w:t xml:space="preserve"> &gt; </w:t>
      </w:r>
      <w:r>
        <w:rPr>
          <w:rStyle w:val="InlineUI"/>
        </w:rPr>
        <w:t>Connectivity Profiles</w:t>
      </w:r>
      <w:r>
        <w:t xml:space="preserve"> and click </w:t>
      </w:r>
      <w:r>
        <w:rPr>
          <w:rStyle w:val="InlineUI"/>
        </w:rPr>
        <w:t>New Connectivity Profile</w:t>
      </w:r>
      <w:r>
        <w:t>.</w:t>
      </w:r>
    </w:p>
    <w:p>
      <w:pPr>
        <w:pStyle w:val="BodyText"/>
        <w:numPr>
          <w:numId w:val="40"/>
        </w:numPr>
      </w:pPr>
      <w:r>
        <w:t>Enter a name.</w:t>
      </w:r>
    </w:p>
    <w:p>
      <w:pPr>
        <w:pStyle w:val="BodyText"/>
        <w:numPr>
          <w:numId w:val="40"/>
        </w:numPr>
      </w:pPr>
      <w:r>
        <w:t>Select a region.</w:t>
      </w:r>
    </w:p>
    <w:p>
      <w:pPr>
        <w:pStyle w:val="BodyText"/>
        <w:numPr>
          <w:numId w:val="40"/>
        </w:numPr>
      </w:pPr>
      <w:r>
        <w:t xml:space="preserve">(Optional) </w:t>
      </w:r>
      <w:r>
        <w:t>Select external IPv4 blocks.</w:t>
      </w:r>
    </w:p>
    <w:p>
      <w:pPr>
        <w:pStyle w:val="BodyText"/>
        <w:ind w:left="480"/>
      </w:pPr>
      <w:r>
        <w:t>You can select up to five IPv4 blocks.</w:t>
      </w:r>
    </w:p>
    <w:p>
      <w:pPr>
        <w:pStyle w:val="BodyText"/>
        <w:numPr>
          <w:numId w:val="40"/>
        </w:numPr>
      </w:pPr>
      <w:r>
        <w:t xml:space="preserve">(Optional) </w:t>
      </w:r>
      <w:r>
        <w:t>Private TGW IPv4 blocks.</w:t>
      </w:r>
    </w:p>
    <w:p>
      <w:pPr>
        <w:pStyle w:val="BodyText"/>
        <w:ind w:left="480"/>
      </w:pPr>
      <w:r>
        <w:t>You can select up to five IPv4 blocks.</w:t>
      </w:r>
    </w:p>
    <w:p>
      <w:pPr>
        <w:pStyle w:val="BodyText"/>
        <w:numPr>
          <w:numId w:val="40"/>
        </w:numPr>
      </w:pPr>
      <w:r>
        <w:t xml:space="preserve">Click </w:t>
      </w:r>
      <w:r>
        <w:rPr>
          <w:rStyle w:val="InlineUI"/>
        </w:rPr>
        <w:t>Create</w:t>
      </w:r>
      <w:r>
        <w:t>.</w:t>
      </w:r>
    </w:p>
    <w:p>
      <w:pPr>
        <w:pStyle w:val="BodyText"/>
      </w:pPr>
      <w:r>
        <w:rPr>
          <w:rStyle w:val="Strong"/>
        </w:rPr>
        <w:t>What to do next</w:t>
      </w:r>
    </w:p>
    <w:p>
      <w:pPr>
        <w:pStyle w:val="BodyText"/>
        <w:numPr>
          <w:numId w:val="41"/>
        </w:numPr>
      </w:pPr>
      <w:r>
        <w:t xml:space="preserve">To edit existing connectivity profiles, click the vertical ellipsis next to the connectivity profile name and then click </w:t>
      </w:r>
      <w:r>
        <w:rPr>
          <w:rStyle w:val="InlineUI"/>
        </w:rPr>
        <w:t>Edit</w:t>
      </w:r>
      <w:r>
        <w:t>.</w:t>
      </w:r>
    </w:p>
    <w:p>
      <w:pPr>
        <w:pStyle w:val="BodyText"/>
        <w:pBdr>
          <w:top w:val="single" w:sz="8" w:space="2" w:color="D3D3D3"/>
          <w:bottom w:val="single" w:sz="8" w:space="2" w:color="D3D3D3"/>
        </w:pBdr>
      </w:pPr>
      <w:r>
        <w:rPr>
          <w:rStyle w:val="NoteLeadernote"/>
        </w:rPr>
        <w:t>Note</w:t>
        <w:tab/>
      </w:r>
      <w:r>
        <w:t>Changes to the connectivity profile affect the northbound connectivity configuration of all VPCs that use this connectivity profile.</w:t>
      </w:r>
    </w:p>
    <w:p>
      <w:pPr>
        <w:pStyle w:val="BodyText"/>
        <w:numPr>
          <w:numId w:val="42"/>
        </w:numPr>
      </w:pPr>
      <w:r>
        <w:t xml:space="preserve">Use the connectivity profile to create a VPC. See </w:t>
      </w:r>
      <w:r>
        <w:t>Create a Virtual Private Cloud in VCF Automation</w:t>
      </w:r>
      <w:r>
        <w:t>.</w:t>
      </w:r>
    </w:p>
    <w:p>
      <w:pPr>
        <w:pStyle w:val="Heading3"/>
      </w:pPr>
      <w:bookmarkStart w:id="56" w:name="B0e146cd67fd14f5580c585ace8bd94f7"/>
      <w:bookmarkStart w:id="57" w:name="_Toc256000618"/>
      <w:r>
        <w:t>Create a Virtual Private Cloud in VCF Automation</w:t>
      </w:r>
      <w:bookmarkEnd w:id="57"/>
      <w:bookmarkEnd w:id="56"/>
    </w:p>
    <w:p>
      <w:pPr>
        <w:pStyle w:val="BodyText"/>
      </w:pPr>
      <w:r>
        <w:t>As an organization administrator, you can create, update, and delete virtual private cloud (VPC) configurations in your organization.</w:t>
      </w:r>
    </w:p>
    <w:p>
      <w:pPr>
        <w:pStyle w:val="BodyText"/>
      </w:pPr>
      <w:r>
        <w:t>The VPC is associated with a region that can be used with a namespace. A single VPC can be shared by multiple namespaces.</w:t>
      </w:r>
    </w:p>
    <w:p>
      <w:pPr>
        <w:pStyle w:val="BodyText"/>
      </w:pPr>
      <w:r>
        <w:t>Your organization comes with a preconfigured VPC and a connectivity profile. You can use these defaults to connect networking workloads, or you can create new ones using the steps in this procedure.</w:t>
      </w:r>
    </w:p>
    <w:p>
      <w:pPr>
        <w:pStyle w:val="BodyText"/>
      </w:pPr>
      <w:r>
        <w:rPr>
          <w:rStyle w:val="Strong"/>
        </w:rPr>
        <w:t>Prerequisites</w:t>
      </w:r>
    </w:p>
    <w:p>
      <w:pPr>
        <w:pStyle w:val="BodyText"/>
        <w:numPr>
          <w:numId w:val="43"/>
        </w:numPr>
      </w:pPr>
      <w:r>
        <w:t xml:space="preserve">Review what regions are available to your organization on the </w:t>
      </w:r>
      <w:r>
        <w:rPr>
          <w:rStyle w:val="InlineUI"/>
        </w:rPr>
        <w:t>Regions</w:t>
      </w:r>
      <w:r>
        <w:t xml:space="preserve"> page. You create the VPC in a region that is allocated to your organization.</w:t>
      </w:r>
    </w:p>
    <w:p>
      <w:pPr>
        <w:pStyle w:val="BodyText"/>
        <w:numPr>
          <w:numId w:val="43"/>
        </w:numPr>
      </w:pPr>
      <w:r>
        <w:t xml:space="preserve">Verify that a connectivity profile is defined for the region in which you want to create the VPC. If the region does not have a connectivity profile, you can create one at the time of creating the VPC. See </w:t>
      </w:r>
      <w:r>
        <w:t>Create a Connectivity Profile in VCF Automation</w:t>
      </w:r>
      <w:r>
        <w:t>.</w:t>
      </w:r>
    </w:p>
    <w:p>
      <w:pPr>
        <w:pStyle w:val="BodyText"/>
        <w:numPr>
          <w:numId w:val="43"/>
        </w:numPr>
      </w:pPr>
      <w:r>
        <w:t xml:space="preserve">If you want to apply an IP quota to the VPC, verify that you have an IP quota defined. See </w:t>
      </w:r>
      <w:r>
        <w:t>Managing IP Address Blocks and IP Quotas in VCF Automation</w:t>
      </w:r>
      <w:r>
        <w:t>.</w:t>
      </w:r>
    </w:p>
    <w:p>
      <w:pPr>
        <w:pStyle w:val="BodyText"/>
      </w:pPr>
      <w:r>
        <w:rPr>
          <w:rStyle w:val="Strong"/>
        </w:rPr>
        <w:t>Procedure</w:t>
      </w:r>
    </w:p>
    <w:p>
      <w:pPr>
        <w:pStyle w:val="BodyText"/>
        <w:numPr>
          <w:numId w:val="44"/>
        </w:numPr>
      </w:pPr>
      <w:r>
        <w:t xml:space="preserve">Log in to the </w:t>
      </w:r>
      <w:r>
        <w:t>VCF Automation</w:t>
      </w:r>
      <w:r>
        <w:t xml:space="preserve"> organization portal as an organization administrator.</w:t>
      </w:r>
    </w:p>
    <w:p>
      <w:pPr>
        <w:pStyle w:val="BodyText"/>
        <w:numPr>
          <w:numId w:val="44"/>
        </w:numPr>
      </w:pPr>
      <w:r>
        <w:t xml:space="preserve">Select </w:t>
      </w:r>
      <w:r>
        <w:rPr>
          <w:rStyle w:val="InlineUI"/>
        </w:rPr>
        <w:t>Manage &amp; Govern</w:t>
      </w:r>
      <w:r>
        <w:rPr>
          <w:rStyle w:val="InlineUI"/>
        </w:rPr>
        <w:t xml:space="preserve"> &gt; </w:t>
      </w:r>
      <w:r>
        <w:rPr>
          <w:rStyle w:val="InlineUI"/>
        </w:rPr>
        <w:t>Networking</w:t>
      </w:r>
      <w:r>
        <w:rPr>
          <w:rStyle w:val="InlineUI"/>
        </w:rPr>
        <w:t xml:space="preserve"> &gt; </w:t>
      </w:r>
      <w:r>
        <w:rPr>
          <w:rStyle w:val="InlineUI"/>
        </w:rPr>
        <w:t>Virtual Private Clouds</w:t>
      </w:r>
      <w:r>
        <w:t xml:space="preserve"> and click </w:t>
      </w:r>
      <w:r>
        <w:rPr>
          <w:rStyle w:val="InlineUI"/>
        </w:rPr>
        <w:t>New VPC</w:t>
      </w:r>
      <w:r>
        <w:t>.</w:t>
      </w:r>
    </w:p>
    <w:p>
      <w:pPr>
        <w:pStyle w:val="BodyText"/>
        <w:numPr>
          <w:numId w:val="44"/>
        </w:numPr>
      </w:pPr>
      <w:r>
        <w:t>Enter the VPC name.</w:t>
      </w:r>
    </w:p>
    <w:p>
      <w:pPr>
        <w:pStyle w:val="BodyText"/>
        <w:numPr>
          <w:numId w:val="44"/>
        </w:numPr>
      </w:pPr>
      <w:r>
        <w:t>Select a region.</w:t>
      </w:r>
    </w:p>
    <w:p>
      <w:pPr>
        <w:pStyle w:val="BodyText"/>
        <w:ind w:left="480"/>
      </w:pPr>
      <w:r>
        <w:t>You can select from regions that the provider administrator made available to your organization.</w:t>
      </w:r>
    </w:p>
    <w:p>
      <w:pPr>
        <w:pStyle w:val="BodyText"/>
        <w:numPr>
          <w:numId w:val="44"/>
        </w:numPr>
      </w:pPr>
      <w:r>
        <w:t>Select an existing connectivity profile defined for the region you selected in the previous step, or create a new connectivity profile.</w:t>
      </w:r>
    </w:p>
    <w:p>
      <w:pPr>
        <w:pStyle w:val="BodyText"/>
        <w:numPr>
          <w:ilvl w:val="1"/>
          <w:numId w:val="44"/>
        </w:numPr>
      </w:pPr>
      <w:r>
        <w:t>If you choose to create a new connectivity profile, enter a name.</w:t>
      </w:r>
    </w:p>
    <w:p>
      <w:pPr>
        <w:pStyle w:val="BodyText"/>
        <w:numPr>
          <w:ilvl w:val="1"/>
          <w:numId w:val="44"/>
        </w:numPr>
      </w:pPr>
      <w:r>
        <w:t>Select a transit gateway.</w:t>
      </w:r>
    </w:p>
    <w:p>
      <w:pPr>
        <w:pStyle w:val="BodyText"/>
        <w:numPr>
          <w:ilvl w:val="1"/>
          <w:numId w:val="44"/>
        </w:numPr>
      </w:pPr>
      <w:r>
        <w:t xml:space="preserve">(Optional) </w:t>
      </w:r>
      <w:r>
        <w:t>Select external IPv4 blocks and Private TGW IPv4 blocks.</w:t>
      </w:r>
    </w:p>
    <w:p>
      <w:pPr>
        <w:pStyle w:val="BodyText"/>
        <w:numPr>
          <w:numId w:val="44"/>
        </w:numPr>
      </w:pPr>
      <w:r>
        <w:t>Specify private VPC IPv4 CIDR blocks.</w:t>
      </w:r>
    </w:p>
    <w:p>
      <w:pPr>
        <w:pStyle w:val="BodyText"/>
        <w:numPr>
          <w:numId w:val="44"/>
        </w:numPr>
      </w:pPr>
      <w:r>
        <w:t>Select IP quotas to apply to the VPC.</w:t>
      </w:r>
    </w:p>
    <w:p>
      <w:pPr>
        <w:pStyle w:val="BodyText"/>
        <w:numPr>
          <w:numId w:val="44"/>
        </w:numPr>
      </w:pPr>
      <w:r>
        <w:t xml:space="preserve">Click </w:t>
      </w:r>
      <w:r>
        <w:rPr>
          <w:rStyle w:val="InlineUI"/>
        </w:rPr>
        <w:t>Create</w:t>
      </w:r>
      <w:r>
        <w:t>.</w:t>
      </w:r>
    </w:p>
    <w:p>
      <w:pPr>
        <w:pStyle w:val="BodyText"/>
      </w:pPr>
      <w:r>
        <w:rPr>
          <w:rStyle w:val="Strong"/>
        </w:rPr>
        <w:t>What to do next</w:t>
      </w:r>
    </w:p>
    <w:p>
      <w:pPr>
        <w:pStyle w:val="BodyText"/>
      </w:pPr>
      <w:r>
        <w:t xml:space="preserve">To edit existing VPCs, click the vertical ellipsis next to the VPC name and then click </w:t>
      </w:r>
      <w:r>
        <w:rPr>
          <w:rStyle w:val="InlineUI"/>
        </w:rPr>
        <w:t>Edit</w:t>
      </w:r>
      <w:r>
        <w:t>.</w:t>
      </w:r>
    </w:p>
    <w:p>
      <w:pPr>
        <w:pStyle w:val="Heading3"/>
      </w:pPr>
      <w:bookmarkStart w:id="58" w:name="B5f56264f7d844ac0a71feb5c5859e9b0"/>
      <w:bookmarkStart w:id="59" w:name="_Toc256000619"/>
      <w:r>
        <w:t>Managing IP Address Blocks and IP Quotas in VCF Automation</w:t>
      </w:r>
      <w:bookmarkEnd w:id="59"/>
      <w:bookmarkEnd w:id="58"/>
    </w:p>
    <w:p>
      <w:pPr>
        <w:pStyle w:val="BodyText"/>
      </w:pPr>
      <w:r>
        <w:t>As an organization administrator, you can view external IP address blocks assigned to your organization by the provider administrator. You can also create private TGW IP address blocks and IP quotas specific to your organization.</w:t>
      </w:r>
    </w:p>
    <w:p>
      <w:pPr>
        <w:pStyle w:val="SectionHeading4"/>
      </w:pPr>
      <w:bookmarkStart w:id="60" w:name="_Toc256000620"/>
      <w:r>
        <w:t>Prerequisites</w:t>
      </w:r>
      <w:bookmarkEnd w:id="60"/>
    </w:p>
    <w:p>
      <w:pPr>
        <w:pStyle w:val="BodyText"/>
        <w:numPr>
          <w:numId w:val="45"/>
        </w:numPr>
      </w:pPr>
      <w:r>
        <w:t xml:space="preserve">Review what regions are available to your organization on the </w:t>
      </w:r>
      <w:r>
        <w:rPr>
          <w:rStyle w:val="InlineUI"/>
        </w:rPr>
        <w:t>Regions</w:t>
      </w:r>
      <w:r>
        <w:t xml:space="preserve"> page.</w:t>
      </w:r>
    </w:p>
    <w:p>
      <w:pPr>
        <w:pStyle w:val="SectionHeading4"/>
      </w:pPr>
      <w:bookmarkStart w:id="61" w:name="_Toc256000621"/>
      <w:r>
        <w:t>Create an IP Address Block</w:t>
      </w:r>
      <w:bookmarkEnd w:id="61"/>
    </w:p>
    <w:p>
      <w:pPr>
        <w:pStyle w:val="BodyText"/>
      </w:pPr>
      <w:r>
        <w:t>You can view the IP address blocks are assigned to your organization by the provider administrator. You can configure a private TGW IP address block to use only within your organization and apply it to a specific VPC.</w:t>
      </w:r>
    </w:p>
    <w:p>
      <w:pPr>
        <w:pStyle w:val="BodyText"/>
        <w:pBdr>
          <w:top w:val="single" w:sz="8" w:space="2" w:color="D3D3D3"/>
          <w:bottom w:val="single" w:sz="8" w:space="2" w:color="D3D3D3"/>
        </w:pBdr>
      </w:pPr>
      <w:r>
        <w:rPr>
          <w:rStyle w:val="NoteLeadernote"/>
        </w:rPr>
        <w:t>Note</w:t>
        <w:tab/>
      </w:r>
      <w:r>
        <w:t>The default private TGW IP address block assigned by the provider administrator cannot be edited directly because it is used in the default connectivity profile for the organization. You can either create a new TGW IP address block or remove the default one from the connectivity profile, edit it, and then add it back.</w:t>
      </w:r>
    </w:p>
    <w:p>
      <w:pPr>
        <w:pStyle w:val="BodyText"/>
        <w:numPr>
          <w:numId w:val="46"/>
        </w:numPr>
      </w:pPr>
      <w:r>
        <w:t xml:space="preserve">Log in to the </w:t>
      </w:r>
      <w:r>
        <w:t>VCF Automation</w:t>
      </w:r>
      <w:r>
        <w:t xml:space="preserve"> organization portal as an organization administrator.</w:t>
      </w:r>
    </w:p>
    <w:p>
      <w:pPr>
        <w:pStyle w:val="BodyText"/>
        <w:numPr>
          <w:numId w:val="46"/>
        </w:numPr>
      </w:pPr>
      <w:r>
        <w:t xml:space="preserve">Select </w:t>
      </w:r>
      <w:r>
        <w:rPr>
          <w:rStyle w:val="InlineUI"/>
        </w:rPr>
        <w:t>Manage &amp; Govern</w:t>
      </w:r>
      <w:r>
        <w:rPr>
          <w:rStyle w:val="InlineUI"/>
        </w:rPr>
        <w:t xml:space="preserve"> &gt; </w:t>
      </w:r>
      <w:r>
        <w:rPr>
          <w:rStyle w:val="InlineUI"/>
        </w:rPr>
        <w:t>Networking</w:t>
      </w:r>
      <w:r>
        <w:rPr>
          <w:rStyle w:val="InlineUI"/>
        </w:rPr>
        <w:t xml:space="preserve"> &gt; </w:t>
      </w:r>
      <w:r>
        <w:rPr>
          <w:rStyle w:val="InlineUI"/>
        </w:rPr>
        <w:t>IP Management</w:t>
      </w:r>
      <w:r>
        <w:rPr>
          <w:rStyle w:val="InlineUI"/>
        </w:rPr>
        <w:t xml:space="preserve"> &gt; </w:t>
      </w:r>
      <w:r>
        <w:rPr>
          <w:rStyle w:val="InlineUI"/>
        </w:rPr>
        <w:t>IP Address Blocks</w:t>
      </w:r>
      <w:r>
        <w:t xml:space="preserve"> and click </w:t>
      </w:r>
      <w:r>
        <w:rPr>
          <w:rStyle w:val="InlineUI"/>
        </w:rPr>
        <w:t>New Private - TGW IP Block</w:t>
      </w:r>
      <w:r>
        <w:t>.</w:t>
      </w:r>
    </w:p>
    <w:p>
      <w:pPr>
        <w:pStyle w:val="BodyText"/>
        <w:numPr>
          <w:numId w:val="46"/>
        </w:numPr>
      </w:pPr>
      <w:r>
        <w:t>A default name is generated.</w:t>
      </w:r>
    </w:p>
    <w:p>
      <w:pPr>
        <w:pStyle w:val="BodyText"/>
        <w:ind w:left="480"/>
      </w:pPr>
      <w:r>
        <w:t>You can change the name.</w:t>
      </w:r>
    </w:p>
    <w:p>
      <w:pPr>
        <w:pStyle w:val="BodyText"/>
        <w:numPr>
          <w:numId w:val="46"/>
        </w:numPr>
      </w:pPr>
      <w:r>
        <w:t>Specify a CIDR block.</w:t>
      </w:r>
    </w:p>
    <w:p>
      <w:pPr>
        <w:pStyle w:val="BodyText"/>
        <w:ind w:left="480"/>
      </w:pPr>
      <w:r>
        <w:t xml:space="preserve">For example, </w:t>
      </w:r>
      <w:r>
        <w:rPr>
          <w:rStyle w:val="InlineVar"/>
        </w:rPr>
        <w:t>10.0.0.0</w:t>
      </w:r>
      <w:r>
        <w:t>.</w:t>
      </w:r>
    </w:p>
    <w:p>
      <w:pPr>
        <w:pStyle w:val="BodyText"/>
        <w:numPr>
          <w:numId w:val="46"/>
        </w:numPr>
      </w:pPr>
      <w:r>
        <w:t>Select a region.</w:t>
      </w:r>
    </w:p>
    <w:p>
      <w:pPr>
        <w:pStyle w:val="BodyText"/>
        <w:numPr>
          <w:numId w:val="46"/>
        </w:numPr>
      </w:pPr>
      <w:r>
        <w:t xml:space="preserve">Click </w:t>
      </w:r>
      <w:r>
        <w:rPr>
          <w:rStyle w:val="InlineUI"/>
        </w:rPr>
        <w:t>Create</w:t>
      </w:r>
      <w:r>
        <w:t>.</w:t>
      </w:r>
    </w:p>
    <w:p>
      <w:pPr>
        <w:pStyle w:val="BodyText"/>
      </w:pPr>
      <w:r>
        <w:t>Next, you can add the private TGW IP block to a connectivity profile.</w:t>
      </w:r>
    </w:p>
    <w:p>
      <w:pPr>
        <w:pStyle w:val="SectionHeading4"/>
      </w:pPr>
      <w:bookmarkStart w:id="62" w:name="_Toc256000622"/>
      <w:r>
        <w:t>Create an IP Quota</w:t>
      </w:r>
      <w:bookmarkEnd w:id="62"/>
    </w:p>
    <w:p>
      <w:pPr>
        <w:pStyle w:val="BodyText"/>
      </w:pPr>
      <w:r>
        <w:t>You can configure an IP quota to control IP usage across VPCs in your organization.</w:t>
      </w:r>
    </w:p>
    <w:p>
      <w:pPr>
        <w:pStyle w:val="BodyText"/>
        <w:numPr>
          <w:numId w:val="47"/>
        </w:numPr>
      </w:pPr>
      <w:r>
        <w:t xml:space="preserve">Log in to the </w:t>
      </w:r>
      <w:r>
        <w:t>VCF Automation</w:t>
      </w:r>
      <w:r>
        <w:t xml:space="preserve"> organization portal as an organization administrator.</w:t>
      </w:r>
    </w:p>
    <w:p>
      <w:pPr>
        <w:pStyle w:val="BodyText"/>
        <w:numPr>
          <w:numId w:val="47"/>
        </w:numPr>
      </w:pPr>
      <w:r>
        <w:t xml:space="preserve">Select </w:t>
      </w:r>
      <w:r>
        <w:rPr>
          <w:rStyle w:val="InlineUI"/>
        </w:rPr>
        <w:t>Manage &amp; Govern</w:t>
      </w:r>
      <w:r>
        <w:rPr>
          <w:rStyle w:val="InlineUI"/>
        </w:rPr>
        <w:t xml:space="preserve"> &gt; </w:t>
      </w:r>
      <w:r>
        <w:rPr>
          <w:rStyle w:val="InlineUI"/>
        </w:rPr>
        <w:t>Networking</w:t>
      </w:r>
      <w:r>
        <w:rPr>
          <w:rStyle w:val="InlineUI"/>
        </w:rPr>
        <w:t xml:space="preserve"> &gt; </w:t>
      </w:r>
      <w:r>
        <w:rPr>
          <w:rStyle w:val="InlineUI"/>
        </w:rPr>
        <w:t>IP Management</w:t>
      </w:r>
      <w:r>
        <w:rPr>
          <w:rStyle w:val="InlineUI"/>
        </w:rPr>
        <w:t xml:space="preserve"> &gt; </w:t>
      </w:r>
      <w:r>
        <w:rPr>
          <w:rStyle w:val="InlineUI"/>
        </w:rPr>
        <w:t>IP Quotas</w:t>
      </w:r>
      <w:r>
        <w:t xml:space="preserve"> and click </w:t>
      </w:r>
      <w:r>
        <w:rPr>
          <w:rStyle w:val="InlineUI"/>
        </w:rPr>
        <w:t>New IP Quota</w:t>
      </w:r>
      <w:r>
        <w:t>.</w:t>
      </w:r>
    </w:p>
    <w:p>
      <w:pPr>
        <w:pStyle w:val="BodyText"/>
        <w:numPr>
          <w:numId w:val="47"/>
        </w:numPr>
      </w:pPr>
      <w:r>
        <w:t>A default name is generated.</w:t>
      </w:r>
    </w:p>
    <w:p>
      <w:pPr>
        <w:pStyle w:val="BodyText"/>
        <w:ind w:left="480"/>
      </w:pPr>
      <w:r>
        <w:t>You can change the name.</w:t>
      </w:r>
    </w:p>
    <w:p>
      <w:pPr>
        <w:pStyle w:val="BodyText"/>
        <w:numPr>
          <w:numId w:val="47"/>
        </w:numPr>
      </w:pPr>
      <w:r>
        <w:t>Select a region.</w:t>
      </w:r>
    </w:p>
    <w:p>
      <w:pPr>
        <w:pStyle w:val="BodyText"/>
        <w:numPr>
          <w:numId w:val="47"/>
        </w:numPr>
      </w:pPr>
      <w:r>
        <w:t>Specify the scope of the IP quota and IPv4 blocks.</w:t>
      </w:r>
    </w:p>
    <w:p>
      <w:pPr>
        <w:pStyle w:val="BodyText"/>
        <w:numPr>
          <w:ilvl w:val="1"/>
          <w:numId w:val="47"/>
        </w:numPr>
      </w:pPr>
      <w:r>
        <w:t xml:space="preserve">If you select the </w:t>
      </w:r>
      <w:r>
        <w:rPr>
          <w:rStyle w:val="InlineUI"/>
        </w:rPr>
        <w:t>External scope</w:t>
      </w:r>
      <w:r>
        <w:t>, select external IPv4 blocks.</w:t>
      </w:r>
    </w:p>
    <w:p>
      <w:pPr>
        <w:pStyle w:val="BodyText"/>
        <w:numPr>
          <w:ilvl w:val="1"/>
          <w:numId w:val="47"/>
        </w:numPr>
      </w:pPr>
      <w:r>
        <w:t xml:space="preserve">If you select </w:t>
      </w:r>
      <w:r>
        <w:rPr>
          <w:rStyle w:val="InlineUI"/>
        </w:rPr>
        <w:t>Private - Transit Gateway</w:t>
      </w:r>
      <w:r>
        <w:t>, select Private - TGW IPv4 blocks.</w:t>
      </w:r>
    </w:p>
    <w:p>
      <w:pPr>
        <w:pStyle w:val="BodyText"/>
        <w:numPr>
          <w:numId w:val="47"/>
        </w:numPr>
      </w:pPr>
      <w:r>
        <w:t>Enter a number of single IPs.</w:t>
      </w:r>
    </w:p>
    <w:p>
      <w:pPr>
        <w:pStyle w:val="BodyText"/>
        <w:numPr>
          <w:numId w:val="47"/>
        </w:numPr>
      </w:pPr>
      <w:r>
        <w:t>Enter a number of CIDRs.</w:t>
      </w:r>
    </w:p>
    <w:p>
      <w:pPr>
        <w:pStyle w:val="BodyText"/>
        <w:numPr>
          <w:numId w:val="47"/>
        </w:numPr>
      </w:pPr>
      <w:r>
        <w:t>Select the maximum size of the subnet.</w:t>
      </w:r>
    </w:p>
    <w:p>
      <w:pPr>
        <w:pStyle w:val="BodyText"/>
        <w:numPr>
          <w:numId w:val="47"/>
        </w:numPr>
      </w:pPr>
      <w:r>
        <w:t>Select the VPCs you want to apply the quota to.</w:t>
      </w:r>
    </w:p>
    <w:p>
      <w:pPr>
        <w:pStyle w:val="BodyText"/>
        <w:numPr>
          <w:numId w:val="47"/>
        </w:numPr>
      </w:pPr>
      <w:r>
        <w:t xml:space="preserve">Click </w:t>
      </w:r>
      <w:r>
        <w:rPr>
          <w:rStyle w:val="InlineUI"/>
        </w:rPr>
        <w:t>Create</w:t>
      </w:r>
      <w:r>
        <w:t>.</w:t>
      </w:r>
    </w:p>
    <w:p>
      <w:pPr>
        <w:pStyle w:val="Heading2"/>
      </w:pPr>
      <w:bookmarkStart w:id="63" w:name="_Toc256000623"/>
      <w:r>
        <w:t>Managing Content Libraries in VCF Automation</w:t>
      </w:r>
      <w:bookmarkEnd w:id="63"/>
    </w:p>
    <w:p>
      <w:pPr>
        <w:pStyle w:val="BodyText"/>
      </w:pPr>
      <w:r>
        <w:t xml:space="preserve">Content libraries are centralized collections of VM images that are used to deploy workloads. </w:t>
      </w:r>
      <w:r>
        <w:t>VCF Automation</w:t>
      </w:r>
      <w:r>
        <w:t xml:space="preserve"> supports two types of content libraries - provider content libraries and organization content libraries.</w:t>
      </w:r>
    </w:p>
    <w:p>
      <w:pPr>
        <w:pStyle w:val="SectionHeading3"/>
      </w:pPr>
      <w:bookmarkStart w:id="64" w:name="_Toc256000624"/>
      <w:r>
        <w:t>Provider Content Libraries</w:t>
      </w:r>
      <w:bookmarkEnd w:id="64"/>
    </w:p>
    <w:p>
      <w:pPr>
        <w:pStyle w:val="BodyText"/>
      </w:pPr>
      <w:r>
        <w:t xml:space="preserve">Provider content libraries are configured by the provider administrator in the </w:t>
      </w:r>
      <w:r>
        <w:t>VCF Automation</w:t>
      </w:r>
      <w:r>
        <w:t xml:space="preserve"> Provider Management Portal. Provider content libraries are available to all organizations on a read-only basis. Providers can create one or more content libraries, each serving a specific need.</w:t>
      </w:r>
    </w:p>
    <w:p>
      <w:pPr>
        <w:pStyle w:val="SectionHeading3"/>
      </w:pPr>
      <w:bookmarkStart w:id="65" w:name="_Toc256000625"/>
      <w:r>
        <w:t>Organization Content Libraries</w:t>
      </w:r>
      <w:bookmarkEnd w:id="65"/>
    </w:p>
    <w:p>
      <w:pPr>
        <w:pStyle w:val="BodyText"/>
      </w:pPr>
      <w:r>
        <w:t>Organization administrators can create and manage their own organization-specific content libraries. Organization content libraries are not accessible to other organizations managed by your provider administrators. Organization content libraries can also subscribe to external content libraries if that option is enabled by the provider administrator.</w:t>
      </w:r>
    </w:p>
    <w:p>
      <w:pPr>
        <w:pStyle w:val="SectionHeading3"/>
      </w:pPr>
      <w:bookmarkStart w:id="66" w:name="_Toc256000626"/>
      <w:r>
        <w:t>Content Library Concepts</w:t>
      </w:r>
      <w:bookmarkEnd w:id="66"/>
    </w:p>
    <w:p>
      <w:pPr>
        <w:pStyle w:val="BodyText"/>
      </w:pPr>
      <w:r>
        <w:rPr>
          <w:rStyle w:val="InlineUI"/>
        </w:rPr>
        <w:t>Regions</w:t>
      </w:r>
    </w:p>
    <w:p>
      <w:pPr>
        <w:pStyle w:val="BodyText"/>
        <w:numPr>
          <w:numId w:val="48"/>
        </w:numPr>
      </w:pPr>
      <w:r>
        <w:t xml:space="preserve">Provider and organization content libraries can be made available to one or more regions in </w:t>
      </w:r>
      <w:r>
        <w:t>VCF Automation</w:t>
      </w:r>
      <w:r>
        <w:t>.</w:t>
      </w:r>
    </w:p>
    <w:p>
      <w:pPr>
        <w:pStyle w:val="BodyText"/>
        <w:numPr>
          <w:numId w:val="48"/>
        </w:numPr>
      </w:pPr>
      <w:r>
        <w:t>Provider content libraries are automatically available to all organizations that have quota in given region.</w:t>
      </w:r>
    </w:p>
    <w:p>
      <w:pPr>
        <w:pStyle w:val="BodyText"/>
        <w:numPr>
          <w:numId w:val="48"/>
        </w:numPr>
      </w:pPr>
      <w:r>
        <w:t>Organization-specific content libraries must be explicitly made available to every region where the organization has quota in.</w:t>
      </w:r>
    </w:p>
    <w:p>
      <w:pPr>
        <w:pStyle w:val="BodyText"/>
      </w:pPr>
      <w:r>
        <w:rPr>
          <w:rStyle w:val="InlineUI"/>
        </w:rPr>
        <w:t>Storage</w:t>
      </w:r>
    </w:p>
    <w:p>
      <w:pPr>
        <w:pStyle w:val="BodyText"/>
        <w:numPr>
          <w:numId w:val="49"/>
        </w:numPr>
      </w:pPr>
      <w:r>
        <w:t>Storage consumed by organization content libraries count towards the organization storage quota.</w:t>
      </w:r>
    </w:p>
    <w:p>
      <w:pPr>
        <w:pStyle w:val="BodyText"/>
        <w:numPr>
          <w:numId w:val="49"/>
        </w:numPr>
      </w:pPr>
      <w:r>
        <w:t xml:space="preserve">Organization content libraries subscribed to external sources use storage allocated to the organizational quota as the remote images are downloaded and stored locally in </w:t>
      </w:r>
      <w:r>
        <w:t>VCF</w:t>
      </w:r>
      <w:r>
        <w:t>. This could also lead to increased storage utilization than expected.</w:t>
      </w:r>
    </w:p>
    <w:p>
      <w:pPr>
        <w:pStyle w:val="BodyText"/>
        <w:numPr>
          <w:numId w:val="49"/>
        </w:numPr>
      </w:pPr>
      <w:r>
        <w:t>Sometimes a region may be backed by more than a single vCenter. In such cases, organization content libraries created in such regions may be replicated in each vCenter, leading to higher than expected storage utilization. Check with your provider administrator to understand how this might affect your storage utilization.</w:t>
      </w:r>
    </w:p>
    <w:p>
      <w:pPr>
        <w:pStyle w:val="BodyText"/>
      </w:pPr>
      <w:r>
        <w:rPr>
          <w:rStyle w:val="InlineUI"/>
        </w:rPr>
        <w:t>Namespaces</w:t>
      </w:r>
    </w:p>
    <w:p>
      <w:pPr>
        <w:pStyle w:val="BodyText"/>
        <w:numPr>
          <w:numId w:val="50"/>
        </w:numPr>
      </w:pPr>
      <w:r>
        <w:t xml:space="preserve">Organization content libraries are generally available to all namespaces created by all projects by default. In some cases, organization administrators might want to create content libraries specific only to a namespace. This is achieved by first turning the toggle </w:t>
      </w:r>
      <w:r>
        <w:rPr>
          <w:rStyle w:val="InlineUI"/>
        </w:rPr>
        <w:t>Assign to all current and future namespaces</w:t>
      </w:r>
      <w:r>
        <w:t xml:space="preserve"> to off during the creation of content library.</w:t>
      </w:r>
    </w:p>
    <w:p>
      <w:pPr>
        <w:pStyle w:val="BodyText"/>
        <w:numPr>
          <w:numId w:val="50"/>
        </w:numPr>
      </w:pPr>
      <w:r>
        <w:t>When a new namespace class is created, the organization administrator can add the special content library which makes it available only to namespaces created from this namespace class.</w:t>
      </w:r>
    </w:p>
    <w:p>
      <w:pPr>
        <w:pStyle w:val="Heading3"/>
      </w:pPr>
      <w:bookmarkStart w:id="67" w:name="B03d02ed67ae749fbab437fdf380f1fb1"/>
      <w:bookmarkStart w:id="68" w:name="_Toc256000627"/>
      <w:r>
        <w:t>Create a Content Library in VCF Automation</w:t>
      </w:r>
      <w:bookmarkEnd w:id="68"/>
      <w:bookmarkEnd w:id="67"/>
    </w:p>
    <w:p>
      <w:pPr>
        <w:pStyle w:val="BodyText"/>
      </w:pPr>
      <w:r>
        <w:t>As an organization administrator, you can create a content library to which you can then upload VM images.</w:t>
      </w:r>
    </w:p>
    <w:p>
      <w:pPr>
        <w:pStyle w:val="BodyText"/>
      </w:pPr>
      <w:r>
        <w:t xml:space="preserve">After you create the content library, you can update the name and description of the content library only through the </w:t>
      </w:r>
      <w:r>
        <w:t>VCF Automation</w:t>
      </w:r>
      <w:r>
        <w:t xml:space="preserve"> API.</w:t>
      </w:r>
    </w:p>
    <w:p>
      <w:pPr>
        <w:pStyle w:val="BodyText"/>
      </w:pPr>
      <w:r>
        <w:t xml:space="preserve">If you have access to the source vCenter instance, you can upload items directly to the published vCenter content library and then refresh the content library in </w:t>
      </w:r>
      <w:r>
        <w:t>VCF Automation</w:t>
      </w:r>
      <w:r>
        <w:t>.</w:t>
      </w:r>
    </w:p>
    <w:p>
      <w:pPr>
        <w:pStyle w:val="BodyText"/>
      </w:pPr>
      <w:r>
        <w:t>Only ISO and OVA/OVF file types are supported as content library items.</w:t>
      </w:r>
    </w:p>
    <w:p>
      <w:pPr>
        <w:pStyle w:val="BodyText"/>
      </w:pPr>
      <w:r>
        <w:rPr>
          <w:rStyle w:val="Strong"/>
        </w:rPr>
        <w:t>Procedure</w:t>
      </w:r>
    </w:p>
    <w:p>
      <w:pPr>
        <w:pStyle w:val="BodyText"/>
        <w:numPr>
          <w:numId w:val="51"/>
        </w:numPr>
      </w:pPr>
      <w:r>
        <w:t xml:space="preserve">Log in to the </w:t>
      </w:r>
      <w:r>
        <w:t>VCF Automation</w:t>
      </w:r>
      <w:r>
        <w:t xml:space="preserve"> organization portal as an organization administrator.</w:t>
      </w:r>
    </w:p>
    <w:p>
      <w:pPr>
        <w:pStyle w:val="BodyText"/>
        <w:numPr>
          <w:numId w:val="51"/>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Content Libraries</w:t>
      </w:r>
      <w:r>
        <w:t xml:space="preserve">, and click </w:t>
      </w:r>
      <w:r>
        <w:rPr>
          <w:rStyle w:val="InlineUI"/>
        </w:rPr>
        <w:t>New</w:t>
      </w:r>
      <w:r>
        <w:t>.</w:t>
      </w:r>
    </w:p>
    <w:p>
      <w:pPr>
        <w:pStyle w:val="BodyText"/>
        <w:numPr>
          <w:numId w:val="51"/>
        </w:numPr>
      </w:pPr>
      <w:r>
        <w:t>Enter a name.</w:t>
      </w:r>
    </w:p>
    <w:p>
      <w:pPr>
        <w:pStyle w:val="BodyText"/>
        <w:numPr>
          <w:numId w:val="51"/>
        </w:numPr>
      </w:pPr>
      <w:r>
        <w:t>Select if you want to assign the content library to all current and future namespaces.</w:t>
      </w:r>
    </w:p>
    <w:p>
      <w:pPr>
        <w:pStyle w:val="BodyText"/>
        <w:ind w:left="480"/>
      </w:pPr>
      <w:r>
        <w:t>You cannot change this setting later.</w:t>
      </w:r>
    </w:p>
    <w:p>
      <w:pPr>
        <w:pStyle w:val="BodyText"/>
        <w:numPr>
          <w:numId w:val="51"/>
        </w:numPr>
      </w:pPr>
      <w:r>
        <w:t xml:space="preserve">Click </w:t>
      </w:r>
      <w:r>
        <w:rPr>
          <w:rStyle w:val="InlineUI"/>
        </w:rPr>
        <w:t>Next</w:t>
      </w:r>
      <w:r>
        <w:t>.</w:t>
      </w:r>
    </w:p>
    <w:p>
      <w:pPr>
        <w:pStyle w:val="BodyText"/>
        <w:numPr>
          <w:numId w:val="51"/>
        </w:numPr>
      </w:pPr>
      <w:r>
        <w:t>Select one or more regions and a corresponding storage class for each region.</w:t>
      </w:r>
    </w:p>
    <w:p>
      <w:pPr>
        <w:pStyle w:val="BodyText"/>
        <w:numPr>
          <w:numId w:val="51"/>
        </w:numPr>
      </w:pPr>
      <w:r>
        <w:t xml:space="preserve">Click </w:t>
      </w:r>
      <w:r>
        <w:rPr>
          <w:rStyle w:val="InlineUI"/>
        </w:rPr>
        <w:t>Next</w:t>
      </w:r>
      <w:r>
        <w:t>.</w:t>
      </w:r>
    </w:p>
    <w:p>
      <w:pPr>
        <w:pStyle w:val="BodyText"/>
        <w:numPr>
          <w:numId w:val="51"/>
        </w:numPr>
      </w:pPr>
      <w:r>
        <w:t xml:space="preserve">Review your settings and click </w:t>
      </w:r>
      <w:r>
        <w:rPr>
          <w:rStyle w:val="InlineUI"/>
        </w:rPr>
        <w:t>Confirm</w:t>
      </w:r>
      <w:r>
        <w:t>.</w:t>
      </w:r>
    </w:p>
    <w:p>
      <w:pPr>
        <w:pStyle w:val="BodyText"/>
      </w:pPr>
      <w:r>
        <w:rPr>
          <w:rStyle w:val="Strong"/>
        </w:rPr>
        <w:t>Results</w:t>
      </w:r>
    </w:p>
    <w:p>
      <w:pPr>
        <w:pStyle w:val="BodyText"/>
      </w:pPr>
      <w:r>
        <w:t>You created a content library that is available in each selected region.</w:t>
      </w:r>
    </w:p>
    <w:p>
      <w:pPr>
        <w:pStyle w:val="BodyText"/>
      </w:pPr>
      <w:r>
        <w:t xml:space="preserve">To troubleshoot issues with content libraries in </w:t>
      </w:r>
      <w:r>
        <w:t>VCF Automation</w:t>
      </w:r>
      <w:r>
        <w:t xml:space="preserve">, you need </w:t>
      </w:r>
      <w:r>
        <w:t>VCF Automation</w:t>
      </w:r>
      <w:r>
        <w:t xml:space="preserve"> Provider Management POD logs. You can download the log bundles from </w:t>
      </w:r>
      <w:r>
        <w:t>VCF Operations fleet management</w:t>
      </w:r>
      <w:r>
        <w:t xml:space="preserve">. Debug logs are in the </w:t>
      </w:r>
      <w:r>
        <w:rPr>
          <w:rStyle w:val="InlineCode"/>
        </w:rPr>
        <w:t>/opt/vmware/vcloud-director/logs/vcloud-container-debug.log</w:t>
      </w:r>
      <w:r>
        <w:t xml:space="preserve"> file. </w:t>
      </w:r>
    </w:p>
    <w:p>
      <w:pPr>
        <w:pStyle w:val="Heading3"/>
      </w:pPr>
      <w:bookmarkStart w:id="69" w:name="_Toc256000628"/>
      <w:r>
        <w:t>Create a Subscribed Content Library in VCF Automation</w:t>
      </w:r>
      <w:bookmarkEnd w:id="69"/>
    </w:p>
    <w:p>
      <w:pPr>
        <w:pStyle w:val="BodyText"/>
      </w:pPr>
      <w:r>
        <w:t xml:space="preserve">You can create a content library in </w:t>
      </w:r>
      <w:r>
        <w:t>VCF Automation</w:t>
      </w:r>
      <w:r>
        <w:t xml:space="preserve"> by subscribing to an external publisher.</w:t>
      </w:r>
    </w:p>
    <w:p>
      <w:pPr>
        <w:pStyle w:val="BodyText"/>
      </w:pPr>
      <w:r>
        <w:t>Subscribed content libraries are read-only. You cannot upload new items to the library and you cannot delete items from it. You can, however, delete the whole library.</w:t>
      </w:r>
    </w:p>
    <w:p>
      <w:pPr>
        <w:pStyle w:val="BodyText"/>
      </w:pPr>
      <w:r>
        <w:t xml:space="preserve">When you create a subscribed library, </w:t>
      </w:r>
      <w:r>
        <w:t>VCF Automation</w:t>
      </w:r>
      <w:r>
        <w:t xml:space="preserve"> checks the total size of the items in the library and library creation will fail if the items exceed the storage quota for your organization.</w:t>
      </w:r>
    </w:p>
    <w:p>
      <w:pPr>
        <w:pStyle w:val="BodyText"/>
      </w:pPr>
      <w:r>
        <w:t>Automatic or scheduled synchronization of subscribed libraries is not supported.</w:t>
      </w:r>
    </w:p>
    <w:p>
      <w:pPr>
        <w:pStyle w:val="BodyText"/>
      </w:pPr>
      <w:r>
        <w:rPr>
          <w:rStyle w:val="Strong"/>
        </w:rPr>
        <w:t>Prerequisites</w:t>
      </w:r>
    </w:p>
    <w:p>
      <w:pPr>
        <w:pStyle w:val="BodyText"/>
      </w:pPr>
      <w:r>
        <w:t xml:space="preserve">The provider administrator must enable the option to create subscribed content libraries. You can subscribe to externally published VCSP-compliant content libraries. </w:t>
      </w:r>
    </w:p>
    <w:p>
      <w:pPr>
        <w:pStyle w:val="BodyText"/>
      </w:pPr>
      <w:r>
        <w:rPr>
          <w:rStyle w:val="Strong"/>
        </w:rPr>
        <w:t>Procedure</w:t>
      </w:r>
    </w:p>
    <w:p>
      <w:pPr>
        <w:pStyle w:val="BodyText"/>
        <w:numPr>
          <w:numId w:val="52"/>
        </w:numPr>
      </w:pPr>
      <w:r>
        <w:t xml:space="preserve">Log in to the </w:t>
      </w:r>
      <w:r>
        <w:t>VCF Automation</w:t>
      </w:r>
      <w:r>
        <w:t xml:space="preserve"> organization portal as an organization administrator.</w:t>
      </w:r>
    </w:p>
    <w:p>
      <w:pPr>
        <w:pStyle w:val="BodyText"/>
        <w:numPr>
          <w:numId w:val="52"/>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Content Libraries</w:t>
      </w:r>
      <w:r>
        <w:t xml:space="preserve">, and click </w:t>
      </w:r>
      <w:r>
        <w:rPr>
          <w:rStyle w:val="InlineUI"/>
        </w:rPr>
        <w:t>Create Content Library</w:t>
      </w:r>
      <w:r>
        <w:t>.</w:t>
      </w:r>
    </w:p>
    <w:p>
      <w:pPr>
        <w:pStyle w:val="BodyText"/>
        <w:numPr>
          <w:numId w:val="52"/>
        </w:numPr>
      </w:pPr>
      <w:r>
        <w:t>Enter the content library name.</w:t>
      </w:r>
    </w:p>
    <w:p>
      <w:pPr>
        <w:pStyle w:val="BodyText"/>
        <w:numPr>
          <w:numId w:val="52"/>
        </w:numPr>
      </w:pPr>
      <w:r>
        <w:t>Select if you want to assign the content library to all current and future namespaces.</w:t>
      </w:r>
    </w:p>
    <w:p>
      <w:pPr>
        <w:pStyle w:val="BodyText"/>
        <w:ind w:left="480"/>
      </w:pPr>
      <w:r>
        <w:t>You cannot change this setting later.</w:t>
      </w:r>
    </w:p>
    <w:p>
      <w:pPr>
        <w:pStyle w:val="BodyText"/>
        <w:numPr>
          <w:numId w:val="52"/>
        </w:numPr>
      </w:pPr>
      <w:r>
        <w:t xml:space="preserve">Select the </w:t>
      </w:r>
      <w:r>
        <w:rPr>
          <w:rStyle w:val="InlineUI"/>
        </w:rPr>
        <w:t>Subscribe to an external content library</w:t>
      </w:r>
      <w:r>
        <w:t xml:space="preserve"> toggle.</w:t>
      </w:r>
    </w:p>
    <w:p>
      <w:pPr>
        <w:pStyle w:val="BodyText"/>
        <w:numPr>
          <w:numId w:val="52"/>
        </w:numPr>
      </w:pPr>
      <w:r>
        <w:t xml:space="preserve">Click </w:t>
      </w:r>
      <w:r>
        <w:rPr>
          <w:rStyle w:val="InlineUI"/>
        </w:rPr>
        <w:t>Next</w:t>
      </w:r>
      <w:r>
        <w:t>.</w:t>
      </w:r>
    </w:p>
    <w:p>
      <w:pPr>
        <w:pStyle w:val="BodyText"/>
        <w:numPr>
          <w:numId w:val="52"/>
        </w:numPr>
      </w:pPr>
      <w:r>
        <w:t>Enter the URL of the published content library.</w:t>
      </w:r>
    </w:p>
    <w:p>
      <w:pPr>
        <w:pStyle w:val="BodyText"/>
        <w:numPr>
          <w:numId w:val="52"/>
        </w:numPr>
      </w:pPr>
      <w:r>
        <w:t>Optional. If the content library is password-protected, enter the password for it.</w:t>
      </w:r>
    </w:p>
    <w:p>
      <w:pPr>
        <w:pStyle w:val="BodyText"/>
        <w:numPr>
          <w:numId w:val="52"/>
        </w:numPr>
      </w:pPr>
      <w:r>
        <w:t xml:space="preserve">Click </w:t>
      </w:r>
      <w:r>
        <w:rPr>
          <w:rStyle w:val="InlineUI"/>
        </w:rPr>
        <w:t>Next</w:t>
      </w:r>
      <w:r>
        <w:t>.</w:t>
      </w:r>
    </w:p>
    <w:p>
      <w:pPr>
        <w:pStyle w:val="BodyText"/>
        <w:numPr>
          <w:numId w:val="52"/>
        </w:numPr>
      </w:pPr>
      <w:r>
        <w:t>Select a region.</w:t>
      </w:r>
    </w:p>
    <w:p>
      <w:pPr>
        <w:pStyle w:val="BodyText"/>
        <w:numPr>
          <w:numId w:val="52"/>
        </w:numPr>
      </w:pPr>
      <w:r>
        <w:t>Select storage for the content library.</w:t>
      </w:r>
    </w:p>
    <w:p>
      <w:pPr>
        <w:pStyle w:val="BodyText"/>
        <w:numPr>
          <w:numId w:val="52"/>
        </w:numPr>
      </w:pPr>
      <w:r>
        <w:t xml:space="preserve">Click </w:t>
      </w:r>
      <w:r>
        <w:rPr>
          <w:rStyle w:val="InlineUI"/>
        </w:rPr>
        <w:t>Next</w:t>
      </w:r>
      <w:r>
        <w:t>.</w:t>
      </w:r>
    </w:p>
    <w:p>
      <w:pPr>
        <w:pStyle w:val="BodyText"/>
        <w:numPr>
          <w:numId w:val="52"/>
        </w:numPr>
      </w:pPr>
      <w:r>
        <w:t xml:space="preserve">Review your project and click </w:t>
      </w:r>
      <w:r>
        <w:rPr>
          <w:rStyle w:val="InlineUI"/>
        </w:rPr>
        <w:t>Confirm</w:t>
      </w:r>
      <w:r>
        <w:t>.</w:t>
      </w:r>
    </w:p>
    <w:p>
      <w:pPr>
        <w:pStyle w:val="Heading3"/>
      </w:pPr>
      <w:bookmarkStart w:id="70" w:name="Bacb48234e3ad40d7b3e483b479311d6f"/>
      <w:bookmarkStart w:id="71" w:name="_Toc256000629"/>
      <w:r>
        <w:t>Add a VM Image to a Content Library and Publish It to the Catalog in VCF Automation</w:t>
      </w:r>
      <w:bookmarkEnd w:id="71"/>
      <w:bookmarkEnd w:id="70"/>
    </w:p>
    <w:p>
      <w:pPr>
        <w:pStyle w:val="BodyText"/>
      </w:pPr>
      <w:r>
        <w:t>As an organization administrator, you add a VM image to a content library. You can then publish the VM image to the catalog.</w:t>
      </w:r>
    </w:p>
    <w:p>
      <w:pPr>
        <w:pStyle w:val="BodyText"/>
      </w:pPr>
      <w:r>
        <w:t>Every VM image you upload has a unique identifier (VMI) which you can use in blueprints to provision specific VMs.</w:t>
      </w:r>
    </w:p>
    <w:p>
      <w:pPr>
        <w:pStyle w:val="SectionHeading4"/>
      </w:pPr>
      <w:bookmarkStart w:id="72" w:name="_Toc256000630"/>
      <w:r>
        <w:t>Add a VM Image to a Content Library</w:t>
      </w:r>
      <w:bookmarkEnd w:id="72"/>
    </w:p>
    <w:p>
      <w:pPr>
        <w:pStyle w:val="BodyText"/>
        <w:numPr>
          <w:numId w:val="53"/>
        </w:numPr>
      </w:pPr>
      <w:r>
        <w:t xml:space="preserve">Log in to the </w:t>
      </w:r>
      <w:r>
        <w:t>VCF Automation</w:t>
      </w:r>
      <w:r>
        <w:t xml:space="preserve"> organization portal as an organization administrator.</w:t>
      </w:r>
    </w:p>
    <w:p>
      <w:pPr>
        <w:pStyle w:val="BodyText"/>
        <w:numPr>
          <w:numId w:val="53"/>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VM Images</w:t>
      </w:r>
      <w:r>
        <w:t>.</w:t>
      </w:r>
    </w:p>
    <w:p>
      <w:pPr>
        <w:pStyle w:val="BodyText"/>
        <w:numPr>
          <w:numId w:val="53"/>
        </w:numPr>
      </w:pPr>
      <w:r>
        <w:t xml:space="preserve">Click </w:t>
      </w:r>
      <w:r>
        <w:rPr>
          <w:rStyle w:val="InlineUI"/>
        </w:rPr>
        <w:t>Upload</w:t>
      </w:r>
      <w:r>
        <w:t>.</w:t>
      </w:r>
    </w:p>
    <w:p>
      <w:pPr>
        <w:pStyle w:val="BodyText"/>
        <w:numPr>
          <w:numId w:val="53"/>
        </w:numPr>
      </w:pPr>
      <w:r>
        <w:t xml:space="preserve">Click the arrow next to </w:t>
      </w:r>
      <w:r>
        <w:rPr>
          <w:rStyle w:val="InlineUI"/>
        </w:rPr>
        <w:t>Select Source</w:t>
      </w:r>
      <w:r>
        <w:t xml:space="preserve"> and select a local file to upload.</w:t>
      </w:r>
    </w:p>
    <w:p>
      <w:pPr>
        <w:pStyle w:val="BodyText"/>
        <w:ind w:left="480"/>
      </w:pPr>
      <w:r>
        <w:t>You can upload an OVA, ISO, or OVF file.</w:t>
      </w:r>
    </w:p>
    <w:p>
      <w:pPr>
        <w:pStyle w:val="BodyText"/>
        <w:numPr>
          <w:numId w:val="53"/>
        </w:numPr>
      </w:pPr>
      <w:r>
        <w:t>Select a content library to which to upload the VM image.</w:t>
      </w:r>
    </w:p>
    <w:p>
      <w:pPr>
        <w:pStyle w:val="BodyText"/>
        <w:numPr>
          <w:numId w:val="53"/>
        </w:numPr>
      </w:pPr>
      <w:r>
        <w:t>Enter a name for the image.</w:t>
      </w:r>
    </w:p>
    <w:p>
      <w:pPr>
        <w:pStyle w:val="BodyText"/>
        <w:numPr>
          <w:numId w:val="53"/>
        </w:numPr>
      </w:pPr>
      <w:r>
        <w:t xml:space="preserve">Click </w:t>
      </w:r>
      <w:r>
        <w:rPr>
          <w:rStyle w:val="InlineUI"/>
        </w:rPr>
        <w:t>Submit</w:t>
      </w:r>
      <w:r>
        <w:t>.</w:t>
      </w:r>
    </w:p>
    <w:p>
      <w:pPr>
        <w:pStyle w:val="SectionHeading4"/>
      </w:pPr>
      <w:bookmarkStart w:id="73" w:name="_Toc256000631"/>
      <w:r>
        <w:t>Publish a VM image to the Catalog</w:t>
      </w:r>
      <w:bookmarkEnd w:id="73"/>
    </w:p>
    <w:p>
      <w:pPr>
        <w:pStyle w:val="BodyText"/>
      </w:pPr>
      <w:r>
        <w:t>You can publish OVF images directly to the catalog.</w:t>
      </w:r>
    </w:p>
    <w:p>
      <w:pPr>
        <w:pStyle w:val="BodyText"/>
        <w:pBdr>
          <w:top w:val="single" w:sz="8" w:space="2" w:color="D3D3D3"/>
          <w:bottom w:val="single" w:sz="8" w:space="2" w:color="D3D3D3"/>
        </w:pBdr>
      </w:pPr>
      <w:r>
        <w:rPr>
          <w:rStyle w:val="NoteLeadernote"/>
        </w:rPr>
        <w:t>Note</w:t>
        <w:tab/>
      </w:r>
      <w:r>
        <w:t>For ISO images, direct publishing to the catalog is not supported.</w:t>
      </w:r>
    </w:p>
    <w:p>
      <w:pPr>
        <w:pStyle w:val="BodyText"/>
        <w:numPr>
          <w:numId w:val="54"/>
        </w:numPr>
      </w:pPr>
      <w:r>
        <w:t xml:space="preserve">Navigate to the </w:t>
      </w:r>
      <w:r>
        <w:rPr>
          <w:rStyle w:val="InlineUI"/>
        </w:rPr>
        <w:t>VM Images</w:t>
      </w:r>
      <w:r>
        <w:t xml:space="preserve"> page or the </w:t>
      </w:r>
      <w:r>
        <w:rPr>
          <w:rStyle w:val="InlineUI"/>
        </w:rPr>
        <w:t>Content Libraries</w:t>
      </w:r>
      <w:r>
        <w:t xml:space="preserve"> page.</w:t>
      </w:r>
    </w:p>
    <w:p>
      <w:pPr>
        <w:pStyle w:val="BodyText"/>
        <w:numPr>
          <w:ilvl w:val="1"/>
          <w:numId w:val="54"/>
        </w:numPr>
      </w:pPr>
      <w:r>
        <w:t xml:space="preserve">If using the </w:t>
      </w:r>
      <w:r>
        <w:rPr>
          <w:rStyle w:val="InlineUI"/>
        </w:rPr>
        <w:t>Content Libraries</w:t>
      </w:r>
      <w:r>
        <w:t xml:space="preserve"> page, open the desired content library and select the </w:t>
      </w:r>
      <w:r>
        <w:rPr>
          <w:rStyle w:val="InlineUI"/>
        </w:rPr>
        <w:t>VM Images</w:t>
      </w:r>
      <w:r>
        <w:t xml:space="preserve"> tab.</w:t>
      </w:r>
    </w:p>
    <w:p>
      <w:pPr>
        <w:pStyle w:val="BodyText"/>
        <w:numPr>
          <w:numId w:val="54"/>
        </w:numPr>
      </w:pPr>
      <w:r>
        <w:t xml:space="preserve">Click the ellipsis next to the VM image name, and then click </w:t>
      </w:r>
      <w:r>
        <w:rPr>
          <w:rStyle w:val="InlineUI"/>
        </w:rPr>
        <w:t>Publish to Catalog</w:t>
      </w:r>
      <w:r>
        <w:t>.</w:t>
      </w:r>
    </w:p>
    <w:p>
      <w:pPr>
        <w:pStyle w:val="BodyText"/>
        <w:numPr>
          <w:numId w:val="54"/>
        </w:numPr>
      </w:pPr>
      <w:r>
        <w:t xml:space="preserve">On the </w:t>
      </w:r>
      <w:r>
        <w:rPr>
          <w:rStyle w:val="InlineUI"/>
        </w:rPr>
        <w:t>Publish VM image</w:t>
      </w:r>
      <w:r>
        <w:t xml:space="preserve"> page, enter a name for the published catalog item.</w:t>
      </w:r>
    </w:p>
    <w:p>
      <w:pPr>
        <w:pStyle w:val="BodyText"/>
        <w:numPr>
          <w:numId w:val="54"/>
        </w:numPr>
      </w:pPr>
      <w:r>
        <w:t>Select a project for which you want to publish the catalog item.</w:t>
      </w:r>
    </w:p>
    <w:p>
      <w:pPr>
        <w:pStyle w:val="BodyText"/>
        <w:numPr>
          <w:numId w:val="54"/>
        </w:numPr>
      </w:pPr>
      <w:r>
        <w:t>(Optional) Select the checkbox to allow sharing the catalog item with other projects in the organization.</w:t>
      </w:r>
    </w:p>
    <w:p>
      <w:pPr>
        <w:pStyle w:val="BodyText"/>
        <w:numPr>
          <w:numId w:val="54"/>
        </w:numPr>
      </w:pPr>
      <w:r>
        <w:t xml:space="preserve">(Optional) Toggle </w:t>
      </w:r>
      <w:r>
        <w:rPr>
          <w:rStyle w:val="InlineUI"/>
        </w:rPr>
        <w:t>Enable cloud init configuration</w:t>
      </w:r>
      <w:r>
        <w:t xml:space="preserve"> for images which support this.</w:t>
      </w:r>
    </w:p>
    <w:p>
      <w:pPr>
        <w:pStyle w:val="BodyText"/>
        <w:numPr>
          <w:numId w:val="54"/>
        </w:numPr>
      </w:pPr>
      <w:r>
        <w:t xml:space="preserve">Click </w:t>
      </w:r>
      <w:r>
        <w:rPr>
          <w:rStyle w:val="InlineUI"/>
        </w:rPr>
        <w:t>Publish</w:t>
      </w:r>
      <w:r>
        <w:t>.</w:t>
      </w:r>
    </w:p>
    <w:p>
      <w:pPr>
        <w:pStyle w:val="Heading2"/>
      </w:pPr>
      <w:bookmarkStart w:id="74" w:name="_Toc256000632"/>
      <w:r>
        <w:t>Managing Projects in VCF Automation</w:t>
      </w:r>
      <w:bookmarkEnd w:id="74"/>
    </w:p>
    <w:p>
      <w:pPr>
        <w:pStyle w:val="BodyText"/>
      </w:pPr>
      <w:r>
        <w:t xml:space="preserve">Projects in </w:t>
      </w:r>
      <w:r>
        <w:t>VCF Automation</w:t>
      </w:r>
      <w:r>
        <w:t xml:space="preserve"> organizations provide a logical grouping of users and the infrastructure that they are assigned. Projects are used to represent real world teams which are in charge of development or operations. Each project has one or more namespaces assigned to it. Each namespace is an envelope of resources where applications can be deployed. Access controls for projects are governed by pre-defined roles.</w:t>
      </w:r>
    </w:p>
    <w:p>
      <w:pPr>
        <w:pStyle w:val="SectionHeading3"/>
      </w:pPr>
      <w:bookmarkStart w:id="75" w:name="_Toc256000633"/>
      <w:r>
        <w:t>Project Concepts</w:t>
      </w:r>
      <w:bookmarkEnd w:id="75"/>
    </w:p>
    <w:p>
      <w:pPr>
        <w:pStyle w:val="BodyText"/>
      </w:pPr>
      <w:r>
        <w:rPr>
          <w:rStyle w:val="InlineUI"/>
        </w:rPr>
        <w:t>Namespaces and Projects.</w:t>
      </w:r>
      <w:r>
        <w:t xml:space="preserve"> Organization administrators can create and attach one or more namespaces to a project. Administrators can also delete a namespace at any time, which dissociates the namespace from the project. Every organization comes with a default project. The default project doesn’t have users or namespaces. The organization administrator can change the name, description of the default project, and add users and namespaces to the default project.</w:t>
      </w:r>
    </w:p>
    <w:p>
      <w:pPr>
        <w:pStyle w:val="BodyText"/>
      </w:pPr>
      <w:r>
        <w:rPr>
          <w:rStyle w:val="InlineUI"/>
        </w:rPr>
        <w:t>Namespace Class.</w:t>
      </w:r>
      <w:r>
        <w:t xml:space="preserve"> A namespace class is a template that is used to create namespaces. All components of a namespace, including limits on CPU, memory, and storage utilization, VM classes and storage classes, and content libraries can be defined as a reusable template. Namespace classes are created and maintained by organization administrators.</w:t>
      </w:r>
    </w:p>
    <w:p>
      <w:pPr>
        <w:pStyle w:val="BodyText"/>
      </w:pPr>
      <w:r>
        <w:rPr>
          <w:rStyle w:val="InlineUI"/>
        </w:rPr>
        <w:t>Namespaces and Resource Limits.</w:t>
      </w:r>
      <w:r>
        <w:t xml:space="preserve"> Infrastructure quota assigned to an organization can be subdivided and assigned to project teams in the form of namespaces. Namespaces are isolated resource pools in which resources like VMs, VKS clusters, and volumes can be provisioned. Organization administrators can override the resource limits specified in a namespace class during namespace creation.</w:t>
      </w:r>
    </w:p>
    <w:p>
      <w:pPr>
        <w:pStyle w:val="BodyText"/>
      </w:pPr>
      <w:r>
        <w:rPr>
          <w:rStyle w:val="InlineUI"/>
        </w:rPr>
        <w:t>Namespaces and Zones.</w:t>
      </w:r>
      <w:r>
        <w:t xml:space="preserve"> The resource limits of a namespace can be satisfied from capacity in one or more vSphere zones. When creating a namespace, organization administrators can select wich zones the namespace can use.</w:t>
      </w:r>
    </w:p>
    <w:p>
      <w:pPr>
        <w:pStyle w:val="BodyText"/>
      </w:pPr>
      <w:r>
        <w:rPr>
          <w:rStyle w:val="InlineUI"/>
        </w:rPr>
        <w:t>Namespaces and Organization Quotas.</w:t>
      </w:r>
      <w:r>
        <w:t xml:space="preserve"> Namespaces count towards the organization quota. The sum total of resource limits of all created namespaces cannot exceed the organization quota.</w:t>
      </w:r>
    </w:p>
    <w:p>
      <w:pPr>
        <w:pStyle w:val="SectionHeading3"/>
      </w:pPr>
      <w:bookmarkStart w:id="76" w:name="_Toc256000634"/>
      <w:r>
        <w:t>Best Practices for Projects</w:t>
      </w:r>
      <w:bookmarkEnd w:id="76"/>
    </w:p>
    <w:p>
      <w:pPr>
        <w:pStyle w:val="BodyText"/>
      </w:pPr>
      <w:r>
        <w:t>How many projects and namespaces you create depends on your organization needs.</w:t>
      </w:r>
    </w:p>
    <w:p>
      <w:pPr>
        <w:pStyle w:val="BodyText"/>
        <w:numPr>
          <w:numId w:val="55"/>
        </w:numPr>
      </w:pPr>
      <w:r>
        <w:rPr>
          <w:rStyle w:val="InlineUI"/>
        </w:rPr>
        <w:t>Projects</w:t>
      </w:r>
      <w:r>
        <w:t>. Multiple projects are used when isolation boundaries between project teams are required. Only project members can access deployments and resources available to a project. Fewer projects are desired when isolation requirements can be traded off for a simpler operating model.</w:t>
      </w:r>
    </w:p>
    <w:p>
      <w:pPr>
        <w:pStyle w:val="BodyText"/>
        <w:numPr>
          <w:numId w:val="55"/>
        </w:numPr>
      </w:pPr>
      <w:r>
        <w:rPr>
          <w:rStyle w:val="InlineUI"/>
        </w:rPr>
        <w:t>Namespaces</w:t>
      </w:r>
      <w:r>
        <w:t>. Multiple namespaces are used when strict resource limits are needed for each application. Namespaces are logical constructs that can be used to define application boundaries. Each application can be deployed on a namespace with prescribed resource limits for CPU, memory, and storage. For instance, a group of VMs and VKS clusters that make up an application can be logically grouped together in a namespace.</w:t>
      </w:r>
    </w:p>
    <w:p>
      <w:pPr>
        <w:pStyle w:val="Heading3"/>
      </w:pPr>
      <w:bookmarkStart w:id="77" w:name="B3f2a1ee197f44136b073d107b7db477f"/>
      <w:bookmarkStart w:id="78" w:name="_Toc256000635"/>
      <w:r>
        <w:t>Create a Project in VCF Automation</w:t>
      </w:r>
      <w:bookmarkEnd w:id="78"/>
      <w:bookmarkEnd w:id="77"/>
    </w:p>
    <w:p>
      <w:pPr>
        <w:pStyle w:val="BodyText"/>
      </w:pPr>
      <w:r>
        <w:t>As an organization administrator, you create a project to which you add users and namespaces so that project members can deploy VMs and other resources to the associated zones. You can assign a project administrator or you can operate as the project administrator.</w:t>
      </w:r>
    </w:p>
    <w:p>
      <w:pPr>
        <w:pStyle w:val="BodyText"/>
      </w:pPr>
      <w:r>
        <w:t>This procedure is based on creating an initial project that includes only the basic configurations. As your application team deploys their resources, you might modify the project.</w:t>
      </w:r>
    </w:p>
    <w:p>
      <w:pPr>
        <w:pStyle w:val="BodyText"/>
      </w:pPr>
      <w:r>
        <w:rPr>
          <w:rStyle w:val="Strong"/>
        </w:rPr>
        <w:t>Procedure</w:t>
      </w:r>
    </w:p>
    <w:p>
      <w:pPr>
        <w:pStyle w:val="BodyText"/>
        <w:numPr>
          <w:numId w:val="56"/>
        </w:numPr>
      </w:pPr>
      <w:r>
        <w:t xml:space="preserve">Log in to the </w:t>
      </w:r>
      <w:r>
        <w:t>VCF Automation</w:t>
      </w:r>
      <w:r>
        <w:t xml:space="preserve"> organization portal as an organization administrator.</w:t>
      </w:r>
    </w:p>
    <w:p>
      <w:pPr>
        <w:pStyle w:val="BodyText"/>
        <w:numPr>
          <w:numId w:val="56"/>
        </w:numPr>
      </w:pPr>
      <w:r>
        <w:t xml:space="preserve">Select </w:t>
      </w:r>
      <w:r>
        <w:rPr>
          <w:rStyle w:val="InlineUI"/>
        </w:rPr>
        <w:t>Manage &amp; Govern</w:t>
      </w:r>
      <w:r>
        <w:rPr>
          <w:rStyle w:val="InlineUI"/>
        </w:rPr>
        <w:t xml:space="preserve"> &gt; </w:t>
      </w:r>
      <w:r>
        <w:rPr>
          <w:rStyle w:val="InlineUI"/>
        </w:rPr>
        <w:t>Projects</w:t>
      </w:r>
      <w:r>
        <w:t xml:space="preserve"> and click </w:t>
      </w:r>
      <w:r>
        <w:rPr>
          <w:rStyle w:val="InlineUI"/>
        </w:rPr>
        <w:t>New</w:t>
      </w:r>
      <w:r>
        <w:t>.</w:t>
      </w:r>
    </w:p>
    <w:p>
      <w:pPr>
        <w:pStyle w:val="BodyText"/>
        <w:numPr>
          <w:numId w:val="56"/>
        </w:numPr>
      </w:pPr>
      <w:r>
        <w:t xml:space="preserve">Enter the project name and click </w:t>
      </w:r>
      <w:r>
        <w:rPr>
          <w:rStyle w:val="InlineUI"/>
        </w:rPr>
        <w:t>Next</w:t>
      </w:r>
      <w:r>
        <w:t>.</w:t>
      </w:r>
    </w:p>
    <w:p>
      <w:pPr>
        <w:pStyle w:val="BodyText"/>
        <w:numPr>
          <w:numId w:val="56"/>
        </w:numPr>
      </w:pPr>
      <w:r>
        <w:t>(Optional) Add users or user groups and assign roles.</w:t>
      </w:r>
    </w:p>
    <w:p>
      <w:pPr>
        <w:pStyle w:val="BodyText"/>
        <w:ind w:left="480"/>
      </w:pPr>
      <w:r>
        <w:t>At this stage, you can add, for example, a project administrator only and let them add more users to the project.</w:t>
      </w:r>
    </w:p>
    <w:p>
      <w:pPr>
        <w:pStyle w:val="BodyText"/>
        <w:ind w:left="480"/>
      </w:pPr>
      <w:r>
        <w:t>User roles based on groups allows users to come and go from your identity provider rather than requiring the project administrator to constantly update the individual users in the project. For example, if deployment ownership is based on groups, you can change the ownership of a deployment to the group. Any notifications are sent to all the group members, allowing anyone to respond.</w:t>
      </w:r>
    </w:p>
    <w:p>
      <w:pPr>
        <w:pStyle w:val="BodyText"/>
        <w:ind w:left="480"/>
      </w:pPr>
      <w:r>
        <w:t xml:space="preserve">For more information about user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Bc7dafcec32204a4cb0ab641866c8c2ca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Predefined Roles and Permissions in VCF Automation</w:t>
      </w:r>
      <w:r>
        <w:fldChar w:fldCharType="end"/>
      </w:r>
      <w:r>
        <w:t>.</w:t>
      </w:r>
    </w:p>
    <w:p>
      <w:pPr>
        <w:pStyle w:val="BodyText"/>
        <w:numPr>
          <w:numId w:val="56"/>
        </w:numPr>
      </w:pPr>
      <w:r>
        <w:t xml:space="preserve">Click </w:t>
      </w:r>
      <w:r>
        <w:rPr>
          <w:rStyle w:val="InlineUI"/>
        </w:rPr>
        <w:t>Next</w:t>
      </w:r>
      <w:r>
        <w:t>.</w:t>
      </w:r>
    </w:p>
    <w:p>
      <w:pPr>
        <w:pStyle w:val="BodyText"/>
        <w:numPr>
          <w:numId w:val="56"/>
        </w:numPr>
      </w:pPr>
      <w:r>
        <w:t xml:space="preserve">Review your project and click </w:t>
      </w:r>
      <w:r>
        <w:rPr>
          <w:rStyle w:val="InlineUI"/>
        </w:rPr>
        <w:t>Create Project</w:t>
      </w:r>
      <w:r>
        <w:t>.</w:t>
      </w:r>
    </w:p>
    <w:p>
      <w:pPr>
        <w:pStyle w:val="BodyText"/>
      </w:pPr>
      <w:r>
        <w:rPr>
          <w:rStyle w:val="Strong"/>
        </w:rPr>
        <w:t>What to do next</w:t>
      </w:r>
    </w:p>
    <w:p>
      <w:pPr>
        <w:pStyle w:val="BodyText"/>
      </w:pPr>
      <w:r>
        <w:t xml:space="preserve">Add namespaces to your project. Namespaces can be added to a project at any time.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Bdd3863eb7a0e490ebe5d4252e7d7ba7c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Namespace in VCF Automation</w:t>
      </w:r>
      <w:r>
        <w:fldChar w:fldCharType="end"/>
      </w:r>
      <w:r>
        <w:t>.</w:t>
      </w:r>
    </w:p>
    <w:p>
      <w:pPr>
        <w:pStyle w:val="Heading3"/>
      </w:pPr>
      <w:bookmarkStart w:id="79" w:name="B3c307d30449946a9b4aa25d9bd8939d7"/>
      <w:bookmarkStart w:id="80" w:name="_Toc256000636"/>
      <w:r>
        <w:t>Create a Namespace Class in VCF Automation</w:t>
      </w:r>
      <w:bookmarkEnd w:id="80"/>
      <w:bookmarkEnd w:id="79"/>
    </w:p>
    <w:p>
      <w:pPr>
        <w:pStyle w:val="BodyText"/>
      </w:pPr>
      <w:r>
        <w:t>To enable the creation of new namespaces, you use a namespace class as a parameterized template that defines the settings and requirements for the namespace. As an organization administrator, you can create namespace classes to define the settings and requirements for namespaces that you add for your organization.</w:t>
      </w:r>
    </w:p>
    <w:p>
      <w:pPr>
        <w:pStyle w:val="BodyText"/>
      </w:pPr>
      <w:r>
        <w:t>The namespace class references the VM classes and storage classes and optional content libraries to attach to the namespace. When you specify VM classes and storage classes, all the available VM classes and storage classes that are associated with the selected zones are added to the created namespace.</w:t>
      </w:r>
    </w:p>
    <w:p>
      <w:pPr>
        <w:pStyle w:val="BodyText"/>
      </w:pPr>
      <w:r>
        <w:t>When your organization is first created, the following namespace classes are created by default.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096"/>
        <w:gridCol w:w="2582"/>
        <w:gridCol w:w="32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Namespace Class</w:t>
            </w:r>
          </w:p>
        </w:tc>
        <w:tc>
          <w:tcPr>
            <w:tcBorders>
              <w:left w:val="nil"/>
              <w:right w:val="nil"/>
            </w:tcBorders>
            <w:shd w:val="clear" w:color="auto" w:fill="E1E1E1"/>
            <w:tcMar>
              <w:top w:w="60" w:type="dxa"/>
              <w:bottom w:w="60" w:type="dxa"/>
            </w:tcMar>
          </w:tcPr>
          <w:p>
            <w:pPr>
              <w:pStyle w:val="TableHeaderText"/>
            </w:pPr>
            <w:r>
              <w:t>CPU Limit</w:t>
            </w:r>
          </w:p>
        </w:tc>
        <w:tc>
          <w:tcPr>
            <w:tcBorders>
              <w:left w:val="nil"/>
              <w:right w:val="nil"/>
            </w:tcBorders>
            <w:shd w:val="clear" w:color="auto" w:fill="E1E1E1"/>
            <w:tcMar>
              <w:top w:w="60" w:type="dxa"/>
              <w:bottom w:w="60" w:type="dxa"/>
            </w:tcMar>
          </w:tcPr>
          <w:p>
            <w:pPr>
              <w:pStyle w:val="TableHeaderText"/>
            </w:pPr>
            <w:r>
              <w:t>Memory Limit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small</w:t>
            </w:r>
          </w:p>
        </w:tc>
        <w:tc>
          <w:tcPr>
            <w:tcBorders>
              <w:left w:val="nil"/>
              <w:right w:val="nil"/>
            </w:tcBorders>
          </w:tcPr>
          <w:p>
            <w:pPr>
              <w:pStyle w:val="TableBodyText"/>
            </w:pPr>
            <w:r>
              <w:t>10 GHz</w:t>
            </w:r>
          </w:p>
        </w:tc>
        <w:tc>
          <w:tcPr>
            <w:tcBorders>
              <w:left w:val="nil"/>
              <w:right w:val="nil"/>
            </w:tcBorders>
          </w:tcPr>
          <w:p>
            <w:pPr>
              <w:pStyle w:val="TableBodyText"/>
            </w:pPr>
            <w:r>
              <w:t>10,000 MB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medium</w:t>
            </w:r>
          </w:p>
        </w:tc>
        <w:tc>
          <w:tcPr>
            <w:tcBorders>
              <w:left w:val="nil"/>
              <w:right w:val="nil"/>
            </w:tcBorders>
          </w:tcPr>
          <w:p>
            <w:pPr>
              <w:pStyle w:val="TableBodyText"/>
            </w:pPr>
            <w:r>
              <w:t>20 GHz</w:t>
            </w:r>
          </w:p>
        </w:tc>
        <w:tc>
          <w:tcPr>
            <w:tcBorders>
              <w:left w:val="nil"/>
              <w:right w:val="nil"/>
            </w:tcBorders>
          </w:tcPr>
          <w:p>
            <w:pPr>
              <w:pStyle w:val="TableBodyText"/>
            </w:pPr>
            <w:r>
              <w:t>20,000 MB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large</w:t>
            </w:r>
          </w:p>
        </w:tc>
        <w:tc>
          <w:tcPr>
            <w:tcBorders>
              <w:left w:val="nil"/>
              <w:right w:val="nil"/>
            </w:tcBorders>
          </w:tcPr>
          <w:p>
            <w:pPr>
              <w:pStyle w:val="TableBodyText"/>
            </w:pPr>
            <w:r>
              <w:t>40 GHz</w:t>
            </w:r>
          </w:p>
        </w:tc>
        <w:tc>
          <w:tcPr>
            <w:tcBorders>
              <w:left w:val="nil"/>
              <w:right w:val="nil"/>
            </w:tcBorders>
          </w:tcPr>
          <w:p>
            <w:pPr>
              <w:pStyle w:val="TableBodyText"/>
            </w:pPr>
            <w:r>
              <w:t>40,000 MB</w:t>
            </w:r>
          </w:p>
        </w:tc>
      </w:tr>
    </w:tbl>
    <w:p>
      <w:pPr>
        <w:pStyle w:val="BodyText"/>
        <w:spacing w:before="240"/>
      </w:pPr>
      <w:r>
        <w:t>These default namespace classes include all VM classes that are available in the region.</w:t>
      </w:r>
    </w:p>
    <w:p>
      <w:pPr>
        <w:pStyle w:val="BodyText"/>
      </w:pPr>
      <w:r>
        <w:t>You can use the default namespace classes as they are or you can modify them as needed. You can also create new namespace classes using the following procedure.</w:t>
      </w:r>
    </w:p>
    <w:p>
      <w:pPr>
        <w:pStyle w:val="BodyText"/>
      </w:pPr>
      <w:r>
        <w:rPr>
          <w:rStyle w:val="Strong"/>
        </w:rPr>
        <w:t>Prerequisites</w:t>
      </w:r>
    </w:p>
    <w:p>
      <w:pPr>
        <w:pStyle w:val="BodyText"/>
      </w:pPr>
      <w:r>
        <w:t>Review what regions are available to your organization on the Regions page.</w:t>
      </w:r>
    </w:p>
    <w:p>
      <w:pPr>
        <w:pStyle w:val="BodyText"/>
      </w:pPr>
      <w:r>
        <w:rPr>
          <w:rStyle w:val="Strong"/>
        </w:rPr>
        <w:t>Procedure</w:t>
      </w:r>
    </w:p>
    <w:p>
      <w:pPr>
        <w:pStyle w:val="BodyText"/>
        <w:numPr>
          <w:numId w:val="57"/>
        </w:numPr>
      </w:pPr>
      <w:r>
        <w:t xml:space="preserve">Log in to the </w:t>
      </w:r>
      <w:r>
        <w:t>VCF Automation</w:t>
      </w:r>
      <w:r>
        <w:t xml:space="preserve"> organization portal as an organization administrator.</w:t>
      </w:r>
    </w:p>
    <w:p>
      <w:pPr>
        <w:pStyle w:val="BodyText"/>
        <w:numPr>
          <w:numId w:val="57"/>
        </w:numPr>
      </w:pPr>
      <w:r>
        <w:t xml:space="preserve">Select </w:t>
      </w:r>
      <w:r>
        <w:rPr>
          <w:rStyle w:val="InlineUI"/>
        </w:rPr>
        <w:t>Manage &amp; Govern</w:t>
      </w:r>
      <w:r>
        <w:rPr>
          <w:rStyle w:val="InlineUI"/>
        </w:rPr>
        <w:t xml:space="preserve"> &gt; </w:t>
      </w:r>
      <w:r>
        <w:rPr>
          <w:rStyle w:val="InlineUI"/>
        </w:rPr>
        <w:t>Namespace Class</w:t>
      </w:r>
      <w:r>
        <w:t xml:space="preserve"> and click </w:t>
      </w:r>
      <w:r>
        <w:rPr>
          <w:rStyle w:val="InlineUI"/>
        </w:rPr>
        <w:t>New</w:t>
      </w:r>
      <w:r>
        <w:t>.</w:t>
      </w:r>
    </w:p>
    <w:p>
      <w:pPr>
        <w:pStyle w:val="BodyText"/>
        <w:numPr>
          <w:numId w:val="57"/>
        </w:numPr>
      </w:pPr>
      <w:r>
        <w:t>Enter a name for the namespace class.</w:t>
      </w:r>
    </w:p>
    <w:p>
      <w:pPr>
        <w:pStyle w:val="BodyText"/>
        <w:numPr>
          <w:numId w:val="57"/>
        </w:numPr>
      </w:pPr>
      <w:r>
        <w:t>Define CPU and memory limits.</w:t>
      </w:r>
    </w:p>
    <w:p>
      <w:pPr>
        <w:pStyle w:val="BodyText"/>
        <w:ind w:left="480"/>
      </w:pPr>
      <w:r>
        <w:t>You can also define CPU and memory reservations.</w:t>
      </w:r>
    </w:p>
    <w:p>
      <w:pPr>
        <w:pStyle w:val="BodyText"/>
        <w:numPr>
          <w:numId w:val="57"/>
        </w:numPr>
      </w:pPr>
      <w:r>
        <w:t>Add a VM class and a storage class.</w:t>
      </w:r>
    </w:p>
    <w:p>
      <w:pPr>
        <w:pStyle w:val="BodyText"/>
        <w:ind w:left="480"/>
      </w:pPr>
      <w:r>
        <w:t>VM classes define how much memory, CPU, or certain capabilities a VM has.</w:t>
      </w:r>
    </w:p>
    <w:p>
      <w:pPr>
        <w:pStyle w:val="BodyText"/>
        <w:ind w:left="480"/>
      </w:pPr>
      <w:r>
        <w:t>Storage classes define the storage policies and the quota that is assigned in a region.</w:t>
      </w:r>
    </w:p>
    <w:p>
      <w:pPr>
        <w:pStyle w:val="BodyText"/>
        <w:ind w:left="480"/>
      </w:pPr>
      <w:r>
        <w:t>When you select a storage class, the namespace class is automatically associated with a region that is allocated to your organization. Later on, when you create a namespace using this namespace class, the region is automatically selected.</w:t>
      </w:r>
    </w:p>
    <w:p>
      <w:pPr>
        <w:pStyle w:val="BodyText"/>
        <w:numPr>
          <w:numId w:val="57"/>
        </w:numPr>
      </w:pPr>
      <w:r>
        <w:t xml:space="preserve">(Optional) </w:t>
      </w:r>
      <w:r>
        <w:t>Add a content library.</w:t>
      </w:r>
    </w:p>
    <w:p>
      <w:pPr>
        <w:pStyle w:val="BodyText"/>
        <w:ind w:left="480"/>
      </w:pPr>
      <w:r>
        <w:t>A content library is automatically assigned to the namespace class. The namespace class may also specify the names of configured content libraries that are not automatically attached so that they are also attached.</w:t>
      </w:r>
    </w:p>
    <w:p>
      <w:pPr>
        <w:pStyle w:val="BodyText"/>
        <w:ind w:left="480"/>
      </w:pPr>
      <w:r>
        <w:t>Content libraries can be set to automatically attach to namespaces or not. If there are no content libraries set to not attach to namespaces, the content library selector is empty.</w:t>
      </w:r>
    </w:p>
    <w:p>
      <w:pPr>
        <w:pStyle w:val="BodyText"/>
        <w:numPr>
          <w:numId w:val="57"/>
        </w:numPr>
      </w:pPr>
      <w:r>
        <w:t xml:space="preserve">Click </w:t>
      </w:r>
      <w:r>
        <w:rPr>
          <w:rStyle w:val="InlineUI"/>
        </w:rPr>
        <w:t>Create</w:t>
      </w:r>
      <w:r>
        <w:t>.</w:t>
      </w:r>
    </w:p>
    <w:p>
      <w:pPr>
        <w:pStyle w:val="BodyText"/>
      </w:pPr>
      <w:r>
        <w:rPr>
          <w:rStyle w:val="Strong"/>
        </w:rPr>
        <w:t>What to do next</w:t>
      </w:r>
    </w:p>
    <w:p>
      <w:pPr>
        <w:pStyle w:val="BodyText"/>
      </w:pPr>
      <w:r>
        <w:t xml:space="preserve">You can now create a namespace using your new namespace class.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Bdd3863eb7a0e490ebe5d4252e7d7ba7c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Namespace in VCF Automation</w:t>
      </w:r>
      <w:r>
        <w:fldChar w:fldCharType="end"/>
      </w:r>
      <w:r>
        <w:t>.</w:t>
      </w:r>
    </w:p>
    <w:p>
      <w:pPr>
        <w:pStyle w:val="Heading3"/>
      </w:pPr>
      <w:bookmarkStart w:id="81" w:name="Bdd3863eb7a0e490ebe5d4252e7d7ba7c"/>
      <w:bookmarkStart w:id="82" w:name="_Toc256000637"/>
      <w:r>
        <w:t>Create a Namespace in VCF Automation</w:t>
      </w:r>
      <w:bookmarkEnd w:id="82"/>
      <w:bookmarkEnd w:id="81"/>
    </w:p>
    <w:p>
      <w:pPr>
        <w:pStyle w:val="BodyText"/>
      </w:pPr>
      <w:r>
        <w:t>As an organization administrator, you create and manage namespaces for projects in your organization.</w:t>
      </w:r>
    </w:p>
    <w:p>
      <w:pPr>
        <w:pStyle w:val="BodyText"/>
      </w:pPr>
      <w:r>
        <w:t>You use namespaces for isolating resources, managing access, and allocating physical resources to users.</w:t>
      </w:r>
    </w:p>
    <w:p>
      <w:pPr>
        <w:pStyle w:val="BodyText"/>
      </w:pPr>
      <w:r>
        <w:rPr>
          <w:rStyle w:val="Strong"/>
        </w:rPr>
        <w:t>Prerequisites</w:t>
      </w:r>
    </w:p>
    <w:p>
      <w:pPr>
        <w:pStyle w:val="BodyText"/>
        <w:numPr>
          <w:numId w:val="58"/>
        </w:numPr>
      </w:pPr>
      <w:r>
        <w:t>Review what regions are available to your organization on the Regions page. You create the namespace in a region that is allocated to your organization.</w:t>
      </w:r>
    </w:p>
    <w:p>
      <w:pPr>
        <w:pStyle w:val="BodyText"/>
        <w:numPr>
          <w:numId w:val="58"/>
        </w:numPr>
      </w:pPr>
      <w:r>
        <w:t xml:space="preserve">Verify that you have a VPC. The VPC provides an isolated networking domain for the namespace.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B0e146cd67fd14f5580c585ace8bd94f7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Virtual Private Cloud in VCF Automation</w:t>
      </w:r>
      <w:r>
        <w:fldChar w:fldCharType="end"/>
      </w:r>
      <w:r>
        <w:t>.</w:t>
      </w:r>
    </w:p>
    <w:p>
      <w:pPr>
        <w:pStyle w:val="BodyText"/>
        <w:numPr>
          <w:numId w:val="58"/>
        </w:numPr>
      </w:pPr>
      <w:r>
        <w:t xml:space="preserve">Verify that you have a namespace class. You must create the namespace class first before you can create a namespace. The namespace settings are based on what is specified in the namespace class.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B3c307d30449946a9b4aa25d9bd8939d7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Namespace Class in VCF Automation</w:t>
      </w:r>
      <w:r>
        <w:fldChar w:fldCharType="end"/>
      </w:r>
      <w:r>
        <w:t>.</w:t>
      </w:r>
    </w:p>
    <w:p>
      <w:pPr>
        <w:pStyle w:val="BodyText"/>
        <w:numPr>
          <w:numId w:val="58"/>
        </w:numPr>
      </w:pPr>
      <w:r>
        <w:t xml:space="preserve">Verify that you have a project. You can only create a namespace from within a project.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B3f2a1ee197f44136b073d107b7db477f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Project in VCF Automation</w:t>
      </w:r>
      <w:r>
        <w:fldChar w:fldCharType="end"/>
      </w:r>
      <w:r>
        <w:t>.</w:t>
      </w:r>
    </w:p>
    <w:p>
      <w:pPr>
        <w:pStyle w:val="BodyText"/>
      </w:pPr>
      <w:r>
        <w:rPr>
          <w:rStyle w:val="Strong"/>
        </w:rPr>
        <w:t>Procedure</w:t>
      </w:r>
    </w:p>
    <w:p>
      <w:pPr>
        <w:pStyle w:val="BodyText"/>
        <w:numPr>
          <w:numId w:val="59"/>
        </w:numPr>
      </w:pPr>
      <w:r>
        <w:t xml:space="preserve">Log in to the </w:t>
      </w:r>
      <w:r>
        <w:t>VCF Automation</w:t>
      </w:r>
      <w:r>
        <w:t xml:space="preserve"> organization portal as an organization administrator.</w:t>
      </w:r>
    </w:p>
    <w:p>
      <w:pPr>
        <w:pStyle w:val="BodyText"/>
        <w:numPr>
          <w:numId w:val="59"/>
        </w:numPr>
      </w:pPr>
      <w:r>
        <w:t xml:space="preserve">Select </w:t>
      </w:r>
      <w:r>
        <w:rPr>
          <w:rStyle w:val="InlineUI"/>
        </w:rPr>
        <w:t>Manage &amp; Govern</w:t>
      </w:r>
      <w:r>
        <w:rPr>
          <w:rStyle w:val="InlineUI"/>
        </w:rPr>
        <w:t xml:space="preserve"> &gt; </w:t>
      </w:r>
      <w:r>
        <w:rPr>
          <w:rStyle w:val="InlineUI"/>
        </w:rPr>
        <w:t>Projects</w:t>
      </w:r>
      <w:r>
        <w:t xml:space="preserve"> and select a project.</w:t>
      </w:r>
    </w:p>
    <w:p>
      <w:pPr>
        <w:pStyle w:val="BodyText"/>
        <w:numPr>
          <w:numId w:val="59"/>
        </w:numPr>
      </w:pPr>
      <w:r>
        <w:t xml:space="preserve">Click the </w:t>
      </w:r>
      <w:r>
        <w:rPr>
          <w:rStyle w:val="InlineUI"/>
        </w:rPr>
        <w:t>Namespaces</w:t>
      </w:r>
      <w:r>
        <w:t xml:space="preserve"> tab and click </w:t>
      </w:r>
      <w:r>
        <w:rPr>
          <w:rStyle w:val="InlineUI"/>
        </w:rPr>
        <w:t>New Namespace</w:t>
      </w:r>
      <w:r>
        <w:t>.</w:t>
      </w:r>
    </w:p>
    <w:p>
      <w:pPr>
        <w:pStyle w:val="BodyText"/>
        <w:numPr>
          <w:numId w:val="59"/>
        </w:numPr>
      </w:pPr>
      <w:r>
        <w:t>Enter a name for the namespace.</w:t>
      </w:r>
    </w:p>
    <w:p>
      <w:pPr>
        <w:pStyle w:val="BodyText"/>
        <w:ind w:left="480"/>
      </w:pPr>
      <w:r>
        <w:t xml:space="preserve">A unique suffix is added to the name you enter. For example, if the name you entered is </w:t>
      </w:r>
      <w:r>
        <w:t>mynamespace</w:t>
      </w:r>
      <w:r>
        <w:t xml:space="preserve">, upon creation, the namespace might be called </w:t>
      </w:r>
      <w:r>
        <w:t>mynamespace-abcxyz</w:t>
      </w:r>
      <w:r>
        <w:t>.</w:t>
      </w:r>
    </w:p>
    <w:p>
      <w:pPr>
        <w:pStyle w:val="BodyText"/>
        <w:numPr>
          <w:numId w:val="59"/>
        </w:numPr>
      </w:pPr>
      <w:r>
        <w:t>Select a namespace class.</w:t>
      </w:r>
    </w:p>
    <w:p>
      <w:pPr>
        <w:pStyle w:val="BodyText"/>
        <w:ind w:left="480"/>
      </w:pPr>
      <w:r>
        <w:t>The namespace inherits the configuration of the namespace class.</w:t>
      </w:r>
    </w:p>
    <w:p>
      <w:pPr>
        <w:pStyle w:val="BodyText"/>
        <w:numPr>
          <w:numId w:val="59"/>
        </w:numPr>
      </w:pPr>
      <w:r>
        <w:t>Select a region where you want the namespace to be available.</w:t>
      </w:r>
    </w:p>
    <w:p>
      <w:pPr>
        <w:pStyle w:val="BodyText"/>
        <w:ind w:left="480"/>
      </w:pPr>
      <w:r>
        <w:t>The region groups the resources that are allocated to the organization.</w:t>
      </w:r>
    </w:p>
    <w:p>
      <w:pPr>
        <w:pStyle w:val="BodyText"/>
        <w:numPr>
          <w:numId w:val="59"/>
        </w:numPr>
      </w:pPr>
      <w:r>
        <w:t>Select a VPC.</w:t>
      </w:r>
    </w:p>
    <w:p>
      <w:pPr>
        <w:pStyle w:val="BodyText"/>
        <w:numPr>
          <w:numId w:val="59"/>
        </w:numPr>
      </w:pPr>
      <w:r>
        <w:t>Select a zone.</w:t>
      </w:r>
    </w:p>
    <w:p>
      <w:pPr>
        <w:pStyle w:val="BodyText"/>
        <w:ind w:left="480"/>
      </w:pPr>
      <w:r>
        <w:t>You select zones that are available for the selected region. Depending on what is available, you can select up to three zones.</w:t>
      </w:r>
    </w:p>
    <w:p>
      <w:pPr>
        <w:pStyle w:val="BodyText"/>
        <w:numPr>
          <w:numId w:val="59"/>
        </w:numPr>
      </w:pPr>
      <w:r>
        <w:t>If you want to override the predefined resource limits and reservations for the zone you selected in the previous step, turn on the toggle and enter new values.</w:t>
      </w:r>
    </w:p>
    <w:p>
      <w:pPr>
        <w:pStyle w:val="BodyText"/>
        <w:numPr>
          <w:numId w:val="59"/>
        </w:numPr>
      </w:pPr>
      <w:r>
        <w:t xml:space="preserve">Click </w:t>
      </w:r>
      <w:r>
        <w:rPr>
          <w:rStyle w:val="InlineUI"/>
        </w:rPr>
        <w:t>Create</w:t>
      </w:r>
      <w:r>
        <w:t>.</w:t>
      </w:r>
    </w:p>
    <w:p>
      <w:pPr>
        <w:pStyle w:val="BodyText"/>
      </w:pPr>
      <w:r>
        <w:rPr>
          <w:rStyle w:val="Strong"/>
        </w:rPr>
        <w:t>What to do next</w:t>
      </w:r>
    </w:p>
    <w:p>
      <w:pPr>
        <w:pStyle w:val="BodyText"/>
        <w:numPr>
          <w:numId w:val="60"/>
        </w:numPr>
      </w:pPr>
      <w:r>
        <w:t xml:space="preserve">Once your namespace is created, you can view details about your namespace at </w:t>
      </w:r>
      <w:r>
        <w:rPr>
          <w:rStyle w:val="InlineUI"/>
        </w:rPr>
        <w:t>Projects</w:t>
      </w:r>
      <w:r>
        <w:rPr>
          <w:rStyle w:val="InlineUI"/>
        </w:rPr>
        <w:t xml:space="preserve"> &gt; </w:t>
      </w:r>
      <w:r>
        <w:rPr>
          <w:rStyle w:val="InlineUI"/>
        </w:rPr>
        <w:t>Namespaces</w:t>
      </w:r>
      <w:r>
        <w:t xml:space="preserve"> or </w:t>
      </w:r>
      <w:r>
        <w:rPr>
          <w:rStyle w:val="InlineUI"/>
        </w:rPr>
        <w:t>Manage &amp; Govern</w:t>
      </w:r>
      <w:r>
        <w:rPr>
          <w:rStyle w:val="InlineUI"/>
        </w:rPr>
        <w:t xml:space="preserve"> &gt; </w:t>
      </w:r>
      <w:r>
        <w:rPr>
          <w:rStyle w:val="InlineUI"/>
        </w:rPr>
        <w:t>Namespaces</w:t>
      </w:r>
      <w:r>
        <w:t>. Click the double arrow next to the namespace name to view the details page.</w:t>
      </w:r>
    </w:p>
    <w:p>
      <w:pPr>
        <w:pStyle w:val="BodyText"/>
        <w:numPr>
          <w:numId w:val="60"/>
        </w:numPr>
      </w:pPr>
      <w:r>
        <w:t xml:space="preserve">Clicking the namespace name on the details page takes you to the Overview page in the Services section, which shows you all IaaS services that are enabled for the namespace, for example, VM Service, Kubernetes Services, Volume Service, and so on. To access a service, click the respective tile. Use the </w:t>
      </w:r>
      <w:r>
        <w:rPr>
          <w:rStyle w:val="InlineUI"/>
        </w:rPr>
        <w:t>Monitor</w:t>
      </w:r>
      <w:r>
        <w:t xml:space="preserve"> tab on the Overview page to view metrics about the namespace. </w:t>
      </w:r>
    </w:p>
    <w:p>
      <w:pPr>
        <w:pStyle w:val="Heading3"/>
      </w:pPr>
      <w:bookmarkStart w:id="83" w:name="Bd9003913a7bf482381ad61b70de8e92f"/>
      <w:bookmarkStart w:id="84" w:name="_Toc256000638"/>
      <w:r>
        <w:t>Assign Project Roles to Users and Groups in VCF Automation</w:t>
      </w:r>
      <w:bookmarkEnd w:id="84"/>
      <w:bookmarkEnd w:id="83"/>
    </w:p>
    <w:p>
      <w:pPr>
        <w:pStyle w:val="BodyText"/>
      </w:pPr>
      <w:r>
        <w:t>As an organization administrator, you assign project roles to users in your organization so that they can view and provision project resources.</w:t>
      </w:r>
    </w:p>
    <w:p>
      <w:pPr>
        <w:pStyle w:val="BodyText"/>
      </w:pPr>
      <w:r>
        <w:rPr>
          <w:rStyle w:val="Strong"/>
        </w:rPr>
        <w:t>Prerequisites</w:t>
      </w:r>
    </w:p>
    <w:p>
      <w:pPr>
        <w:pStyle w:val="BodyText"/>
        <w:numPr>
          <w:numId w:val="61"/>
        </w:numPr>
      </w:pPr>
      <w:r>
        <w:t xml:space="preserve">Users and user groups have been imported from a valid identity provider instance that is associated with your </w:t>
      </w:r>
      <w:r>
        <w:t>VCF Automation</w:t>
      </w:r>
      <w:r>
        <w:t xml:space="preserve"> organization.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B76b0ccde26494ba8876fe02fe2817cb4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Identity Providers in VCF Automation Organizations</w:t>
      </w:r>
      <w:r>
        <w:fldChar w:fldCharType="end"/>
      </w:r>
    </w:p>
    <w:p>
      <w:pPr>
        <w:pStyle w:val="BodyText"/>
        <w:numPr>
          <w:numId w:val="61"/>
        </w:numPr>
      </w:pPr>
      <w:r>
        <w:t xml:space="preserve">Users and user groups have been assigned organization roles.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B5b01daa815c74b2dae7c37d44b26b2fd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Users and Assign Roles in VCF Automation</w:t>
      </w:r>
      <w:r>
        <w:fldChar w:fldCharType="end"/>
      </w:r>
    </w:p>
    <w:p>
      <w:pPr>
        <w:pStyle w:val="BodyText"/>
        <w:numPr>
          <w:numId w:val="61"/>
        </w:numPr>
      </w:pPr>
      <w:r>
        <w:t xml:space="preserve">Verify that you have a project.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B3f2a1ee197f44136b073d107b7db477f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Project in VCF Automation</w:t>
      </w:r>
      <w:r>
        <w:fldChar w:fldCharType="end"/>
      </w:r>
      <w:r>
        <w:t>.</w:t>
      </w:r>
    </w:p>
    <w:p>
      <w:pPr>
        <w:pStyle w:val="BodyText"/>
        <w:numPr>
          <w:numId w:val="61"/>
        </w:numPr>
      </w:pPr>
      <w:r>
        <w:t xml:space="preserve">For a more detailed task and role list for various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Bc7dafcec32204a4cb0ab641866c8c2ca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Predefined Roles and Permissions in VCF Automation</w:t>
      </w:r>
      <w:r>
        <w:fldChar w:fldCharType="end"/>
      </w:r>
      <w:r>
        <w:t>.</w:t>
      </w:r>
    </w:p>
    <w:p>
      <w:pPr>
        <w:pStyle w:val="BodyText"/>
      </w:pPr>
      <w:r>
        <w:rPr>
          <w:rStyle w:val="Strong"/>
        </w:rPr>
        <w:t>Procedure</w:t>
      </w:r>
    </w:p>
    <w:p>
      <w:pPr>
        <w:pStyle w:val="BodyText"/>
        <w:numPr>
          <w:numId w:val="62"/>
        </w:numPr>
      </w:pPr>
      <w:r>
        <w:t xml:space="preserve">Log in to the </w:t>
      </w:r>
      <w:r>
        <w:t>VCF Automation</w:t>
      </w:r>
      <w:r>
        <w:t xml:space="preserve"> organization portal as an organization administrator.</w:t>
      </w:r>
    </w:p>
    <w:p>
      <w:pPr>
        <w:pStyle w:val="BodyText"/>
        <w:numPr>
          <w:numId w:val="62"/>
        </w:numPr>
      </w:pPr>
      <w:r>
        <w:t xml:space="preserve">Select </w:t>
      </w:r>
      <w:r>
        <w:rPr>
          <w:rStyle w:val="InlineUI"/>
        </w:rPr>
        <w:t>Manage &amp; Govern</w:t>
      </w:r>
      <w:r>
        <w:rPr>
          <w:rStyle w:val="InlineUI"/>
        </w:rPr>
        <w:t xml:space="preserve"> &gt; </w:t>
      </w:r>
      <w:r>
        <w:rPr>
          <w:rStyle w:val="InlineUI"/>
        </w:rPr>
        <w:t>Projects</w:t>
      </w:r>
      <w:r>
        <w:t>.</w:t>
      </w:r>
    </w:p>
    <w:p>
      <w:pPr>
        <w:pStyle w:val="BodyText"/>
        <w:numPr>
          <w:numId w:val="62"/>
        </w:numPr>
      </w:pPr>
      <w:r>
        <w:t>Open the project to which you want to add users.</w:t>
      </w:r>
    </w:p>
    <w:p>
      <w:pPr>
        <w:pStyle w:val="BodyText"/>
        <w:numPr>
          <w:numId w:val="62"/>
        </w:numPr>
      </w:pPr>
      <w:r>
        <w:t xml:space="preserve">On the </w:t>
      </w:r>
      <w:r>
        <w:rPr>
          <w:rStyle w:val="InlineUI"/>
        </w:rPr>
        <w:t>Users</w:t>
      </w:r>
      <w:r>
        <w:t xml:space="preserve"> tab, click </w:t>
      </w:r>
      <w:r>
        <w:rPr>
          <w:rStyle w:val="InlineUI"/>
        </w:rPr>
        <w:t>Add Users</w:t>
      </w:r>
      <w:r>
        <w:t xml:space="preserve"> or </w:t>
      </w:r>
      <w:r>
        <w:rPr>
          <w:rStyle w:val="InlineUI"/>
        </w:rPr>
        <w:t>Add Groups</w:t>
      </w:r>
      <w:r>
        <w:t>.</w:t>
      </w:r>
    </w:p>
    <w:p>
      <w:pPr>
        <w:pStyle w:val="BodyText"/>
        <w:numPr>
          <w:numId w:val="62"/>
        </w:numPr>
      </w:pPr>
      <w:r>
        <w:t>Enter the names or email addresses of the users or groups you want to add.</w:t>
      </w:r>
    </w:p>
    <w:p>
      <w:pPr>
        <w:pStyle w:val="BodyText"/>
        <w:ind w:left="480"/>
      </w:pPr>
      <w:r>
        <w:t>For example, tony@mycompany.com, sylvia@mycompany.com.</w:t>
      </w:r>
    </w:p>
    <w:p>
      <w:pPr>
        <w:pStyle w:val="BodyText"/>
        <w:ind w:left="480"/>
      </w:pPr>
      <w:r>
        <w:t>If you are adding users, you can import a CSV list.</w:t>
      </w:r>
    </w:p>
    <w:p>
      <w:pPr>
        <w:pStyle w:val="BodyText"/>
        <w:numPr>
          <w:numId w:val="62"/>
        </w:numPr>
      </w:pPr>
      <w:r>
        <w:t>Assign a role to the users or groups.</w:t>
      </w:r>
    </w:p>
    <w:p>
      <w:pPr>
        <w:pStyle w:val="BodyText"/>
        <w:numPr>
          <w:numId w:val="62"/>
        </w:numPr>
      </w:pPr>
      <w:r>
        <w:t xml:space="preserve">Click </w:t>
      </w:r>
      <w:r>
        <w:rPr>
          <w:rStyle w:val="InlineUI"/>
        </w:rPr>
        <w:t>Add</w:t>
      </w:r>
      <w:r>
        <w:t>.</w:t>
      </w:r>
    </w:p>
    <w:p>
      <w:pPr>
        <w:pStyle w:val="Heading2"/>
      </w:pPr>
      <w:bookmarkStart w:id="85" w:name="_Toc256000639"/>
      <w:r>
        <w:t>Managing Blueprints in VCF Automation</w:t>
      </w:r>
      <w:bookmarkEnd w:id="85"/>
    </w:p>
    <w:p>
      <w:pPr>
        <w:pStyle w:val="BodyText"/>
      </w:pPr>
      <w:r>
        <w:t>A blueprint is a declarative template used to define and automate the deployment of infrastructure, applications, and services. It allows users to model complex cloud resources, such as VMs, networks, storage, and software components. Blueprints orchestrate the deployment of multiple resource in the VCF platform. It acts as a reusable design for deploying resources and services consistently. A design canvas is used to create a blueprint. YAML code is automatically generated. It describes infrastructure as code. The code editor also allows to type code directly or enter values.</w:t>
      </w:r>
    </w:p>
    <w:p>
      <w:pPr>
        <w:pStyle w:val="SectionHeading3"/>
      </w:pPr>
      <w:bookmarkStart w:id="86" w:name="_Toc256000640"/>
      <w:r>
        <w:t>Blueprint Features</w:t>
      </w:r>
      <w:bookmarkEnd w:id="86"/>
    </w:p>
    <w:p>
      <w:pPr>
        <w:pStyle w:val="BodyText"/>
        <w:numPr>
          <w:numId w:val="63"/>
        </w:numPr>
      </w:pPr>
      <w:r>
        <w:rPr>
          <w:rStyle w:val="InlineUI"/>
        </w:rPr>
        <w:t>Blueprint designer.</w:t>
      </w:r>
      <w:r>
        <w:t xml:space="preserve"> The Blueprint Designer offers a single interface to create blueprints for various resource types, including single machines, multi-machi deployments, and multi-tiered applications.</w:t>
      </w:r>
    </w:p>
    <w:p>
      <w:pPr>
        <w:pStyle w:val="BodyText"/>
        <w:numPr>
          <w:numId w:val="63"/>
        </w:numPr>
      </w:pPr>
      <w:r>
        <w:rPr>
          <w:rStyle w:val="InlineUI"/>
        </w:rPr>
        <w:t>Declarative Infrastructure-as-Code.</w:t>
      </w:r>
      <w:r>
        <w:t xml:space="preserve"> Blueprints define the desired state of the infrastructure using YAML or a visual designer, rather than specifying step-by-step instructions.</w:t>
      </w:r>
    </w:p>
    <w:p>
      <w:pPr>
        <w:pStyle w:val="BodyText"/>
        <w:numPr>
          <w:numId w:val="63"/>
        </w:numPr>
      </w:pPr>
      <w:r>
        <w:rPr>
          <w:rStyle w:val="InlineUI"/>
        </w:rPr>
        <w:t>Reusability and versioning.</w:t>
      </w:r>
      <w:r>
        <w:t xml:space="preserve"> Blueprints can be versioned, imported, exported (YAML format), and shared across projects or even tenants, promoting reusability and collaboration.</w:t>
      </w:r>
    </w:p>
    <w:p>
      <w:pPr>
        <w:pStyle w:val="BodyText"/>
        <w:numPr>
          <w:numId w:val="63"/>
        </w:numPr>
      </w:pPr>
      <w:r>
        <w:rPr>
          <w:rStyle w:val="InlineUI"/>
        </w:rPr>
        <w:t>Self-Service provisioning.</w:t>
      </w:r>
      <w:r>
        <w:t>VCF Automation</w:t>
      </w:r>
      <w:r>
        <w:t xml:space="preserve"> provides self-service portals where users can deploy and manage resources based on pre-defined blueprints.</w:t>
      </w:r>
    </w:p>
    <w:p>
      <w:pPr>
        <w:pStyle w:val="BodyText"/>
        <w:numPr>
          <w:numId w:val="63"/>
        </w:numPr>
      </w:pPr>
      <w:r>
        <w:rPr>
          <w:rStyle w:val="InlineUI"/>
        </w:rPr>
        <w:t>Inputs and Customization.</w:t>
      </w:r>
      <w:r>
        <w:t xml:space="preserve"> Blueprint inputs enable customization during deployment, allowing users to select options like machine size or image.</w:t>
      </w:r>
    </w:p>
    <w:p>
      <w:pPr>
        <w:pStyle w:val="BodyText"/>
        <w:numPr>
          <w:numId w:val="63"/>
        </w:numPr>
      </w:pPr>
      <w:r>
        <w:rPr>
          <w:rStyle w:val="InlineUI"/>
        </w:rPr>
        <w:t>Governance.</w:t>
      </w:r>
      <w:r>
        <w:t xml:space="preserve"> To ensure consistency, reusability, and governance across environments.</w:t>
      </w:r>
    </w:p>
    <w:p>
      <w:pPr>
        <w:pStyle w:val="BodyText"/>
        <w:numPr>
          <w:numId w:val="63"/>
        </w:numPr>
      </w:pPr>
      <w:r>
        <w:rPr>
          <w:rStyle w:val="InlineUI"/>
        </w:rPr>
        <w:t>Day 2 operations.</w:t>
      </w:r>
      <w:r>
        <w:t xml:space="preserve"> Blueprints support day 2 operations, allowing for updates, modifications, and management of existing deployments.</w:t>
      </w:r>
    </w:p>
    <w:p>
      <w:pPr>
        <w:pStyle w:val="SectionHeading3"/>
      </w:pPr>
      <w:bookmarkStart w:id="87" w:name="_Toc256000641"/>
      <w:r>
        <w:t>Blueprint Concepts</w:t>
      </w:r>
      <w:bookmarkEnd w:id="87"/>
    </w:p>
    <w:p>
      <w:pPr>
        <w:pStyle w:val="BodyText"/>
        <w:numPr>
          <w:numId w:val="64"/>
        </w:numPr>
      </w:pPr>
      <w:r>
        <w:rPr>
          <w:rStyle w:val="InlineUI"/>
        </w:rPr>
        <w:t>Versioning.</w:t>
      </w:r>
      <w:r>
        <w:t xml:space="preserve"> Blueprints can be versioned. At deployment time, you can select any of your versions to deploy.</w:t>
      </w:r>
    </w:p>
    <w:p>
      <w:pPr>
        <w:pStyle w:val="BodyText"/>
        <w:numPr>
          <w:numId w:val="64"/>
        </w:numPr>
      </w:pPr>
      <w:r>
        <w:rPr>
          <w:rStyle w:val="InlineUI"/>
        </w:rPr>
        <w:t>Resource objects.</w:t>
      </w:r>
      <w:r>
        <w:t xml:space="preserve"> Resource objects represent the infrastructure components and services that are provisioned and managed in a blueprint.</w:t>
      </w:r>
    </w:p>
    <w:p>
      <w:pPr>
        <w:pStyle w:val="BodyText"/>
        <w:numPr>
          <w:numId w:val="64"/>
        </w:numPr>
      </w:pPr>
      <w:r>
        <w:rPr>
          <w:rStyle w:val="InlineUI"/>
        </w:rPr>
        <w:t>Dependencies between resources in blueprints.</w:t>
      </w:r>
      <w:r>
        <w:t xml:space="preserve"> When you deploy a </w:t>
      </w:r>
      <w:r>
        <w:t>VCF Automation</w:t>
      </w:r>
      <w:r>
        <w:t xml:space="preserve"> blueprint, one resource might need another resource to be available first.</w:t>
      </w:r>
    </w:p>
    <w:p>
      <w:pPr>
        <w:pStyle w:val="BodyText"/>
        <w:numPr>
          <w:numId w:val="64"/>
        </w:numPr>
      </w:pPr>
      <w:r>
        <w:rPr>
          <w:rStyle w:val="InlineUI"/>
        </w:rPr>
        <w:t>Instances.</w:t>
      </w:r>
      <w:r>
        <w:t xml:space="preserve"> Instances are created when blueprints are deployed from the catalog.</w:t>
      </w:r>
    </w:p>
    <w:p>
      <w:pPr>
        <w:pStyle w:val="BodyText"/>
        <w:numPr>
          <w:numId w:val="64"/>
        </w:numPr>
      </w:pPr>
      <w:r>
        <w:rPr>
          <w:rStyle w:val="InlineUI"/>
        </w:rPr>
        <w:t>Day 2 actions.</w:t>
      </w:r>
      <w:r>
        <w:t xml:space="preserve"> Actions that can be performed on the provisioned resource objects.</w:t>
      </w:r>
    </w:p>
    <w:p>
      <w:pPr>
        <w:pStyle w:val="BodyText"/>
        <w:numPr>
          <w:numId w:val="64"/>
        </w:numPr>
      </w:pPr>
      <w:r>
        <w:rPr>
          <w:rStyle w:val="InlineUI"/>
        </w:rPr>
        <w:t>Property groups.</w:t>
      </w:r>
      <w:r>
        <w:t xml:space="preserve"> Instead of defining the same properties repeatedly across multiple blueprints, property groups enable you to define them once and then link them to various resources. This promotes consistency and simplifies management, as updates to a property group are automatically reflected in all linked templates.</w:t>
      </w:r>
    </w:p>
    <w:p>
      <w:pPr>
        <w:pStyle w:val="BodyText"/>
        <w:numPr>
          <w:numId w:val="64"/>
        </w:numPr>
      </w:pPr>
      <w:r>
        <w:rPr>
          <w:rStyle w:val="InlineUI"/>
        </w:rPr>
        <w:t>Property bindings.</w:t>
      </w:r>
      <w:r>
        <w:t xml:space="preserve"> Sometimes, a resource property needs a value found in a property of another resource. For example, a backup server might need the operating system image of the database server that is being backed up, so the database server must exist first.</w:t>
      </w:r>
    </w:p>
    <w:p>
      <w:pPr>
        <w:pStyle w:val="BodyText"/>
        <w:numPr>
          <w:numId w:val="64"/>
        </w:numPr>
      </w:pPr>
      <w:r>
        <w:rPr>
          <w:rStyle w:val="InlineUI"/>
        </w:rPr>
        <w:t>Custom forms.</w:t>
      </w:r>
      <w:r>
        <w:t xml:space="preserve"> Allows users to design and customize request forms for catalog items, providing a tailored user experience for submitting requests. They can be designed with a drag-and-drop interface and configured with various properties, including conditional logic and external data sources.</w:t>
      </w:r>
    </w:p>
    <w:p>
      <w:pPr>
        <w:pStyle w:val="BodyText"/>
        <w:numPr>
          <w:numId w:val="64"/>
        </w:numPr>
      </w:pPr>
      <w:r>
        <w:rPr>
          <w:rStyle w:val="InlineUI"/>
        </w:rPr>
        <w:t>Custom resources.</w:t>
      </w:r>
      <w:r>
        <w:t>VCF Automation</w:t>
      </w:r>
      <w:r>
        <w:t xml:space="preserve"> supports the use of custom resources within blueprints to extend automation capabilities beyond native resource types. These custom resources are built upon </w:t>
      </w:r>
      <w:r>
        <w:t>VCF Operations orchestrator</w:t>
      </w:r>
      <w:r>
        <w:t xml:space="preserve"> workflows and can represent a resource.</w:t>
      </w:r>
    </w:p>
    <w:p>
      <w:pPr>
        <w:pStyle w:val="SectionHeading3"/>
      </w:pPr>
      <w:bookmarkStart w:id="88" w:name="_Toc256000642"/>
      <w:r>
        <w:t>When to Use Blueprints</w:t>
      </w:r>
      <w:bookmarkEnd w:id="88"/>
    </w:p>
    <w:p>
      <w:pPr>
        <w:pStyle w:val="BodyText"/>
      </w:pPr>
      <w:r>
        <w:t>Blueprints allow you to streamline and automate the deployment process, ensuring consistency and reducing manual effort.</w:t>
      </w:r>
    </w:p>
    <w:p>
      <w:pPr>
        <w:pStyle w:val="BodyText"/>
      </w:pPr>
      <w:r>
        <w:t>With blueprints, you can model complex IT services by visually designing infrastructure components like VMs, networks, and storage. You can use blueprints when you want to hide the complexities of the infrastructure provisioning from the end user.</w:t>
      </w:r>
    </w:p>
    <w:p>
      <w:pPr>
        <w:pStyle w:val="BodyText"/>
      </w:pPr>
      <w:r>
        <w:t xml:space="preserve">You can publish blueprints to the self-service </w:t>
      </w:r>
      <w:r>
        <w:t>VCF Automation</w:t>
      </w:r>
      <w:r>
        <w:t xml:space="preserve"> catalog which allows users to request and deploy services based on predefined templates.</w:t>
      </w:r>
    </w:p>
    <w:p>
      <w:pPr>
        <w:pStyle w:val="SectionHeading3"/>
      </w:pPr>
      <w:bookmarkStart w:id="89" w:name="_Toc256000643"/>
      <w:r>
        <w:t>Example Blueprint Scenarios</w:t>
      </w:r>
      <w:bookmarkEnd w:id="89"/>
    </w:p>
    <w:p>
      <w:pPr>
        <w:pStyle w:val="BodyText"/>
        <w:numPr>
          <w:numId w:val="65"/>
        </w:numPr>
      </w:pPr>
      <w:r>
        <w:t>Create a VM via blueprint in an existing namespace.</w:t>
      </w:r>
    </w:p>
    <w:p>
      <w:pPr>
        <w:pStyle w:val="BodyText"/>
        <w:numPr>
          <w:numId w:val="65"/>
        </w:numPr>
      </w:pPr>
      <w:r>
        <w:t>Create a VKS Kubernetes cluster in existing namespace via blueprint.</w:t>
      </w:r>
    </w:p>
    <w:p>
      <w:pPr>
        <w:pStyle w:val="BodyText"/>
        <w:numPr>
          <w:numId w:val="65"/>
        </w:numPr>
      </w:pPr>
      <w:r>
        <w:t>Attach Persistent Volume to a VM.</w:t>
      </w:r>
    </w:p>
    <w:p>
      <w:pPr>
        <w:pStyle w:val="BodyText"/>
        <w:numPr>
          <w:numId w:val="65"/>
        </w:numPr>
      </w:pPr>
      <w:r>
        <w:t>Create a blueprint with Inputs for a VM deployment.</w:t>
      </w:r>
    </w:p>
    <w:p>
      <w:pPr>
        <w:pStyle w:val="BodyText"/>
        <w:numPr>
          <w:numId w:val="65"/>
        </w:numPr>
      </w:pPr>
      <w:r>
        <w:t>Create a Virtual Machine inside a Kubernetes Cluster (VKS).</w:t>
      </w:r>
    </w:p>
    <w:p>
      <w:pPr>
        <w:pStyle w:val="BodyText"/>
        <w:numPr>
          <w:numId w:val="65"/>
        </w:numPr>
      </w:pPr>
      <w:r>
        <w:t>Create a blueprint that defines the infrastructure (e.g., VMs, networks, load balancers) and application components (e.g., web servers, databases) for a multi-tier application.</w:t>
      </w:r>
    </w:p>
    <w:p>
      <w:pPr>
        <w:pStyle w:val="SectionHeading3"/>
      </w:pPr>
      <w:bookmarkStart w:id="90" w:name="_Toc256000644"/>
      <w:r>
        <w:t>Best Practices for Designing Blueprints</w:t>
      </w:r>
      <w:bookmarkEnd w:id="90"/>
    </w:p>
    <w:p>
      <w:pPr>
        <w:pStyle w:val="BodyText"/>
        <w:numPr>
          <w:numId w:val="66"/>
        </w:numPr>
      </w:pPr>
      <w:r>
        <w:t>Leverage input properties in blueprints to allow users to customize deployments while maintaining a degree of control. Consider providing default values for required fields to improve user experience and prevent errors.</w:t>
      </w:r>
    </w:p>
    <w:p>
      <w:pPr>
        <w:pStyle w:val="BodyText"/>
        <w:numPr>
          <w:numId w:val="66"/>
        </w:numPr>
      </w:pPr>
      <w:r>
        <w:t>Establish clear and consistent naming conventions for blueprints, catalog items, and other resources to improve manageability and organization.</w:t>
      </w:r>
    </w:p>
    <w:p>
      <w:pPr>
        <w:pStyle w:val="BodyText"/>
        <w:numPr>
          <w:numId w:val="66"/>
        </w:numPr>
      </w:pPr>
      <w:r>
        <w:t>Using an iterative method to build and version blueprints helps teams adopt Infrastructure-as-Code (IaC) practices. Start with a minimum viable blueprint (MVB) and add features iteratively. Additionally, use tools like Git for version vontrol.</w:t>
      </w:r>
    </w:p>
    <w:p>
      <w:pPr>
        <w:pStyle w:val="SectionHeading3"/>
      </w:pPr>
      <w:bookmarkStart w:id="91" w:name="_Toc256000645"/>
      <w:r>
        <w:t>Sharing Blueprints with Projects and Organizations</w:t>
      </w:r>
      <w:bookmarkEnd w:id="91"/>
    </w:p>
    <w:p>
      <w:pPr>
        <w:pStyle w:val="BodyText"/>
      </w:pPr>
      <w:r>
        <w:t>When you first create a blueprint, you associate it with a project so that when you publish the blueprint to the catalog, users in the selected project can see request and deploy the blueprint. You have the option of making the published blueprint available to other projects in the organization either when you create the blueprint or at a later time.</w:t>
      </w:r>
    </w:p>
    <w:p>
      <w:pPr>
        <w:pStyle w:val="BodyText"/>
      </w:pPr>
      <w:r>
        <w:t>If you are managing a Provider Consumption organization, you can share blueprints with all other organizations under the same provider administrator or you can select specific organizations. After the blueprint is shared, whenever PCO administrator publishes a blueprint to the catalog, the catalog item is shared with the selected organizations. That means one blueprint backs multiple catalog items, one in each organization.</w:t>
      </w:r>
    </w:p>
    <w:p>
      <w:pPr>
        <w:pStyle w:val="BodyText"/>
      </w:pPr>
      <w:r>
        <w:t>When sharing blueprints with other organizations, consider the following limitations.</w:t>
      </w:r>
    </w:p>
    <w:p>
      <w:pPr>
        <w:pStyle w:val="BodyText"/>
        <w:numPr>
          <w:numId w:val="67"/>
        </w:numPr>
      </w:pPr>
      <w:r>
        <w:t>Blueprints that contain any of the following resource types cannot be shared:</w:t>
      </w:r>
    </w:p>
    <w:p>
      <w:pPr>
        <w:pStyle w:val="BodyText"/>
        <w:numPr>
          <w:ilvl w:val="1"/>
          <w:numId w:val="67"/>
        </w:numPr>
      </w:pPr>
      <w:r>
        <w:t>property groups;</w:t>
      </w:r>
    </w:p>
    <w:p>
      <w:pPr>
        <w:pStyle w:val="BodyText"/>
        <w:numPr>
          <w:ilvl w:val="1"/>
          <w:numId w:val="67"/>
        </w:numPr>
      </w:pPr>
      <w:r>
        <w:t>custom resources;</w:t>
      </w:r>
    </w:p>
    <w:p>
      <w:pPr>
        <w:pStyle w:val="BodyText"/>
        <w:numPr>
          <w:ilvl w:val="1"/>
          <w:numId w:val="67"/>
        </w:numPr>
      </w:pPr>
      <w:r>
        <w:t>secrets;</w:t>
      </w:r>
    </w:p>
    <w:p>
      <w:pPr>
        <w:pStyle w:val="BodyText"/>
        <w:numPr>
          <w:ilvl w:val="1"/>
          <w:numId w:val="67"/>
        </w:numPr>
      </w:pPr>
      <w:r>
        <w:t>namespaces;</w:t>
      </w:r>
    </w:p>
    <w:p>
      <w:pPr>
        <w:pStyle w:val="BodyText"/>
        <w:numPr>
          <w:ilvl w:val="1"/>
          <w:numId w:val="67"/>
        </w:numPr>
      </w:pPr>
      <w:r>
        <w:t>VM images from provider tenant content libraries.</w:t>
      </w:r>
    </w:p>
    <w:p>
      <w:pPr>
        <w:pStyle w:val="BodyText"/>
        <w:numPr>
          <w:numId w:val="67"/>
        </w:numPr>
      </w:pPr>
      <w:r>
        <w:t>If a blueprint is shared with an organization, a blueprint version with restrictions cannot be published to the catalog.</w:t>
      </w:r>
    </w:p>
    <w:p>
      <w:pPr>
        <w:pStyle w:val="BodyText"/>
        <w:numPr>
          <w:numId w:val="67"/>
        </w:numPr>
      </w:pPr>
      <w:r>
        <w:t>If a blueprint is not shared with any organizations yet, and it has versions that have restrictions and have been published to the catalog, the blueprint cannot be updated and shared with any organization.</w:t>
      </w:r>
    </w:p>
    <w:p>
      <w:pPr>
        <w:pStyle w:val="Heading3"/>
      </w:pPr>
      <w:bookmarkStart w:id="92" w:name="B56388bdc097941c79fd9505afcd00ea3"/>
      <w:bookmarkStart w:id="93" w:name="_Toc256000646"/>
      <w:r>
        <w:t>Creating Blueprints in VCF Automation</w:t>
      </w:r>
      <w:bookmarkEnd w:id="93"/>
      <w:bookmarkEnd w:id="92"/>
    </w:p>
    <w:p>
      <w:pPr>
        <w:pStyle w:val="BodyText"/>
      </w:pPr>
      <w:r>
        <w:t xml:space="preserve">You use </w:t>
      </w:r>
      <w:r>
        <w:t>VCF Automation</w:t>
      </w:r>
      <w:r>
        <w:t xml:space="preserve"> to create blueprints, which are the fundamental way to define and automate the deployment and management of resources, such as virtual machines, networks, and volumes in a namespace.</w:t>
      </w:r>
    </w:p>
    <w:p>
      <w:pPr>
        <w:pStyle w:val="BodyText"/>
        <w:pBdr>
          <w:top w:val="single" w:sz="8" w:space="2" w:color="D3D3D3"/>
          <w:bottom w:val="single" w:sz="8" w:space="2" w:color="D3D3D3"/>
        </w:pBdr>
      </w:pPr>
      <w:r>
        <w:rPr>
          <w:rStyle w:val="NoteLeaderimportant"/>
        </w:rPr>
        <w:t>Important</w:t>
        <w:tab/>
      </w:r>
      <w:r>
        <w:t xml:space="preserve">Blueprints in </w:t>
      </w:r>
      <w:r>
        <w:t>VCF Automation</w:t>
      </w:r>
      <w:r>
        <w:t xml:space="preserve"> organizations are specific to VMware Cloud Foundation elements. Public cloud capabilities are supported in cloud templates in </w:t>
      </w:r>
      <w:r>
        <w:t>VCF Automation</w:t>
      </w:r>
      <w:r>
        <w:t xml:space="preserve"> for VM Apps organizations. See </w:t>
      </w:r>
      <w:r>
        <w:t>Managing Organizations in for VM Apps</w:t>
      </w:r>
      <w:r>
        <w:t>.</w:t>
      </w:r>
    </w:p>
    <w:p>
      <w:pPr>
        <w:pStyle w:val="SectionHeading4"/>
      </w:pPr>
      <w:bookmarkStart w:id="94" w:name="_Toc256000647"/>
      <w:r>
        <w:t>How blueprints work</w:t>
      </w:r>
      <w:bookmarkEnd w:id="94"/>
    </w:p>
    <w:p>
      <w:pPr>
        <w:pStyle w:val="BodyText"/>
      </w:pPr>
      <w:r>
        <w:t>VCF Automation</w:t>
      </w:r>
      <w:r>
        <w:t xml:space="preserve"> blueprint creation is an infrastructure-as-code process. You start by adding resources in the design canvas. Then, you complete the details using the YAML code editor. The code editor allows you to type code directly or enter values in a form.</w:t>
      </w:r>
    </w:p>
    <w:p>
      <w:pPr>
        <w:pStyle w:val="SectionHeading4"/>
      </w:pPr>
      <w:bookmarkStart w:id="95" w:name="_Toc256000648"/>
      <w:r>
        <w:t>Designing blueprints</w:t>
      </w:r>
      <w:bookmarkEnd w:id="95"/>
    </w:p>
    <w:p>
      <w:pPr>
        <w:pStyle w:val="BodyText"/>
      </w:pPr>
      <w:r>
        <w:t xml:space="preserve">You use the Blueprint Design page to create and design </w:t>
      </w:r>
      <w:r>
        <w:t>VCF Automation</w:t>
      </w:r>
      <w:r>
        <w:t xml:space="preserve"> blueprint specifications for the machines and applications that you want to provision, including property groups, custom resources, and resource actions.</w:t>
      </w:r>
    </w:p>
    <w:p>
      <w:pPr>
        <w:pStyle w:val="SectionHeading4"/>
      </w:pPr>
      <w:bookmarkStart w:id="96" w:name="_Toc256000649"/>
      <w:r>
        <w:t>Working with the Blueprint Design Page</w:t>
      </w:r>
      <w:bookmarkEnd w:id="96"/>
    </w:p>
    <w:p>
      <w:pPr>
        <w:pStyle w:val="BodyText"/>
      </w:pPr>
      <w:r>
        <w:t xml:space="preserve">To create a blueprint from scratch, go to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Blueprint Design</w:t>
      </w:r>
      <w:r>
        <w:t xml:space="preserve">. Then, click </w:t>
      </w:r>
      <w:r>
        <w:rPr>
          <w:rStyle w:val="InlineUI"/>
        </w:rPr>
        <w:t>New from</w:t>
      </w:r>
      <w:r>
        <w:rPr>
          <w:rStyle w:val="InlineUI"/>
        </w:rPr>
        <w:t xml:space="preserve"> &gt; </w:t>
      </w:r>
      <w:r>
        <w:rPr>
          <w:rStyle w:val="InlineUI"/>
        </w:rPr>
        <w:t>Blank canvas</w:t>
      </w:r>
      <w:r>
        <w:t>.</w:t>
      </w:r>
    </w:p>
    <w:p>
      <w:pPr>
        <w:pStyle w:val="BodyText"/>
      </w:pPr>
      <w:r>
        <w:t>Note that other options allow you to create the blueprint from another, existing Automation blueprint to which you have access.</w:t>
      </w:r>
    </w:p>
    <w:p>
      <w:pPr>
        <w:pStyle w:val="BodyText"/>
      </w:pPr>
      <w:r>
        <w:t>Once you have created the blueprint, you can populate it by adding and configuring resources as shown below.</w:t>
      </w:r>
    </w:p>
    <w:p>
      <w:pPr>
        <w:pStyle w:val="BodyText"/>
        <w:numPr>
          <w:numId w:val="68"/>
        </w:numPr>
      </w:pPr>
      <w:r>
        <w:t>Locate resources.</w:t>
      </w:r>
    </w:p>
    <w:p>
      <w:pPr>
        <w:pStyle w:val="BodyText"/>
        <w:numPr>
          <w:numId w:val="68"/>
        </w:numPr>
      </w:pPr>
      <w:r>
        <w:t>Drag resources to the canvas.</w:t>
      </w:r>
    </w:p>
    <w:p>
      <w:pPr>
        <w:pStyle w:val="BodyText"/>
        <w:numPr>
          <w:numId w:val="68"/>
        </w:numPr>
      </w:pPr>
      <w:r>
        <w:t>Connect resources.</w:t>
      </w:r>
    </w:p>
    <w:p>
      <w:pPr>
        <w:pStyle w:val="BodyText"/>
        <w:numPr>
          <w:numId w:val="68"/>
        </w:numPr>
      </w:pPr>
      <w:r>
        <w:t>Configure resources by editing the blueprint code.</w:t>
      </w:r>
    </w:p>
    <w:p>
      <w:pPr>
        <w:pStyle w:val="SectionHeading4"/>
      </w:pPr>
      <w:bookmarkStart w:id="97" w:name="_Toc256000650"/>
      <w:r>
        <w:t>Selecting and adding resources to the design canvas</w:t>
      </w:r>
      <w:bookmarkEnd w:id="97"/>
    </w:p>
    <w:p>
      <w:pPr>
        <w:pStyle w:val="BodyText"/>
      </w:pPr>
      <w:r>
        <w:t>Resources appear at the left of the design page for selecting and dragging.</w:t>
      </w:r>
    </w:p>
    <w:p>
      <w:pPr>
        <w:pStyle w:val="BodyText"/>
      </w:pPr>
      <w:r>
        <w:t xml:space="preserve">When you drag and drop a VM element onto the canvas, it automatically adds a supervisor namespace component, which has some properties to be provided, for example, </w:t>
      </w:r>
      <w:r>
        <w:rPr>
          <w:rStyle w:val="InlineCode"/>
        </w:rPr>
        <w:t>name</w:t>
      </w:r>
      <w:r>
        <w:t xml:space="preserve"> - is this name something that you provide or is some predefined name that you need to select from. The same is valid for the VM properties - className is new, imageName is also new and having in mind that we don't have image mappings in All Apps it is not clear what this imageName has to be; we need to explain to the customers where to take the value for imageName (and all other properties - className, storageClass etc.)</w:t>
      </w:r>
    </w:p>
    <w:p>
      <w:pPr>
        <w:pStyle w:val="SectionHeading4"/>
      </w:pPr>
      <w:bookmarkStart w:id="98" w:name="_Toc256000651"/>
      <w:r>
        <w:t>Connecting resources</w:t>
      </w:r>
      <w:bookmarkEnd w:id="98"/>
    </w:p>
    <w:p>
      <w:pPr>
        <w:pStyle w:val="BodyText"/>
      </w:pPr>
      <w:r>
        <w:t>Use the design canvas graphical controls to connect resources. Resources must be compatible for a connection.</w:t>
      </w:r>
    </w:p>
    <w:p>
      <w:pPr>
        <w:pStyle w:val="BodyText"/>
      </w:pPr>
      <w:r>
        <w:t>To connect, hover over the edge of a resource to reveal the connection bubble. Then, click and drag the bubble to the target resource and release.</w:t>
      </w:r>
    </w:p>
    <w:p>
      <w:pPr>
        <w:pStyle w:val="BodyText"/>
      </w:pPr>
      <w:r>
        <w:t>If your resources have a context-driven relationship, you can drop them in a nested configuration with the following rules:</w:t>
      </w:r>
    </w:p>
    <w:p>
      <w:pPr>
        <w:pStyle w:val="BodyText"/>
        <w:numPr>
          <w:numId w:val="69"/>
        </w:numPr>
      </w:pPr>
      <w:r>
        <w:rPr>
          <w:rStyle w:val="InlineCode"/>
        </w:rPr>
        <w:t>CCI.Supervisor.Namespace</w:t>
      </w:r>
      <w:r>
        <w:t xml:space="preserve"> Drop directly onto canvas.</w:t>
      </w:r>
    </w:p>
    <w:p>
      <w:pPr>
        <w:pStyle w:val="BodyText"/>
        <w:numPr>
          <w:numId w:val="69"/>
        </w:numPr>
      </w:pPr>
      <w:r>
        <w:rPr>
          <w:rStyle w:val="InlineCode"/>
        </w:rPr>
        <w:t>CCI.Supervisor.Resource</w:t>
      </w:r>
      <w:r>
        <w:t xml:space="preserve"> Drop onto a </w:t>
      </w:r>
      <w:r>
        <w:rPr>
          <w:rStyle w:val="InlineCode"/>
        </w:rPr>
        <w:t>CCI.Supervisor.Namespace</w:t>
      </w:r>
      <w:r>
        <w:t xml:space="preserve"> resource or directly on canvas.</w:t>
      </w:r>
    </w:p>
    <w:p>
      <w:pPr>
        <w:pStyle w:val="BodyText"/>
      </w:pPr>
      <w:r>
        <w:t>In the code editor, additional code for the source resource appears in the target resource code.</w:t>
      </w:r>
    </w:p>
    <w:p>
      <w:pPr>
        <w:pStyle w:val="SectionHeading4"/>
      </w:pPr>
      <w:bookmarkStart w:id="99" w:name="_Toc256000652"/>
      <w:r>
        <w:t>Editing blueprint code</w:t>
      </w:r>
      <w:bookmarkEnd w:id="99"/>
    </w:p>
    <w:p>
      <w:pPr>
        <w:pStyle w:val="BodyText"/>
      </w:pPr>
      <w:r>
        <w:t xml:space="preserve">The code editor allows you to type, cut, copy, and paste code directly. If you're uncomfortable editing code, you can click a resource that's already in the design canvas, click the code editor </w:t>
      </w:r>
      <w:r>
        <w:rPr>
          <w:rStyle w:val="InlineUI"/>
        </w:rPr>
        <w:t>Properties</w:t>
      </w:r>
      <w:r>
        <w:t xml:space="preserve"> tab, and enter values there. Property values that you enter appear in the code as if you had typed them directly.</w:t>
      </w:r>
    </w:p>
    <w:p>
      <w:pPr>
        <w:pStyle w:val="BodyText"/>
      </w:pPr>
      <w:r>
        <w:t>Note that you can copy and paste code from one blueprint to another.</w:t>
      </w:r>
    </w:p>
    <w:p>
      <w:pPr>
        <w:pStyle w:val="SectionHeading4"/>
      </w:pPr>
      <w:bookmarkStart w:id="100" w:name="_Toc256000653"/>
      <w:r>
        <w:t>Code completion help</w:t>
      </w:r>
      <w:bookmarkEnd w:id="100"/>
    </w:p>
    <w:p>
      <w:pPr>
        <w:pStyle w:val="BodyText"/>
      </w:pPr>
      <w:r>
        <w:t>Adding resources to the blueprint and connecting those resources in the design canvas only creates starter code. To fully configure your blueprint resources, edit the blueprint code.</w:t>
      </w:r>
    </w:p>
    <w:p>
      <w:pPr>
        <w:pStyle w:val="BodyText"/>
      </w:pPr>
      <w:r>
        <w:t>The code editor allows you to type code directly or enter property values into a form. To help with direct code creation, the editor includes syntax completion and error checking features.</w:t>
      </w:r>
    </w:p>
    <w:p>
      <w:pPr>
        <w:pStyle w:val="SectionHeading4"/>
      </w:pPr>
      <w:bookmarkStart w:id="101" w:name="_Toc256000654"/>
      <w:r>
        <w:t>Other ways to create blueprints</w:t>
      </w:r>
      <w:bookmarkEnd w:id="101"/>
    </w:p>
    <w:p>
      <w:pPr>
        <w:pStyle w:val="BodyText"/>
      </w:pPr>
      <w:r>
        <w:t>In addition to building a blueprint from a blank canvas, you can take advantage of existing code.</w:t>
      </w:r>
    </w:p>
    <w:p>
      <w:pPr>
        <w:pStyle w:val="BodyText"/>
        <w:numPr>
          <w:numId w:val="70"/>
        </w:numPr>
      </w:pPr>
      <w:r>
        <w:t>Cloning</w:t>
      </w:r>
    </w:p>
    <w:p>
      <w:pPr>
        <w:pStyle w:val="BodyText"/>
        <w:ind w:left="480"/>
      </w:pPr>
      <w:r>
        <w:t xml:space="preserve">To clone a blueprint, go to </w:t>
      </w:r>
      <w:r>
        <w:rPr>
          <w:rStyle w:val="InlineUI"/>
        </w:rPr>
        <w:t>Blueprint Design</w:t>
      </w:r>
      <w:r>
        <w:t xml:space="preserve">, select a source, and click </w:t>
      </w:r>
      <w:r>
        <w:rPr>
          <w:rStyle w:val="InlineUI"/>
        </w:rPr>
        <w:t>Clone</w:t>
      </w:r>
      <w:r>
        <w:t>. You clone a blueprint to create a copy based on the source, then assign the clone to a new project or use it as starter code for a new application.</w:t>
      </w:r>
    </w:p>
    <w:p>
      <w:pPr>
        <w:pStyle w:val="BodyText"/>
        <w:numPr>
          <w:numId w:val="70"/>
        </w:numPr>
      </w:pPr>
      <w:r>
        <w:t>Uploading and downloading</w:t>
      </w:r>
    </w:p>
    <w:p>
      <w:pPr>
        <w:pStyle w:val="BodyText"/>
        <w:ind w:left="480"/>
      </w:pPr>
      <w:r>
        <w:t>You can upload, download, and share blueprint YAML code in any way that makes sense for your site. You can also modify blueprint code by using external editors and development environments.</w:t>
      </w:r>
    </w:p>
    <w:p>
      <w:pPr>
        <w:pStyle w:val="BodyText"/>
        <w:pBdr>
          <w:top w:val="single" w:sz="8" w:space="2" w:color="D3D3D3"/>
          <w:bottom w:val="single" w:sz="8" w:space="2" w:color="D3D3D3"/>
        </w:pBdr>
        <w:ind w:left="480"/>
      </w:pPr>
      <w:r>
        <w:rPr>
          <w:rStyle w:val="NoteLeadernote"/>
        </w:rPr>
        <w:t>Note</w:t>
        <w:tab/>
      </w:r>
      <w:r>
        <w:t>A good way to validate shared blueprint code is to inspect it in the code editor on the design page.</w:t>
      </w:r>
    </w:p>
    <w:p>
      <w:pPr>
        <w:pStyle w:val="BodyText"/>
        <w:numPr>
          <w:numId w:val="70"/>
        </w:numPr>
      </w:pPr>
      <w:r>
        <w:t xml:space="preserve">Integrating </w:t>
      </w:r>
      <w:r>
        <w:t>VCF Automation</w:t>
      </w:r>
      <w:r>
        <w:t xml:space="preserve"> with a repository</w:t>
      </w:r>
    </w:p>
    <w:p>
      <w:pPr>
        <w:pStyle w:val="BodyText"/>
        <w:ind w:left="480"/>
      </w:pPr>
      <w:r>
        <w:t xml:space="preserve">An integrated git source control repository can make blueprints available to qualified users as the basis for a new deployment.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B6ec331d37e114dc390d0a7dce7139d04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Integrate VCF Automation with Git</w:t>
      </w:r>
      <w:r>
        <w:fldChar w:fldCharType="end"/>
      </w:r>
      <w:r>
        <w:t>.</w:t>
      </w:r>
    </w:p>
    <w:p>
      <w:pPr>
        <w:pStyle w:val="BodyText"/>
        <w:numPr>
          <w:numId w:val="70"/>
        </w:numPr>
      </w:pPr>
      <w:r>
        <w:t>You can also get code samples from the YAML that is generated when you create a new VM using the Virtual Machine Service.</w:t>
      </w:r>
    </w:p>
    <w:p>
      <w:pPr>
        <w:pStyle w:val="Heading3"/>
      </w:pPr>
      <w:bookmarkStart w:id="102" w:name="_Toc256000655"/>
      <w:r>
        <w:t>Creating bindings and dependencies between resources in blueprints in VCF Automation</w:t>
      </w:r>
      <w:bookmarkEnd w:id="102"/>
    </w:p>
    <w:p>
      <w:pPr>
        <w:pStyle w:val="BodyText"/>
      </w:pPr>
      <w:r>
        <w:t xml:space="preserve">When you deploy a </w:t>
      </w:r>
      <w:r>
        <w:t>VCF Automation</w:t>
      </w:r>
      <w:r>
        <w:t xml:space="preserve"> blueprint, one resource might need another resource to be available first.</w:t>
      </w:r>
    </w:p>
    <w:p>
      <w:pPr>
        <w:pStyle w:val="BodyText"/>
        <w:pBdr>
          <w:top w:val="single" w:sz="8" w:space="2" w:color="D3D3D3"/>
          <w:bottom w:val="single" w:sz="8" w:space="2" w:color="D3D3D3"/>
        </w:pBdr>
      </w:pPr>
      <w:r>
        <w:rPr>
          <w:rStyle w:val="NoteLeaderimportant"/>
        </w:rPr>
        <w:t>Important</w:t>
        <w:tab/>
      </w:r>
      <w:r>
        <w:t xml:space="preserve">Arrows only indicate a dependency, not a connection. To connect resources so that they communicate,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B56388bdc097941c79fd9505afcd00ea3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Blueprints in VCF Automation</w:t>
      </w:r>
      <w:r>
        <w:fldChar w:fldCharType="end"/>
      </w:r>
      <w:r>
        <w:t>.</w:t>
      </w:r>
    </w:p>
    <w:p>
      <w:pPr>
        <w:pStyle w:val="SectionHeading4"/>
      </w:pPr>
      <w:bookmarkStart w:id="103" w:name="_Toc256000656"/>
      <w:r>
        <w:t>Explicit dependencies</w:t>
      </w:r>
      <w:bookmarkEnd w:id="103"/>
    </w:p>
    <w:p>
      <w:pPr>
        <w:pStyle w:val="BodyText"/>
      </w:pPr>
      <w:r>
        <w:t>Sometimes, a resource needs another to be deployed first. For example, a database server might need to exist first, before an application server can be created and configured to access it.</w:t>
      </w:r>
    </w:p>
    <w:p>
      <w:pPr>
        <w:pStyle w:val="BodyText"/>
      </w:pPr>
      <w:r>
        <w:t>An explicit dependency sets the build order at deployment time, or for scale in or scale out actions. You can add an explicit dependency using the graphical design canvas or the code editor.</w:t>
      </w:r>
    </w:p>
    <w:p>
      <w:pPr>
        <w:pStyle w:val="BodyText"/>
        <w:numPr>
          <w:numId w:val="71"/>
        </w:numPr>
      </w:pPr>
      <w:r>
        <w:t>Design canvas option—draw a connection starting at the dependent resource and ending at the resource to be deployed first.</w:t>
      </w:r>
    </w:p>
    <w:p>
      <w:pPr>
        <w:pStyle w:val="BodyText"/>
        <w:numPr>
          <w:numId w:val="71"/>
        </w:numPr>
      </w:pPr>
      <w:r>
        <w:t xml:space="preserve">Code editor option—add a </w:t>
      </w:r>
      <w:r>
        <w:rPr>
          <w:rStyle w:val="InlineCode"/>
        </w:rPr>
        <w:t>dependsOn</w:t>
      </w:r>
      <w:r>
        <w:t xml:space="preserve"> property to the dependent resource, and identify the resource to be deployed first.</w:t>
      </w:r>
    </w:p>
    <w:p>
      <w:pPr>
        <w:pStyle w:val="BodyText"/>
        <w:ind w:left="480"/>
      </w:pPr>
      <w:r>
        <w:t>An explicit dependency creates a solid arrow in the canvas.</w:t>
      </w:r>
    </w:p>
    <w:p>
      <w:pPr>
        <w:pStyle w:val="SectionHeading4"/>
      </w:pPr>
      <w:bookmarkStart w:id="104" w:name="_Toc256000657"/>
      <w:r>
        <w:t>Property bindings</w:t>
      </w:r>
      <w:bookmarkEnd w:id="104"/>
    </w:p>
    <w:p>
      <w:pPr>
        <w:pStyle w:val="BodyText"/>
      </w:pPr>
      <w:r>
        <w:t>Sometimes, a resource property needs a value found in a property of another resource. For example, a backup server might need the operating system image of the database server that is being backed up, so the database server must exist first.</w:t>
      </w:r>
    </w:p>
    <w:p>
      <w:pPr>
        <w:pStyle w:val="BodyText"/>
      </w:pPr>
      <w:r>
        <w:t>Also called an implicit dependency, a property binding controls build order by waiting until the needed property is available before deploying the dependent resource. You add a property binding using the code editor.</w:t>
      </w:r>
    </w:p>
    <w:p>
      <w:pPr>
        <w:pStyle w:val="BodyText"/>
        <w:numPr>
          <w:numId w:val="72"/>
        </w:numPr>
      </w:pPr>
      <w:r>
        <w:t>Edit the dependent resource, adding a property that identifies the resource and property that must exist first.</w:t>
      </w:r>
    </w:p>
    <w:p>
      <w:pPr>
        <w:pStyle w:val="BodyText"/>
        <w:ind w:left="480"/>
      </w:pPr>
      <w:r>
        <w:t>A property binding creates a dashed arrow in the canvas.</w:t>
      </w:r>
    </w:p>
    <w:p>
      <w:pPr>
        <w:pStyle w:val="Heading3"/>
      </w:pPr>
      <w:bookmarkStart w:id="105" w:name="_Toc256000658"/>
      <w:r>
        <w:t>Versioning Blueprints in VCF Automation</w:t>
      </w:r>
      <w:bookmarkEnd w:id="105"/>
    </w:p>
    <w:p>
      <w:pPr>
        <w:pStyle w:val="BodyText"/>
      </w:pPr>
      <w:r>
        <w:t>As an organization administrator creating blueprints, you can safely capture a snapshot of a working design before risking further changes. At deployment time, you can select any of your versions to deploy.</w:t>
      </w:r>
    </w:p>
    <w:p>
      <w:pPr>
        <w:pStyle w:val="SectionHeading4"/>
      </w:pPr>
      <w:bookmarkStart w:id="106" w:name="_Toc256000659"/>
      <w:r>
        <w:t>Capturing a Blueprint Version</w:t>
      </w:r>
      <w:bookmarkEnd w:id="106"/>
    </w:p>
    <w:p>
      <w:pPr>
        <w:pStyle w:val="BodyText"/>
      </w:pPr>
      <w:r>
        <w:t xml:space="preserve">From the design page, click </w:t>
      </w:r>
      <w:r>
        <w:rPr>
          <w:rStyle w:val="InlineUI"/>
        </w:rPr>
        <w:t>Version</w:t>
      </w:r>
      <w:r>
        <w:t>, and provide a name.</w:t>
      </w:r>
    </w:p>
    <w:p>
      <w:pPr>
        <w:pStyle w:val="BodyText"/>
      </w:pPr>
      <w:r>
        <w:t>The name must be alphanumeric, with no spaces, and only periods, hyphens, and underscores allowed as special characters.</w:t>
      </w:r>
    </w:p>
    <w:p>
      <w:pPr>
        <w:pStyle w:val="SectionHeading4"/>
      </w:pPr>
      <w:bookmarkStart w:id="107" w:name="_Toc256000660"/>
      <w:r>
        <w:t>Restoring an older version</w:t>
      </w:r>
      <w:bookmarkEnd w:id="107"/>
    </w:p>
    <w:p>
      <w:pPr>
        <w:pStyle w:val="BodyText"/>
      </w:pPr>
      <w:r>
        <w:t xml:space="preserve">From the design page, click </w:t>
      </w:r>
      <w:r>
        <w:rPr>
          <w:rStyle w:val="InlineUI"/>
        </w:rPr>
        <w:t>Version History</w:t>
      </w:r>
      <w:r>
        <w:t>.</w:t>
      </w:r>
    </w:p>
    <w:p>
      <w:pPr>
        <w:pStyle w:val="BodyText"/>
      </w:pPr>
      <w:r>
        <w:t xml:space="preserve">On the left, select an older version to inspect it in the canvas and code editor. When you find the version that you want, click </w:t>
      </w:r>
      <w:r>
        <w:rPr>
          <w:rStyle w:val="InlineUI"/>
        </w:rPr>
        <w:t>Restore</w:t>
      </w:r>
      <w:r>
        <w:t>. Restoring overwrites the current draft without removing any named versions.</w:t>
      </w:r>
    </w:p>
    <w:p>
      <w:pPr>
        <w:pStyle w:val="SectionHeading4"/>
      </w:pPr>
      <w:bookmarkStart w:id="108" w:name="_Toc256000661"/>
      <w:r>
        <w:t>Publishing a Blueprint Version to the Catalog</w:t>
      </w:r>
      <w:bookmarkEnd w:id="108"/>
    </w:p>
    <w:p>
      <w:pPr>
        <w:pStyle w:val="BodyText"/>
      </w:pPr>
      <w:r>
        <w:t xml:space="preserve">You can publish a blueprint version to the </w:t>
      </w:r>
      <w:r>
        <w:t>VCF Automation</w:t>
      </w:r>
      <w:r>
        <w:t xml:space="preserve"> catalog using one of two ways.</w:t>
      </w:r>
    </w:p>
    <w:p>
      <w:pPr>
        <w:pStyle w:val="BodyText"/>
        <w:numPr>
          <w:numId w:val="73"/>
        </w:numPr>
      </w:pPr>
      <w:r>
        <w:t xml:space="preserve">When you create a blueprint version, select </w:t>
      </w:r>
      <w:r>
        <w:rPr>
          <w:rStyle w:val="InlineUI"/>
        </w:rPr>
        <w:t>Publlish to catalog</w:t>
      </w:r>
      <w:r>
        <w:t>.</w:t>
      </w:r>
    </w:p>
    <w:p>
      <w:pPr>
        <w:pStyle w:val="BodyText"/>
        <w:numPr>
          <w:numId w:val="73"/>
        </w:numPr>
      </w:pPr>
      <w:r>
        <w:t xml:space="preserve">From the design page, click </w:t>
      </w:r>
      <w:r>
        <w:rPr>
          <w:rStyle w:val="InlineUI"/>
        </w:rPr>
        <w:t>Version History</w:t>
      </w:r>
      <w:r>
        <w:t>. On the left, select a version and release it.</w:t>
      </w:r>
    </w:p>
    <w:p>
      <w:pPr>
        <w:pStyle w:val="BodyText"/>
      </w:pPr>
      <w:r>
        <w:t>You can't release a Current Draft to the catalog until you version it.</w:t>
      </w:r>
    </w:p>
    <w:p>
      <w:pPr>
        <w:pStyle w:val="SectionHeading4"/>
      </w:pPr>
      <w:bookmarkStart w:id="109" w:name="_Toc256000662"/>
      <w:r>
        <w:t>Comparing Blueprint Versions</w:t>
      </w:r>
      <w:bookmarkEnd w:id="109"/>
    </w:p>
    <w:p>
      <w:pPr>
        <w:pStyle w:val="BodyText"/>
      </w:pPr>
      <w:r>
        <w:t>When changes and versions accumulate, you might want to identify differences among them.</w:t>
      </w:r>
    </w:p>
    <w:p>
      <w:pPr>
        <w:pStyle w:val="BodyText"/>
      </w:pPr>
      <w:r>
        <w:t xml:space="preserve">From the Version History view, select a version, and click </w:t>
      </w:r>
      <w:r>
        <w:rPr>
          <w:rStyle w:val="InlineUI"/>
        </w:rPr>
        <w:t>Diff</w:t>
      </w:r>
      <w:r>
        <w:t xml:space="preserve">. Then, from the </w:t>
      </w:r>
      <w:r>
        <w:rPr>
          <w:rStyle w:val="InlineUI"/>
        </w:rPr>
        <w:t>Diff against</w:t>
      </w:r>
      <w:r>
        <w:t xml:space="preserve"> drop-down, select another version to compare to.</w:t>
      </w:r>
    </w:p>
    <w:p>
      <w:pPr>
        <w:pStyle w:val="BodyText"/>
      </w:pPr>
      <w:r>
        <w:t>Note that you can toggle between reviewing code differences or visual topology differences.</w:t>
      </w:r>
    </w:p>
    <w:p>
      <w:pPr>
        <w:pStyle w:val="SectionHeading4"/>
      </w:pPr>
      <w:bookmarkStart w:id="110" w:name="_Toc256000663"/>
      <w:r>
        <w:t>Cloning a Blueprint</w:t>
      </w:r>
      <w:bookmarkEnd w:id="110"/>
    </w:p>
    <w:p>
      <w:pPr>
        <w:pStyle w:val="BodyText"/>
      </w:pPr>
      <w:r>
        <w:t xml:space="preserve">Although it's not the same as saving a version, from the design page, </w:t>
      </w:r>
      <w:r>
        <w:rPr>
          <w:rStyle w:val="InlineUI"/>
        </w:rPr>
        <w:t>All Actions</w:t>
      </w:r>
      <w:r>
        <w:rPr>
          <w:rStyle w:val="InlineUI"/>
        </w:rPr>
        <w:t xml:space="preserve"> &gt; </w:t>
      </w:r>
      <w:r>
        <w:rPr>
          <w:rStyle w:val="InlineUI"/>
        </w:rPr>
        <w:t>Clone</w:t>
      </w:r>
      <w:r>
        <w:t xml:space="preserve"> makes a copy of the current blueprint for alternative development.</w:t>
      </w:r>
    </w:p>
    <w:p>
      <w:pPr>
        <w:pStyle w:val="Heading3"/>
      </w:pPr>
      <w:bookmarkStart w:id="111" w:name="_Toc256000664"/>
      <w:r>
        <w:t>Specifying formatVersion in Blueprints in VCF Automation</w:t>
      </w:r>
      <w:bookmarkEnd w:id="111"/>
    </w:p>
    <w:p>
      <w:pPr>
        <w:pStyle w:val="BodyText"/>
      </w:pPr>
      <w:r>
        <w:t xml:space="preserve">After versioning your blueprint, you can change the </w:t>
      </w:r>
      <w:r>
        <w:rPr>
          <w:rStyle w:val="InlineCode"/>
        </w:rPr>
        <w:t>formatVersion</w:t>
      </w:r>
      <w:r>
        <w:t xml:space="preserve"> value in your YAML to support additional deployment features.</w:t>
      </w:r>
    </w:p>
    <w:p>
      <w:pPr>
        <w:pStyle w:val="BodyText"/>
      </w:pPr>
      <w:r>
        <w:t xml:space="preserve">The </w:t>
      </w:r>
      <w:r>
        <w:rPr>
          <w:rStyle w:val="InlineCode"/>
        </w:rPr>
        <w:t>formatVersion</w:t>
      </w:r>
      <w:r>
        <w:t xml:space="preserve"> appears at the top of your YAML and its value determines what you can specify in your blueprint.</w:t>
      </w:r>
    </w:p>
    <w:p>
      <w:pPr>
        <w:pStyle w:val="BodyText"/>
        <w:numPr>
          <w:numId w:val="74"/>
        </w:numPr>
      </w:pPr>
      <w:r>
        <w:rPr>
          <w:rStyle w:val="InlineCode"/>
        </w:rPr>
        <w:t>formatVersion: 1</w:t>
      </w:r>
      <w:r>
        <w:t xml:space="preserve"> includes blueprint specifications for inputs and resources. It automatically applies to all basic blueprints.</w:t>
      </w:r>
    </w:p>
    <w:p>
      <w:pPr>
        <w:pStyle w:val="BodyText"/>
        <w:numPr>
          <w:numId w:val="74"/>
        </w:numPr>
      </w:pPr>
      <w:r>
        <w:rPr>
          <w:rStyle w:val="InlineCode"/>
        </w:rPr>
        <w:t>formatVersion: 2</w:t>
      </w:r>
      <w:r>
        <w:t xml:space="preserve"> adds blueprint specifications for metadata, variables, and outputs. It automatically applies to the blueprints that are deployed using Private AI Automation Services, but supports any kind of deployment.</w:t>
      </w:r>
    </w:p>
    <w:p>
      <w:pPr>
        <w:pStyle w:val="BodyText"/>
      </w:pPr>
      <w:r>
        <w:t xml:space="preserve">As an administrator, you can use the specifications included with </w:t>
      </w:r>
      <w:r>
        <w:rPr>
          <w:rStyle w:val="InlineCode"/>
        </w:rPr>
        <w:t>formatVersion: 2</w:t>
      </w:r>
      <w:r>
        <w:t xml:space="preserve"> to make deployments more accessible to your users. The following code samples show examples of how to use the </w:t>
      </w:r>
      <w:r>
        <w:rPr>
          <w:rStyle w:val="InlineCode"/>
        </w:rPr>
        <w:t>formatVersion: 2</w:t>
      </w:r>
      <w:r>
        <w:t xml:space="preserve"> blueprint specifications in your YAML.</w:t>
      </w:r>
    </w:p>
    <w:p>
      <w:pPr>
        <w:pStyle w:val="SectionHeading4"/>
      </w:pPr>
      <w:bookmarkStart w:id="112" w:name="_Toc256000665"/>
      <w:r>
        <w:t>Metadata blueprint specification</w:t>
      </w:r>
      <w:bookmarkEnd w:id="112"/>
    </w:p>
    <w:p>
      <w:pPr>
        <w:pStyle w:val="BodyText"/>
      </w:pPr>
      <w:r>
        <w:t>Use metadata to hide or unhide the day 2 operations that appear for your users.</w:t>
      </w:r>
    </w:p>
    <w:p>
      <w:pPr>
        <w:pStyle w:val="CodeBlock"/>
      </w:pPr>
      <w:r>
        <w:t>metadata:
deploymentSettings:
  disableUpdateDay2Action: true
  hideDisabledDay2Actions: true</w:t>
      </w:r>
    </w:p>
    <w:p>
      <w:pPr>
        <w:pStyle w:val="BodyText"/>
        <w:numPr>
          <w:numId w:val="75"/>
        </w:numPr>
      </w:pPr>
      <w:r>
        <w:t xml:space="preserve">When </w:t>
      </w:r>
      <w:r>
        <w:rPr>
          <w:rStyle w:val="InlineCode"/>
        </w:rPr>
        <w:t>disableUpdateDay2Action</w:t>
      </w:r>
      <w:r>
        <w:t xml:space="preserve"> is true, users do not see the </w:t>
      </w:r>
      <w:r>
        <w:rPr>
          <w:rStyle w:val="InlineUI"/>
        </w:rPr>
        <w:t>Update</w:t>
      </w:r>
      <w:r>
        <w:t xml:space="preserve"> day 2 operation in the Actions menu. If the user does not have permission to update, the option appears unavailable (dimmed).</w:t>
      </w:r>
    </w:p>
    <w:p>
      <w:pPr>
        <w:pStyle w:val="BodyText"/>
        <w:numPr>
          <w:numId w:val="75"/>
        </w:numPr>
      </w:pPr>
      <w:r>
        <w:t xml:space="preserve">When </w:t>
      </w:r>
      <w:r>
        <w:rPr>
          <w:rStyle w:val="InlineCode"/>
        </w:rPr>
        <w:t>hideDisabledDay2Actions</w:t>
      </w:r>
      <w:r>
        <w:t xml:space="preserve"> is true, any day 2 operation that has been deactivated for the user will not appear in the Actions menu.</w:t>
      </w:r>
    </w:p>
    <w:p>
      <w:pPr>
        <w:pStyle w:val="SectionHeading4"/>
      </w:pPr>
      <w:bookmarkStart w:id="113" w:name="_Toc256000666"/>
      <w:r>
        <w:t>Variables blueprint specification</w:t>
      </w:r>
      <w:bookmarkEnd w:id="113"/>
    </w:p>
    <w:p>
      <w:pPr>
        <w:pStyle w:val="BodyText"/>
      </w:pPr>
      <w:r>
        <w:t xml:space="preserve">Use </w:t>
      </w:r>
      <w:r>
        <w:rPr>
          <w:rStyle w:val="InlineCode"/>
        </w:rPr>
        <w:t>variables</w:t>
      </w:r>
      <w:r>
        <w:t xml:space="preserve"> to specify values that are reused multiple times within a blueprint, such as in dynamic configurations. A variable definition can include plain strings, inputs, and refer to other variables. You reference the variables that you define in the resources and outputs sections of the blueprint.</w:t>
      </w:r>
    </w:p>
    <w:p>
      <w:pPr>
        <w:pStyle w:val="CodeBlock"/>
      </w:pPr>
      <w:r>
        <w:t>variables:
applications:
  - name: App1
    port: 3000
    showAppInfo: true
  - name: App2
    port: 4000
    showAppInfo: false</w:t>
      </w:r>
    </w:p>
    <w:p>
      <w:pPr>
        <w:pStyle w:val="SectionHeading4"/>
      </w:pPr>
      <w:bookmarkStart w:id="114" w:name="_Toc256000667"/>
      <w:r>
        <w:t>Outputs blueprint specification</w:t>
      </w:r>
      <w:bookmarkEnd w:id="114"/>
    </w:p>
    <w:p>
      <w:pPr>
        <w:pStyle w:val="BodyText"/>
      </w:pPr>
      <w:r>
        <w:t xml:space="preserve">Use </w:t>
      </w:r>
      <w:r>
        <w:rPr>
          <w:rStyle w:val="InlineCode"/>
        </w:rPr>
        <w:t>outputs</w:t>
      </w:r>
      <w:r>
        <w:t xml:space="preserve"> to define the deployment information that you want to make available to your user. All outputs are displayed on the deployment details page under </w:t>
      </w:r>
      <w:r>
        <w:rPr>
          <w:rStyle w:val="InlineUI"/>
        </w:rPr>
        <w:t>User Events</w:t>
      </w:r>
      <w:r>
        <w:t xml:space="preserve">, except for </w:t>
      </w:r>
      <w:r>
        <w:rPr>
          <w:rStyle w:val="InlineCode"/>
        </w:rPr>
        <w:t>__deploymentOverview</w:t>
      </w:r>
      <w:r>
        <w:t xml:space="preserve"> values which appear under the deployment </w:t>
      </w:r>
      <w:r>
        <w:rPr>
          <w:rStyle w:val="InlineUI"/>
        </w:rPr>
        <w:t>Overview</w:t>
      </w:r>
      <w:r>
        <w:t>.</w:t>
      </w:r>
    </w:p>
    <w:p>
      <w:pPr>
        <w:pStyle w:val="BodyText"/>
      </w:pPr>
      <w:r>
        <w:t>The outputs example includes:</w:t>
      </w:r>
    </w:p>
    <w:p>
      <w:pPr>
        <w:pStyle w:val="BodyText"/>
        <w:numPr>
          <w:numId w:val="76"/>
        </w:numPr>
      </w:pPr>
      <w:r>
        <w:rPr>
          <w:rStyle w:val="InlineCode"/>
        </w:rPr>
        <w:t>variables</w:t>
      </w:r>
      <w:r>
        <w:t xml:space="preserve"> defined in the variables blueprint specification</w:t>
      </w:r>
    </w:p>
    <w:p>
      <w:pPr>
        <w:pStyle w:val="BodyText"/>
        <w:numPr>
          <w:numId w:val="76"/>
        </w:numPr>
      </w:pPr>
      <w:r>
        <w:rPr>
          <w:rStyle w:val="InlineCode"/>
        </w:rPr>
        <w:t>resources</w:t>
      </w:r>
      <w:r>
        <w:t xml:space="preserve"> defined in a resources section and included in the following code sample</w:t>
      </w:r>
    </w:p>
    <w:p>
      <w:pPr>
        <w:pStyle w:val="BodyText"/>
        <w:numPr>
          <w:numId w:val="76"/>
        </w:numPr>
      </w:pPr>
      <w:r>
        <w:rPr>
          <w:rStyle w:val="InlineCode"/>
        </w:rPr>
        <w:t>__deploymentOverview</w:t>
      </w:r>
      <w:r>
        <w:t xml:space="preserve"> written in Markdown</w:t>
      </w:r>
    </w:p>
    <w:p>
      <w:pPr>
        <w:pStyle w:val="CodeBlock"/>
      </w:pPr>
      <w:r>
        <w:t>
outputs:
secret1name:
  value: ${resource.secret-data1.object.metadata.name}
secret2name:
  value: ${resource.secret-data2.object.metadata.name}
  __deploymentOverview:
  value: |
    ### Deployment details
    %{if starts_with(resource.CCI_Supervisor_Namespace_1.name, 'dummy')}
      This is a dummy namespace with name ${resource.CCI_Supervisor_Namespace_1.name}
    %{else}
      This is a real namespace with name ${resource.CCI_Supervisor_Namespace_1.name}
    %{endif}
    %{for app in variable.applications}
      ##### App details
      %{if app.showAppInfo}
        App name - ${app.name}, App port - ${app.port}
      %{else}
        App info is hidden because showAppInfo is ${app.showAppInfo}
      %{endif}
    %{endfor}
    #### Handle bars bindings.
    The below values will update dynamically if the values change.
    Note that we use '\{\{' to indicate handle bars expressions
    secret 1 resource version - {{resource.secret-data1.object.metadata.resourceVersion}}
resources:
CCI_Supervisor_Namespace_1:
  type: CCI.Supervisor.Namespace
  properties:
    name: ${input.namespaceName}
    regionName: private-ai-foundation-dsdunnjz
    className: vpaif-quickstart-3
secret-data1:
  type: CCI.Supervisor.Resource
  properties:
    context: ${resource.CCI_Supervisor_Namespace_1.id}
    manifest:
      apiVersion: v1
      kind: Secret
      metadata:
        name: nvaie-apikey
      type: Opaque
      stringData:
        username: $oauthtoken
        password: ${input.ngcPortalAccessKey}
secret-data2:
  type: CCI.Supervisor.Resource
  properties:
    context: ${resource.CCI_Supervisor_Namespace_1.id}
    manifest:
      apiVersion: v1
      kind: Secret
      metadata:
        name: nvaie-apikey1
      type: Opaque
      stringData:
        username: $oauthtoken
        password: ${input.ngcPortalAccessKey}</w:t>
      </w:r>
    </w:p>
    <w:p>
      <w:pPr>
        <w:pStyle w:val="BodyText"/>
      </w:pPr>
      <w:r>
        <w:t xml:space="preserve">The following construct examples are provided in the </w:t>
      </w:r>
      <w:r>
        <w:rPr>
          <w:rStyle w:val="InlineCode"/>
        </w:rPr>
        <w:t>__deploymentOverview</w:t>
      </w:r>
      <w:r>
        <w:t>.</w:t>
      </w:r>
    </w:p>
    <w:p>
      <w:pPr>
        <w:pStyle w:val="BodyText"/>
        <w:numPr>
          <w:numId w:val="77"/>
        </w:numPr>
      </w:pPr>
      <w:r>
        <w:t xml:space="preserve">The </w:t>
      </w:r>
      <w:r>
        <w:rPr>
          <w:rStyle w:val="InlineCode"/>
        </w:rPr>
        <w:t>if</w:t>
      </w:r>
      <w:r>
        <w:t xml:space="preserve"> construct is a conditional expression based on boolean inputs.</w:t>
      </w:r>
    </w:p>
    <w:p>
      <w:pPr>
        <w:pStyle w:val="CodeBlock"/>
        <w:ind w:left="480"/>
      </w:pPr>
      <w:r>
        <w:t>
    %{if starts_with(resource.CCI_Supervisor_Namespace_1.name, 'dummy')}
      This is a dummy namespace with name ${resource.CCI_Supervisor_Namespace_1.name}
    %{else}
      This is a real namespace with name ${resource.CCI_Supervisor_Namespace_1.name}
    %{endif}</w:t>
      </w:r>
    </w:p>
    <w:p>
      <w:pPr>
        <w:pStyle w:val="BodyText"/>
        <w:numPr>
          <w:numId w:val="77"/>
        </w:numPr>
      </w:pPr>
      <w:r>
        <w:t xml:space="preserve">The </w:t>
      </w:r>
      <w:r>
        <w:rPr>
          <w:rStyle w:val="InlineCode"/>
        </w:rPr>
        <w:t>for</w:t>
      </w:r>
      <w:r>
        <w:t xml:space="preserve"> loop enables iterating over arrays. For every app listed in the array, </w:t>
      </w:r>
      <w:r>
        <w:rPr>
          <w:rStyle w:val="InlineCode"/>
        </w:rPr>
        <w:t>if</w:t>
      </w:r>
      <w:r>
        <w:t xml:space="preserve"> conditions are evaluated and variable values are assigned and displayed as output.</w:t>
      </w:r>
    </w:p>
    <w:p>
      <w:pPr>
        <w:pStyle w:val="CodeBlock"/>
        <w:ind w:left="480"/>
      </w:pPr>
      <w:r>
        <w:t>
    %{for app in variable.applications}
      ##### App details
      %{if app.showAppInfo}
        App name - ${app.name}, App port - ${app.port}
      %{else}
        App info is hidden because showAppInfo is ${app.showAppInfo}
      %{endif}
    %{endfor}</w:t>
      </w:r>
    </w:p>
    <w:p>
      <w:pPr>
        <w:pStyle w:val="BodyText"/>
        <w:numPr>
          <w:numId w:val="77"/>
        </w:numPr>
      </w:pPr>
      <w:r>
        <w:t xml:space="preserve">In the handlebars expression, variable bindings update dynamically as the actual values change. The variable is enclosed in double curly braces </w:t>
      </w:r>
      <w:r>
        <w:rPr>
          <w:rStyle w:val="InlineCode"/>
        </w:rPr>
        <w:t>{{}}</w:t>
      </w:r>
      <w:r>
        <w:t xml:space="preserve"> and in this example, the expression is a dot-separated path.</w:t>
      </w:r>
    </w:p>
    <w:p>
      <w:pPr>
        <w:pStyle w:val="CodeBlock"/>
        <w:ind w:left="480"/>
      </w:pPr>
      <w:r>
        <w:t>secret 1 name - {{resource.secret-data1.object.metadata.resourceVersion}}</w:t>
      </w:r>
    </w:p>
    <w:p>
      <w:pPr>
        <w:pStyle w:val="Heading3"/>
      </w:pPr>
      <w:bookmarkStart w:id="115" w:name="_Toc256000668"/>
      <w:r>
        <w:t>User Inputs in Requests in VCF Automation</w:t>
      </w:r>
      <w:bookmarkEnd w:id="115"/>
    </w:p>
    <w:p>
      <w:pPr>
        <w:pStyle w:val="BodyText"/>
      </w:pPr>
      <w:r>
        <w:t>When designing blueprints, you use input parameters so that users can make custom selections at request time.</w:t>
      </w:r>
    </w:p>
    <w:p>
      <w:pPr>
        <w:pStyle w:val="SectionHeading4"/>
      </w:pPr>
      <w:bookmarkStart w:id="116" w:name="_Toc256000669"/>
      <w:r>
        <w:t>How inputs work</w:t>
      </w:r>
      <w:bookmarkEnd w:id="116"/>
    </w:p>
    <w:p>
      <w:pPr>
        <w:pStyle w:val="BodyText"/>
      </w:pPr>
      <w:r>
        <w:t>When users supply inputs, you no longer need to save multiple copies of blueprints that are only slightly different. In addition, inputs can prepare a blueprint for day 2 operations.</w:t>
      </w:r>
    </w:p>
    <w:p>
      <w:pPr>
        <w:pStyle w:val="BodyText"/>
      </w:pPr>
      <w:r>
        <w:t>The following inputs show how you might create one blueprint for a MySQL database server, where users can deploy that one blueprint to different cloud resource environments and apply different capacity and credentials each time.</w:t>
      </w:r>
    </w:p>
    <w:p>
      <w:pPr>
        <w:pStyle w:val="SectionHeading4"/>
      </w:pPr>
      <w:bookmarkStart w:id="117" w:name="_Toc256000670"/>
      <w:r>
        <w:t>Adding Input Parameters</w:t>
      </w:r>
      <w:bookmarkEnd w:id="117"/>
    </w:p>
    <w:p>
      <w:pPr>
        <w:pStyle w:val="BodyText"/>
      </w:pPr>
      <w:r>
        <w:t>Add an inputs section to your blueprint code, where you set the selectable values.</w:t>
      </w:r>
    </w:p>
    <w:p>
      <w:pPr>
        <w:pStyle w:val="BodyText"/>
      </w:pPr>
      <w:r>
        <w:t>In the following example, machine size, operating system, and number of clustered servers are selectable.</w:t>
      </w:r>
    </w:p>
    <w:p>
      <w:pPr>
        <w:pStyle w:val="CodeBlock"/>
      </w:pPr>
      <w:r>
        <w:t>
inputs:
  supervisornamespace-name:
    type: string
  image-name:
    type: string
  storageClass:
    type: string</w:t>
      </w:r>
    </w:p>
    <w:p>
      <w:pPr>
        <w:pStyle w:val="SectionHeading4"/>
      </w:pPr>
      <w:bookmarkStart w:id="118" w:name="_Toc256000671"/>
      <w:r>
        <w:t>Referencing Input Parameters</w:t>
      </w:r>
      <w:bookmarkEnd w:id="118"/>
    </w:p>
    <w:p>
      <w:pPr>
        <w:pStyle w:val="BodyText"/>
      </w:pPr>
      <w:r>
        <w:t xml:space="preserve">Next, in the resources section, you reference an input parameter using </w:t>
      </w:r>
      <w:r>
        <w:rPr>
          <w:rStyle w:val="InlineCode"/>
        </w:rPr>
        <w:t>${input.</w:t>
      </w:r>
      <w:r>
        <w:rPr>
          <w:rStyle w:val="InlineVar"/>
        </w:rPr>
        <w:t>property-name</w:t>
      </w:r>
      <w:r>
        <w:rPr>
          <w:rStyle w:val="InlineCode"/>
        </w:rPr>
        <w:t>}</w:t>
      </w:r>
      <w:r>
        <w:t xml:space="preserve"> syntax.</w:t>
      </w:r>
    </w:p>
    <w:p>
      <w:pPr>
        <w:pStyle w:val="BodyText"/>
      </w:pPr>
      <w:r>
        <w:t>If a property name includes a space, delimit with square brackets and double quotes instead of using dot notation: ${input["property name"]}</w:t>
      </w:r>
    </w:p>
    <w:p>
      <w:pPr>
        <w:pStyle w:val="BodyText"/>
        <w:pBdr>
          <w:top w:val="single" w:sz="8" w:space="2" w:color="D3D3D3"/>
          <w:bottom w:val="single" w:sz="8" w:space="2" w:color="D3D3D3"/>
        </w:pBdr>
      </w:pPr>
      <w:r>
        <w:rPr>
          <w:rStyle w:val="NoteLeaderimportant"/>
        </w:rPr>
        <w:t>Important</w:t>
        <w:tab/>
      </w:r>
      <w:r>
        <w:t>In blueprint code, you cannot use the word input except to indicate an input parameter.</w:t>
      </w:r>
    </w:p>
    <w:p>
      <w:pPr>
        <w:pStyle w:val="CodeBlock"/>
      </w:pPr>
      <w:r>
        <w:t>resources:
  CCI_Supervisor_Namespace_1:
    type: CCI.Supervisor.Namespace
    properties:
      name: '${input.supervisornamespace-name}'
      existing: true
  Virtual_Machine_1:
    type: CCI.Supervisor.Resource
    properties:
      context: ${resource.CCI_Supervisor_Namespace_1.id}
      manifest:
        apiVersion: vmoperator.vmware.com/v1alpha3
        kind: VirtualMachine
        metadata:
          name: virtual-machine-1-${env.shortDeploymentId}
        spec:
          imageName: '${input.image-name}'
          className: 'best-effort-xsmall'
          powerState: PoweredOn
          storageClass: '${input.storageClass}'</w:t>
      </w:r>
    </w:p>
    <w:p>
      <w:pPr>
        <w:pStyle w:val="SectionHeading4"/>
      </w:pPr>
      <w:bookmarkStart w:id="119" w:name="_Toc256000672"/>
      <w:r>
        <w:t>Nested Input</w:t>
      </w:r>
      <w:bookmarkEnd w:id="119"/>
    </w:p>
    <w:p>
      <w:pPr>
        <w:pStyle w:val="BodyText"/>
      </w:pPr>
      <w:r>
        <w:t xml:space="preserve">If you want to organize or categorize inputs, nested input is supported. In the following example, the CPU and memory are together under a parent heading of </w:t>
      </w:r>
      <w:r>
        <w:rPr>
          <w:rStyle w:val="InlineCode"/>
        </w:rPr>
        <w:t>level</w:t>
      </w:r>
      <w:r>
        <w:t>.</w:t>
      </w:r>
    </w:p>
    <w:p>
      <w:pPr>
        <w:pStyle w:val="BodyText"/>
        <w:pBdr>
          <w:top w:val="single" w:sz="8" w:space="2" w:color="D3D3D3"/>
          <w:bottom w:val="single" w:sz="8" w:space="2" w:color="D3D3D3"/>
        </w:pBdr>
      </w:pPr>
      <w:r>
        <w:rPr>
          <w:rStyle w:val="NoteLeadernote"/>
        </w:rPr>
        <w:t>Note</w:t>
        <w:tab/>
      </w:r>
      <w:r>
        <w:t>A group of nested inputs is different than creating and referencing a formal property group.</w:t>
      </w:r>
    </w:p>
    <w:p>
      <w:pPr>
        <w:pStyle w:val="CodeBlock"/>
      </w:pPr>
      <w:r>
        <w:t>inputs:
  cluster:
    type: integer
    title: Cluster
    default: 1
    minimum: 1
    maximum: 4
  level:
    type: object
    properties:
      cpu:
        type: integer
        title: CPU
        default: 1
        minimum: 1
        maximum: 4
      memory:
        type: integer
        title: Memory
        default: 2048
        minimum: 2048
        maximum: 4096</w:t>
      </w:r>
    </w:p>
    <w:p>
      <w:pPr>
        <w:pStyle w:val="BodyText"/>
      </w:pPr>
      <w:r>
        <w:t xml:space="preserve">In the </w:t>
      </w:r>
      <w:r>
        <w:rPr>
          <w:rStyle w:val="InlineCode"/>
        </w:rPr>
        <w:t>resources</w:t>
      </w:r>
      <w:r>
        <w:t xml:space="preserve"> section, to reference the nested input, include the parent in the path. </w:t>
      </w:r>
    </w:p>
    <w:p>
      <w:pPr>
        <w:pStyle w:val="CodeBlock"/>
      </w:pPr>
      <w:r>
        <w:t>resources:
  Disk_1:
    type: Cloud.vSphere.Disk
    allocatePerInstance: true
    properties:
      capacityGb: 1
      count: ${input.cluster}
  Machine_1:
    type: Cloud.vSphere.Machine
    allocatePerInstance: true
    properties:
      totalMemoryMB: ${input.level.memory}
      attachedDisks:
        - source: ${slice(resource.Disk_1[*].id, count.index, count.index + 1)[0]}
      count: ${input.cluster}
      imageRef: ubuntu
      cpuCount: ${input.level.cpu}</w:t>
      </w:r>
    </w:p>
    <w:p>
      <w:pPr>
        <w:pStyle w:val="SectionHeading4"/>
      </w:pPr>
      <w:bookmarkStart w:id="120" w:name="_Toc256000673"/>
      <w:r>
        <w:t>Optional versus required input</w:t>
      </w:r>
      <w:bookmarkEnd w:id="120"/>
    </w:p>
    <w:p>
      <w:pPr>
        <w:pStyle w:val="BodyText"/>
      </w:pPr>
      <w:r>
        <w:t>For all types except Boolean, user entry is optional by default. To require input, do one of the following:</w:t>
      </w:r>
    </w:p>
    <w:p>
      <w:pPr>
        <w:pStyle w:val="BodyText"/>
        <w:numPr>
          <w:numId w:val="78"/>
        </w:numPr>
      </w:pPr>
      <w:r>
        <w:t>Set a default value.</w:t>
      </w:r>
    </w:p>
    <w:p>
      <w:pPr>
        <w:pStyle w:val="BodyText"/>
        <w:numPr>
          <w:numId w:val="78"/>
        </w:numPr>
      </w:pPr>
      <w:r>
        <w:t xml:space="preserve">When you have no nested inputs, add the </w:t>
      </w:r>
      <w:r>
        <w:rPr>
          <w:rStyle w:val="InlineCode"/>
        </w:rPr>
        <w:t>populateRequiredOnNonDefaultProperties</w:t>
      </w:r>
      <w:r>
        <w:t xml:space="preserve"> property:</w:t>
      </w:r>
    </w:p>
    <w:p>
      <w:pPr>
        <w:pStyle w:val="CodeBlock"/>
        <w:ind w:left="480"/>
      </w:pPr>
      <w:r>
        <w:t>inputs:
  cluster:
    type: integer
    populateRequiredOnNonDefaultProperties: true
    title: Cluster
    minimum: 1
    maximum: 4</w:t>
      </w:r>
    </w:p>
    <w:p>
      <w:pPr>
        <w:pStyle w:val="BodyText"/>
        <w:ind w:left="480"/>
      </w:pPr>
      <w:r>
        <w:t>Note that you can also apply this setting when referencing a formal property group.</w:t>
      </w:r>
    </w:p>
    <w:p>
      <w:pPr>
        <w:pStyle w:val="CodeBlock"/>
        <w:ind w:left="480"/>
      </w:pPr>
      <w:r>
        <w:t>inputs:
  pgmachine:
    type: object
    populateRequiredOnNonDefaultProperties: true
    $ref: /ref/property-groups/machine</w:t>
      </w:r>
    </w:p>
    <w:p>
      <w:pPr>
        <w:pStyle w:val="BodyText"/>
        <w:numPr>
          <w:numId w:val="78"/>
        </w:numPr>
      </w:pPr>
      <w:r>
        <w:t xml:space="preserve">With nested inputs, add the </w:t>
      </w:r>
      <w:r>
        <w:rPr>
          <w:rStyle w:val="InlineCode"/>
        </w:rPr>
        <w:t>populateRequiredForNestedProperties</w:t>
      </w:r>
      <w:r>
        <w:t xml:space="preserve"> property:</w:t>
      </w:r>
    </w:p>
    <w:p>
      <w:pPr>
        <w:pStyle w:val="CodeBlock"/>
        <w:ind w:left="480"/>
      </w:pPr>
      <w:r>
        <w:t>inputs:
  cluster:
    type: integer
    title: Cluster
    default: 1
    minimum: 1
    maximum: 4
  level:
    type: object
    properties:
      cpu:
        type: integer
        populateRequiredForNestedProperties: true
        title: CPU
        minimum: 1
        maximum: 4
      memory:
        type: integer
        populateRequiredForNestedProperties: true
        title: Memory
        minimum: 2048
        maximum: 4096</w:t>
      </w:r>
    </w:p>
    <w:p>
      <w:pPr>
        <w:pStyle w:val="BodyText"/>
        <w:ind w:left="480"/>
      </w:pPr>
      <w:r>
        <w:t>Note that you can also apply this setting when a formal property group reference is nested:</w:t>
      </w:r>
    </w:p>
    <w:p>
      <w:pPr>
        <w:pStyle w:val="CodeBlock"/>
        <w:ind w:left="480"/>
      </w:pPr>
      <w:r>
        <w:t xml:space="preserve">  level:
    type: object
    properties:
      cpu:
        type: integer
        populateRequiredForNestedProperties: true
        title: CPU
        minimum: 1
        maximum: 4
      memory:
        type: integer
        populateRequiredForNestedProperties: true
        title: Memory
        minimum: 2048
        maximum: 4096
      pgrequester:
        type: object
        populateRequiredForNestedProperties: true
        $ref: /ref/property-groups/requesterDetails</w:t>
      </w:r>
    </w:p>
    <w:p>
      <w:pPr>
        <w:pStyle w:val="BodyText"/>
        <w:numPr>
          <w:numId w:val="78"/>
        </w:numPr>
      </w:pPr>
      <w:r>
        <w:t>Optional input—To force input to remain optional, set an empty default value using tick marks:</w:t>
      </w:r>
    </w:p>
    <w:p>
      <w:pPr>
        <w:pStyle w:val="CodeBlock"/>
        <w:ind w:left="480"/>
      </w:pPr>
      <w:r>
        <w:t>owner:
  type: string
  minLength: 0
  maxLength: 30
  title: Owner Name
  description: Account Owner
  default: ''</w:t>
      </w:r>
    </w:p>
    <w:p>
      <w:pPr>
        <w:pStyle w:val="SectionHeading4"/>
      </w:pPr>
      <w:bookmarkStart w:id="121" w:name="_Toc256000674"/>
      <w:r>
        <w:t>Sending inputs to VCF Operations orchestratorrelevant?</w:t>
      </w:r>
      <w:bookmarkEnd w:id="121"/>
    </w:p>
    <w:p>
      <w:pPr>
        <w:pStyle w:val="BodyText"/>
      </w:pPr>
      <w:r>
        <w:t xml:space="preserve">To supply a blueprint input to a </w:t>
      </w:r>
      <w:r>
        <w:t>VCF Operations orchestrator</w:t>
      </w:r>
      <w:r>
        <w:t xml:space="preserve"> action, take the following steps. With </w:t>
      </w:r>
      <w:r>
        <w:t>VCF Operations orchestrator</w:t>
      </w:r>
      <w:r>
        <w:t xml:space="preserve"> actions, the Inputs form is easier to use than typing directly in the blueprint code.</w:t>
      </w:r>
    </w:p>
    <w:p>
      <w:pPr>
        <w:pStyle w:val="BodyText"/>
        <w:numPr>
          <w:numId w:val="79"/>
        </w:numPr>
      </w:pPr>
      <w:r>
        <w:t xml:space="preserve">In the </w:t>
      </w:r>
      <w:r>
        <w:t>VCF Operations orchestrator</w:t>
      </w:r>
      <w:r>
        <w:t xml:space="preserve"> instance integrated with </w:t>
      </w:r>
      <w:r>
        <w:t>VCF Automation</w:t>
      </w:r>
      <w:r>
        <w:t>, verify that the action you want exists.</w:t>
      </w:r>
    </w:p>
    <w:p>
      <w:pPr>
        <w:pStyle w:val="BodyText"/>
        <w:numPr>
          <w:numId w:val="79"/>
        </w:numPr>
      </w:pPr>
      <w:r>
        <w:t xml:space="preserve">In the blueprint design page in </w:t>
      </w:r>
      <w:r>
        <w:t>VCF Automation</w:t>
      </w:r>
      <w:r>
        <w:t xml:space="preserve">, go to the </w:t>
      </w:r>
      <w:r>
        <w:rPr>
          <w:rStyle w:val="InlineUI"/>
        </w:rPr>
        <w:t>Inputs</w:t>
      </w:r>
      <w:r>
        <w:t xml:space="preserve"> tab, and click to add a new input.</w:t>
      </w:r>
    </w:p>
    <w:p>
      <w:pPr>
        <w:pStyle w:val="BodyText"/>
        <w:numPr>
          <w:numId w:val="79"/>
        </w:numPr>
      </w:pPr>
      <w:r>
        <w:t xml:space="preserve">Select a type, and select </w:t>
      </w:r>
      <w:r>
        <w:rPr>
          <w:rStyle w:val="InlineUI"/>
        </w:rPr>
        <w:t>External source</w:t>
      </w:r>
      <w:r>
        <w:t>.</w:t>
      </w:r>
    </w:p>
    <w:p>
      <w:pPr>
        <w:pStyle w:val="BodyText"/>
        <w:numPr>
          <w:numId w:val="79"/>
        </w:numPr>
      </w:pPr>
      <w:r>
        <w:t xml:space="preserve">Next to Action, click the </w:t>
      </w:r>
      <w:r>
        <w:rPr>
          <w:rStyle w:val="InlineUI"/>
        </w:rPr>
        <w:t>Select</w:t>
      </w:r>
      <w:r>
        <w:t xml:space="preserve"> button.</w:t>
      </w:r>
    </w:p>
    <w:p>
      <w:pPr>
        <w:pStyle w:val="BodyText"/>
        <w:numPr>
          <w:numId w:val="79"/>
        </w:numPr>
      </w:pPr>
      <w:r>
        <w:t xml:space="preserve">Use the Action search field to locate and select the </w:t>
      </w:r>
      <w:r>
        <w:t>VCF Operations orchestrator</w:t>
      </w:r>
      <w:r>
        <w:t xml:space="preserve"> action.</w:t>
      </w:r>
    </w:p>
    <w:p>
      <w:pPr>
        <w:pStyle w:val="BodyText"/>
        <w:numPr>
          <w:numId w:val="79"/>
        </w:numPr>
      </w:pPr>
      <w:r>
        <w:t>Enter or select any action parameters.</w:t>
      </w:r>
    </w:p>
    <w:p>
      <w:pPr>
        <w:pStyle w:val="BodyText"/>
      </w:pPr>
      <w:r>
        <w:t xml:space="preserve">After you save and create the input, it appears in the blueprint code as a </w:t>
      </w:r>
      <w:r>
        <w:rPr>
          <w:rStyle w:val="InlineCode"/>
        </w:rPr>
        <w:t>$dynamicDefault</w:t>
      </w:r>
      <w:r>
        <w:t xml:space="preserve"> input. For example:</w:t>
      </w:r>
    </w:p>
    <w:p>
      <w:pPr>
        <w:pStyle w:val="CodeBlock"/>
      </w:pPr>
      <w:r>
        <w:t>inputs:
  backupnetwork:
    type: string
    $dynamicDefault: /data/vro-actions/com.insanpaolo/getBackupNetworkVLAN?network={{abcdef123456}}&amp;tenant={{abcdef123456}}</w:t>
      </w:r>
    </w:p>
    <w:p>
      <w:pPr>
        <w:pStyle w:val="BodyText"/>
        <w:pBdr>
          <w:top w:val="single" w:sz="8" w:space="2" w:color="D3D3D3"/>
          <w:bottom w:val="single" w:sz="8" w:space="2" w:color="D3D3D3"/>
        </w:pBdr>
      </w:pPr>
      <w:r>
        <w:rPr>
          <w:rStyle w:val="NoteLeadernote"/>
        </w:rPr>
        <w:t>Note</w:t>
        <w:tab/>
      </w:r>
      <w:r>
        <w:t xml:space="preserve">If the </w:t>
      </w:r>
      <w:r>
        <w:t>VCF Operations orchestrator</w:t>
      </w:r>
      <w:r>
        <w:t xml:space="preserve"> workflow you send inputs to runs for too long, causing a delay of more than 30 seconds, it might cause timeout issues in </w:t>
      </w:r>
      <w:r>
        <w:t>VCF Automation</w:t>
      </w:r>
      <w:r>
        <w:t>.</w:t>
      </w:r>
    </w:p>
    <w:p>
      <w:pPr>
        <w:pStyle w:val="SectionHeading4"/>
      </w:pPr>
      <w:bookmarkStart w:id="122" w:name="_Toc256000675"/>
      <w:r>
        <w:t>List of input properties</w:t>
      </w:r>
      <w:bookmarkEnd w:id="12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7"/>
        <w:gridCol w:w="8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const</w:t>
            </w:r>
          </w:p>
        </w:tc>
        <w:tc>
          <w:tcPr>
            <w:tcBorders>
              <w:left w:val="nil"/>
              <w:right w:val="nil"/>
            </w:tcBorders>
          </w:tcPr>
          <w:p>
            <w:pPr>
              <w:pStyle w:val="TableBodyText"/>
            </w:pPr>
            <w:r>
              <w:t>Used with oneOf. The real value associated with the friendly title.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w:t>
            </w:r>
          </w:p>
        </w:tc>
        <w:tc>
          <w:tcPr>
            <w:tcBorders>
              <w:left w:val="nil"/>
              <w:right w:val="nil"/>
            </w:tcBorders>
          </w:tcPr>
          <w:p>
            <w:pPr>
              <w:pStyle w:val="TableBodyText"/>
            </w:pPr>
            <w:r>
              <w:t>Prepopulated value for the input.</w:t>
            </w:r>
          </w:p>
          <w:p>
            <w:pPr>
              <w:pStyle w:val="TableBodyText"/>
            </w:pPr>
            <w:r>
              <w:t>The default must be of the correct type. Do not enter a word as the default for an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User help text for the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Whether to encrypt the input that the user enters, true or false.</w:t>
            </w:r>
          </w:p>
          <w:p>
            <w:pPr>
              <w:pStyle w:val="TableBodyText"/>
            </w:pPr>
            <w:r>
              <w:t>Passwords are usually encrypted.</w:t>
            </w:r>
          </w:p>
          <w:p>
            <w:pPr>
              <w:pStyle w:val="TableBodyText"/>
            </w:pPr>
            <w:r>
              <w:t xml:space="preserve">You can also create encrypted properties that are reusable across multiple blueprints.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Bd92f63a7267246b496a483811f2b9375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Secrets in VCF Automation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w:t>
            </w:r>
          </w:p>
        </w:tc>
        <w:tc>
          <w:tcPr>
            <w:tcBorders>
              <w:left w:val="nil"/>
              <w:right w:val="nil"/>
            </w:tcBorders>
          </w:tcPr>
          <w:p>
            <w:pPr>
              <w:pStyle w:val="TableBodyText"/>
            </w:pPr>
            <w:r>
              <w:t>A drop-down menu of allowed values.</w:t>
            </w:r>
          </w:p>
          <w:p>
            <w:pPr>
              <w:pStyle w:val="TableBodyText"/>
            </w:pPr>
            <w:r>
              <w:t>Use the following example as a format guide.</w:t>
            </w:r>
          </w:p>
          <w:p>
            <w:pPr>
              <w:pStyle w:val="TableBodyText"/>
            </w:pPr>
            <w:r>
              <w:t>enum:
      - value 1
      - value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w:t>
            </w:r>
          </w:p>
        </w:tc>
        <w:tc>
          <w:tcPr>
            <w:tcBorders>
              <w:left w:val="nil"/>
              <w:right w:val="nil"/>
            </w:tcBorders>
          </w:tcPr>
          <w:p>
            <w:pPr>
              <w:pStyle w:val="TableBodyText"/>
            </w:pPr>
            <w:r>
              <w:t>Sets the expected format for the input. For example, (25/04/19) supports date-time.</w:t>
            </w:r>
          </w:p>
          <w:p>
            <w:pPr>
              <w:pStyle w:val="TableBodyText"/>
            </w:pPr>
            <w:r>
              <w:t>Allows the use of the date picker in custom forms.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items</w:t>
            </w:r>
          </w:p>
        </w:tc>
        <w:tc>
          <w:tcPr>
            <w:tcBorders>
              <w:left w:val="nil"/>
              <w:right w:val="nil"/>
            </w:tcBorders>
          </w:tcPr>
          <w:p>
            <w:pPr>
              <w:pStyle w:val="TableBodyText"/>
            </w:pPr>
            <w:r>
              <w:t>Declares items within an array. Supports number, integer, string, Boolean, or object.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maxItems</w:t>
            </w:r>
          </w:p>
        </w:tc>
        <w:tc>
          <w:tcPr>
            <w:tcBorders>
              <w:left w:val="nil"/>
              <w:right w:val="nil"/>
            </w:tcBorders>
          </w:tcPr>
          <w:p>
            <w:pPr>
              <w:pStyle w:val="TableBodyText"/>
            </w:pPr>
            <w:r>
              <w:t>Maximum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maxLength</w:t>
            </w:r>
          </w:p>
        </w:tc>
        <w:tc>
          <w:tcPr>
            <w:tcBorders>
              <w:left w:val="nil"/>
              <w:right w:val="nil"/>
            </w:tcBorders>
          </w:tcPr>
          <w:p>
            <w:pPr>
              <w:pStyle w:val="TableBodyText"/>
            </w:pPr>
            <w:r>
              <w:t>Maximum number of characters allowed for a string.</w:t>
            </w:r>
          </w:p>
          <w:p>
            <w:pPr>
              <w:pStyle w:val="TableBodyText"/>
            </w:pPr>
            <w:r>
              <w:t xml:space="preserve">For example, to limit a field to 25 characters, enter </w:t>
            </w:r>
            <w:r>
              <w:rPr>
                <w:rStyle w:val="InlineCode"/>
              </w:rPr>
              <w:t>maxLength: 25</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maximum</w:t>
            </w:r>
          </w:p>
        </w:tc>
        <w:tc>
          <w:tcPr>
            <w:tcBorders>
              <w:left w:val="nil"/>
              <w:right w:val="nil"/>
            </w:tcBorders>
          </w:tcPr>
          <w:p>
            <w:pPr>
              <w:pStyle w:val="TableBodyText"/>
            </w:pPr>
            <w:r>
              <w:t>Largest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minItems</w:t>
            </w:r>
          </w:p>
        </w:tc>
        <w:tc>
          <w:tcPr>
            <w:tcBorders>
              <w:left w:val="nil"/>
              <w:right w:val="nil"/>
            </w:tcBorders>
          </w:tcPr>
          <w:p>
            <w:pPr>
              <w:pStyle w:val="TableBodyText"/>
            </w:pPr>
            <w:r>
              <w:t>Minimum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minLength</w:t>
            </w:r>
          </w:p>
        </w:tc>
        <w:tc>
          <w:tcPr>
            <w:tcBorders>
              <w:left w:val="nil"/>
              <w:right w:val="nil"/>
            </w:tcBorders>
          </w:tcPr>
          <w:p>
            <w:pPr>
              <w:pStyle w:val="TableBodyText"/>
            </w:pPr>
            <w:r>
              <w:t>Minimum number of characters allowed for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minimum</w:t>
            </w:r>
          </w:p>
        </w:tc>
        <w:tc>
          <w:tcPr>
            <w:tcBorders>
              <w:left w:val="nil"/>
              <w:right w:val="nil"/>
            </w:tcBorders>
          </w:tcPr>
          <w:p>
            <w:pPr>
              <w:pStyle w:val="TableBodyText"/>
            </w:pPr>
            <w:r>
              <w:t>Smallest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oneOf</w:t>
            </w:r>
          </w:p>
        </w:tc>
        <w:tc>
          <w:tcPr>
            <w:tcBorders>
              <w:left w:val="nil"/>
              <w:right w:val="nil"/>
            </w:tcBorders>
          </w:tcPr>
          <w:p>
            <w:pPr>
              <w:pStyle w:val="TableBodyText"/>
            </w:pPr>
            <w:r>
              <w:t xml:space="preserve">Allows the user input form to display a friendly name (title) for a less friendly value (const). If adding the </w:t>
            </w:r>
            <w:r>
              <w:rPr>
                <w:rStyle w:val="InlineCite"/>
              </w:rPr>
              <w:t>default</w:t>
            </w:r>
            <w:r>
              <w:t xml:space="preserve"> property shown above in this table, set that default to a const value, not a title.</w:t>
            </w:r>
          </w:p>
          <w:p>
            <w:pPr>
              <w:pStyle w:val="TableBodyText"/>
            </w:pPr>
            <w:r>
              <w:t>Valid for use with types string, integer, and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pattern</w:t>
            </w:r>
          </w:p>
        </w:tc>
        <w:tc>
          <w:tcPr>
            <w:tcBorders>
              <w:left w:val="nil"/>
              <w:right w:val="nil"/>
            </w:tcBorders>
          </w:tcPr>
          <w:p>
            <w:pPr>
              <w:pStyle w:val="TableBodyText"/>
            </w:pPr>
            <w:r>
              <w:t>Allowable characters for string inputs, in regular expression syntax.</w:t>
            </w:r>
          </w:p>
          <w:p>
            <w:pPr>
              <w:pStyle w:val="TableBodyText"/>
            </w:pPr>
            <w:r>
              <w:t xml:space="preserve">For example, </w:t>
            </w:r>
            <w:r>
              <w:rPr>
                <w:rStyle w:val="InlineCode"/>
              </w:rPr>
              <w:t>'[a-z]+'</w:t>
            </w:r>
            <w:r>
              <w:t xml:space="preserve"> or </w:t>
            </w:r>
            <w:r>
              <w:rPr>
                <w:rStyle w:val="InlineCode"/>
              </w:rPr>
              <w:t>'[a-z0-9A-Z@#$]+'</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properties</w:t>
            </w:r>
          </w:p>
        </w:tc>
        <w:tc>
          <w:tcPr>
            <w:tcBorders>
              <w:left w:val="nil"/>
              <w:right w:val="nil"/>
            </w:tcBorders>
          </w:tcPr>
          <w:p>
            <w:pPr>
              <w:pStyle w:val="TableBodyText"/>
            </w:pPr>
            <w:r>
              <w:t>Declares the key:value properties block for objects.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Used to provide a form label 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title</w:t>
            </w:r>
          </w:p>
        </w:tc>
        <w:tc>
          <w:tcPr>
            <w:tcBorders>
              <w:left w:val="nil"/>
              <w:right w:val="nil"/>
            </w:tcBorders>
          </w:tcPr>
          <w:p>
            <w:pPr>
              <w:pStyle w:val="TableBodyText"/>
            </w:pPr>
            <w:r>
              <w:t>Used with oneOf. The friendly name for a const value. The title appears on the user input form at deployment time.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Data type of number, integer, string, Boolean, or object.</w:t>
            </w:r>
          </w:p>
          <w:p>
            <w:pPr>
              <w:pStyle w:val="TableBodyText"/>
              <w:pBdr>
                <w:top w:val="single" w:sz="8" w:space="2" w:color="D3D3D3"/>
              </w:pBdr>
            </w:pPr>
            <w:r>
              <w:rPr>
                <w:rStyle w:val="NoteLeaderimportant"/>
              </w:rPr>
              <w:t>Important</w:t>
              <w:tab/>
            </w:r>
            <w:r>
              <w:t>A Boolean type adds a blank checkbox to the request form. Leaving the box untouched does not make the input False.</w:t>
            </w:r>
          </w:p>
          <w:p>
            <w:pPr>
              <w:pStyle w:val="TableBodyText"/>
              <w:pBdr>
                <w:bottom w:val="single" w:sz="8" w:space="2" w:color="D3D3D3"/>
              </w:pBdr>
            </w:pPr>
            <w:r>
              <w:t>To set the input to False, users must check and then clear the box.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writeOnly</w:t>
            </w:r>
          </w:p>
        </w:tc>
        <w:tc>
          <w:tcPr>
            <w:tcBorders>
              <w:left w:val="nil"/>
              <w:right w:val="nil"/>
            </w:tcBorders>
          </w:tcPr>
          <w:p>
            <w:pPr>
              <w:pStyle w:val="TableBodyText"/>
            </w:pPr>
            <w:r>
              <w:t>Hides keystrokes behind asterisks in the form. Cannot be used with enum. Appears as a password field in custom forms.</w:t>
            </w:r>
          </w:p>
        </w:tc>
      </w:tr>
    </w:tbl>
    <w:p>
      <w:pPr>
        <w:pStyle w:val="SectionHeading4"/>
        <w:spacing w:before="120"/>
      </w:pPr>
      <w:bookmarkStart w:id="123" w:name="_Toc256000676"/>
      <w:r>
        <w:t>Additional examples</w:t>
      </w:r>
      <w:bookmarkEnd w:id="123"/>
    </w:p>
    <w:p>
      <w:pPr>
        <w:pStyle w:val="BodyText"/>
      </w:pPr>
      <w:r>
        <w:t>String with enumeration</w:t>
      </w:r>
    </w:p>
    <w:p>
      <w:pPr>
        <w:pStyle w:val="CodeBlock"/>
      </w:pPr>
      <w:r>
        <w:t xml:space="preserve">  image:
    type: string
    title: Operating System
    description: The operating system version to use.
    enum:
      - ubuntu 16.04
      - ubuntu 18.04
    default: ubuntu 16.04
  shell:
    type: string
    title: Default shell
    Description: The default shell that will be configured for the created user.
    enum:
      - /bin/bash
      - /bin/sh</w:t>
      </w:r>
    </w:p>
    <w:p>
      <w:pPr>
        <w:pStyle w:val="BodyText"/>
      </w:pPr>
      <w:r>
        <w:t>Integer with minimum and maximum</w:t>
      </w:r>
    </w:p>
    <w:p>
      <w:pPr>
        <w:pStyle w:val="CodeBlock"/>
      </w:pPr>
      <w:r>
        <w:t xml:space="preserve">  count:
    type: integer
    title: Machine Count
    description: The number of machines that you want to deploy.
    maximum: 5
    minimum: 1
    default: 1</w:t>
      </w:r>
    </w:p>
    <w:p>
      <w:pPr>
        <w:pStyle w:val="BodyText"/>
      </w:pPr>
      <w:r>
        <w:t>Array of objects</w:t>
      </w:r>
    </w:p>
    <w:p>
      <w:pPr>
        <w:pStyle w:val="CodeBlock"/>
      </w:pPr>
      <w:r>
        <w:t xml:space="preserve">  tags:
    type: array
    title: Tags
    description: Tags that you want applied to the machines.
    items:
      type: object
      properties:
        key:
          type: string
          title: Key
        value:
          type: string
          title: Value</w:t>
      </w:r>
    </w:p>
    <w:p>
      <w:pPr>
        <w:pStyle w:val="BodyText"/>
      </w:pPr>
      <w:r>
        <w:t>String with friendly names</w:t>
      </w:r>
    </w:p>
    <w:p>
      <w:pPr>
        <w:pStyle w:val="CodeBlock"/>
      </w:pPr>
      <w:r>
        <w:t xml:space="preserve">  platform:
    type: string
    oneOf:
      - title: AWS
        const: platform:aws
      - title: Azure
        const: platform:azure
      - title: vSphere
        const: platform:vsphere
    default: platform:aws</w:t>
      </w:r>
    </w:p>
    <w:p>
      <w:pPr>
        <w:pStyle w:val="BodyText"/>
      </w:pPr>
      <w:r>
        <w:t>String with pattern validation</w:t>
      </w:r>
    </w:p>
    <w:p>
      <w:pPr>
        <w:pStyle w:val="CodeBlock"/>
      </w:pPr>
      <w:r>
        <w:t xml:space="preserve">  username:
    type: string
    title: Username
    description: The name for the user that will be created when the machine is provisioned.
    pattern: ^[a-zA-Z]+$</w:t>
      </w:r>
    </w:p>
    <w:p>
      <w:pPr>
        <w:pStyle w:val="BodyText"/>
      </w:pPr>
      <w:r>
        <w:t>String as password</w:t>
      </w:r>
    </w:p>
    <w:p>
      <w:pPr>
        <w:pStyle w:val="CodeBlock"/>
      </w:pPr>
      <w:r>
        <w:t xml:space="preserve">  password:
    type: string
    title: Password
    description: The initial password that will be required to logon to the machine. Configured to reset on first login.
    encrypted: true
    writeOnly: true</w:t>
      </w:r>
    </w:p>
    <w:p>
      <w:pPr>
        <w:pStyle w:val="BodyText"/>
      </w:pPr>
      <w:r>
        <w:t>String as text area</w:t>
      </w:r>
    </w:p>
    <w:p>
      <w:pPr>
        <w:pStyle w:val="CodeBlock"/>
      </w:pPr>
      <w:r>
        <w:t xml:space="preserve">  ssh_public_key:
    type: string
    title: SSH public key
    maxLength: 256</w:t>
      </w:r>
    </w:p>
    <w:p>
      <w:pPr>
        <w:pStyle w:val="BodyText"/>
      </w:pPr>
      <w:r>
        <w:t>Boolean</w:t>
      </w:r>
    </w:p>
    <w:p>
      <w:pPr>
        <w:pStyle w:val="CodeBlock"/>
      </w:pPr>
      <w:r>
        <w:t xml:space="preserve">  public_ip:
    type: boolean
    title: Assign public IP address
    description: Choose whether your machine should be internet facing.
    default: false</w:t>
      </w:r>
    </w:p>
    <w:p>
      <w:pPr>
        <w:pStyle w:val="BodyText"/>
      </w:pPr>
      <w:r>
        <w:t>Date and time calendar selector</w:t>
      </w:r>
    </w:p>
    <w:p>
      <w:pPr>
        <w:pStyle w:val="CodeBlock"/>
      </w:pPr>
      <w:r>
        <w:t xml:space="preserve">  leaseDate:
    type: string
    title: Lease Date
    format: date-time</w:t>
      </w:r>
    </w:p>
    <w:p>
      <w:pPr>
        <w:pStyle w:val="Heading3"/>
      </w:pPr>
      <w:bookmarkStart w:id="124" w:name="_Toc256000677"/>
      <w:r>
        <w:t>Reusing a Group of Properties in VCF Automation</w:t>
      </w:r>
      <w:bookmarkEnd w:id="124"/>
    </w:p>
    <w:p>
      <w:pPr>
        <w:pStyle w:val="BodyText"/>
      </w:pPr>
      <w:r>
        <w:t xml:space="preserve">When you have </w:t>
      </w:r>
      <w:r>
        <w:t>VCF Automation</w:t>
      </w:r>
      <w:r>
        <w:t xml:space="preserve"> properties that always appear together, you can assemble them into a property group.</w:t>
      </w:r>
    </w:p>
    <w:p>
      <w:pPr>
        <w:pStyle w:val="BodyText"/>
      </w:pPr>
      <w:r>
        <w:t xml:space="preserve">You can quickly add a property group to different </w:t>
      </w:r>
      <w:r>
        <w:t>VCF Automation</w:t>
      </w:r>
      <w:r>
        <w:t xml:space="preserve"> designs, which saves the time of adding the same multiple properties one by one. In addition, you have a single place to maintain or modify the set of properties, which ensures their consistent application.</w:t>
      </w:r>
    </w:p>
    <w:p>
      <w:pPr>
        <w:pStyle w:val="BodyText"/>
      </w:pPr>
      <w:r>
        <w:t>Only users with the Organization Administrator role may create, update, or delete a property group. The administrator can share a property group with an entire organization or limit its use to only within a project.</w:t>
      </w:r>
    </w:p>
    <w:p>
      <w:pPr>
        <w:pStyle w:val="BodyText"/>
        <w:pBdr>
          <w:top w:val="single" w:sz="8" w:space="2" w:color="D3D3D3"/>
          <w:bottom w:val="single" w:sz="8" w:space="2" w:color="D3D3D3"/>
        </w:pBdr>
      </w:pPr>
      <w:r>
        <w:rPr>
          <w:rStyle w:val="NoteLeadercaution"/>
        </w:rPr>
        <w:t>Caution</w:t>
        <w:tab/>
      </w:r>
      <w:r>
        <w:t>A property group might be included in many blueprints, including ones that are already released to the catalog. Changes to a property group can affect other users.</w:t>
      </w:r>
    </w:p>
    <w:p>
      <w:pPr>
        <w:pStyle w:val="BodyText"/>
      </w:pPr>
      <w:r>
        <w:t>There are two types of property groups.</w:t>
      </w:r>
    </w:p>
    <w:p>
      <w:pPr>
        <w:pStyle w:val="BodyText"/>
        <w:numPr>
          <w:numId w:val="80"/>
        </w:numPr>
      </w:pPr>
      <w:r>
        <w:t>Inputs</w:t>
      </w:r>
    </w:p>
    <w:p>
      <w:pPr>
        <w:pStyle w:val="BodyText"/>
        <w:ind w:left="480"/>
      </w:pPr>
      <w:r>
        <w:t>Input property groups gather and apply a consistent set of properties at user request time. Input property groups can include entries for the user to add or select, or they might include read-only values that are needed by the design.</w:t>
      </w:r>
    </w:p>
    <w:p>
      <w:pPr>
        <w:pStyle w:val="BodyText"/>
        <w:ind w:left="480"/>
      </w:pPr>
      <w:r>
        <w:t>Properties for the user to edit or select can be readable or encrypted. Read-only properties appear on the request form but can't be edited. If you want read-only values to remain totally hidden, use a constant property group instead.</w:t>
      </w:r>
    </w:p>
    <w:p>
      <w:pPr>
        <w:pStyle w:val="BodyText"/>
        <w:numPr>
          <w:numId w:val="80"/>
        </w:numPr>
      </w:pPr>
      <w:r>
        <w:t>Constants</w:t>
      </w:r>
    </w:p>
    <w:p>
      <w:pPr>
        <w:pStyle w:val="BodyText"/>
        <w:ind w:left="480"/>
      </w:pPr>
      <w:r>
        <w:t xml:space="preserve">Constant property groups silently apply known properties. In effect, constant property groups are invisible metadata. They provide values to your </w:t>
      </w:r>
      <w:r>
        <w:t>VCF Automation</w:t>
      </w:r>
      <w:r>
        <w:t xml:space="preserve"> designs in a way that prevents a requesting user from reading those values or even knowing that they're present. Examples might include license keys or domain account credentials.</w:t>
      </w:r>
    </w:p>
    <w:p>
      <w:pPr>
        <w:pStyle w:val="BodyText"/>
      </w:pPr>
      <w:r>
        <w:t xml:space="preserve">The two property group types are handled very differently by </w:t>
      </w:r>
      <w:r>
        <w:t>VCF Automation</w:t>
      </w:r>
      <w:r>
        <w:t>. When you create a property group, you must first select whether to create inputs or constants. You can't create a blended property group nor convert an existing set of properties and their property group from one type to the other.</w:t>
      </w:r>
    </w:p>
    <w:p>
      <w:pPr>
        <w:pStyle w:val="SectionHeading4"/>
      </w:pPr>
      <w:bookmarkStart w:id="125" w:name="_Toc256000678"/>
      <w:r>
        <w:t>Modifying a Property Group</w:t>
      </w:r>
      <w:bookmarkEnd w:id="125"/>
    </w:p>
    <w:p>
      <w:pPr>
        <w:pStyle w:val="BodyText"/>
      </w:pPr>
      <w:r>
        <w:t>Changes to a property group affect every blueprint that uses it. When the changed version of the blueprint is released, those changes also affect catalog users.</w:t>
      </w:r>
    </w:p>
    <w:p>
      <w:pPr>
        <w:pStyle w:val="BodyText"/>
      </w:pPr>
      <w:r>
        <w:t>The property group editing pages show the number of blueprints that include the property group. To see which blueprint would be affected by a change, click the number.</w:t>
      </w:r>
    </w:p>
    <w:p>
      <w:pPr>
        <w:pStyle w:val="BodyText"/>
      </w:pPr>
      <w:r>
        <w:t>Before modifying a property group, make sure that the change is acceptable to everyone who is creating or updating deployments based on the blueprints listed.</w:t>
      </w:r>
    </w:p>
    <w:p>
      <w:pPr>
        <w:pStyle w:val="SectionHeading4"/>
      </w:pPr>
      <w:bookmarkStart w:id="126" w:name="_Toc256000679"/>
      <w:r>
        <w:t>Deleting a Property Group</w:t>
      </w:r>
      <w:bookmarkEnd w:id="126"/>
    </w:p>
    <w:p>
      <w:pPr>
        <w:pStyle w:val="BodyText"/>
      </w:pPr>
      <w:r>
        <w:t>Deleting a property group causes errors in every blueprint that uses it. You cannot delete a property group before you manually remove it from all of the blueprints in which it is included.</w:t>
      </w:r>
    </w:p>
    <w:p>
      <w:pPr>
        <w:pStyle w:val="BodyText"/>
      </w:pPr>
      <w:r>
        <w:t xml:space="preserve">To remove a property group from a blueprint, open and edit the blueprint in the design canvas. Use the code editor to delete the associated </w:t>
      </w:r>
      <w:r>
        <w:rPr>
          <w:rStyle w:val="InlineCode"/>
        </w:rPr>
        <w:t>propgroup</w:t>
      </w:r>
      <w:r>
        <w:t xml:space="preserve"> entry or entries in the </w:t>
      </w:r>
      <w:r>
        <w:rPr>
          <w:rStyle w:val="InlineCode"/>
        </w:rPr>
        <w:t>resources</w:t>
      </w:r>
      <w:r>
        <w:t xml:space="preserve"> section of the code.</w:t>
      </w:r>
    </w:p>
    <w:p>
      <w:pPr>
        <w:pStyle w:val="BodyText"/>
        <w:pBdr>
          <w:top w:val="single" w:sz="8" w:space="2" w:color="D3D3D3"/>
          <w:bottom w:val="single" w:sz="8" w:space="2" w:color="D3D3D3"/>
        </w:pBdr>
      </w:pPr>
      <w:r>
        <w:rPr>
          <w:rStyle w:val="NoteLeadernote"/>
        </w:rPr>
        <w:t>Note</w:t>
        <w:tab/>
      </w:r>
      <w:r>
        <w:t>You cannot delete a property group if it is included in a versioned blueprint. Versioned blueprints are read-only.</w:t>
      </w:r>
    </w:p>
    <w:p>
      <w:pPr>
        <w:pStyle w:val="Heading4"/>
      </w:pPr>
      <w:bookmarkStart w:id="127" w:name="_Toc256000680"/>
      <w:r>
        <w:t>Input Property Groups in VCF Automation</w:t>
      </w:r>
      <w:bookmarkEnd w:id="127"/>
    </w:p>
    <w:p>
      <w:pPr>
        <w:pStyle w:val="BodyText"/>
      </w:pPr>
      <w:r>
        <w:t>VCF Automation</w:t>
      </w:r>
      <w:r>
        <w:t xml:space="preserve"> input property groups usually include related settings for the user to enter or select. They might also include read-only values needed by the blueprint design.</w:t>
      </w:r>
    </w:p>
    <w:p>
      <w:pPr>
        <w:pStyle w:val="SectionHeading5"/>
      </w:pPr>
      <w:r>
        <w:t>Create an input property group</w:t>
      </w:r>
    </w:p>
    <w:p>
      <w:pPr>
        <w:pStyle w:val="BodyText"/>
        <w:numPr>
          <w:numId w:val="81"/>
        </w:numPr>
      </w:pPr>
      <w:r>
        <w:t xml:space="preserve">Go to </w:t>
      </w:r>
      <w:r>
        <w:rPr>
          <w:rStyle w:val="InlineUI"/>
        </w:rPr>
        <w:t>Build &amp; Deploy</w:t>
      </w:r>
      <w:r>
        <w:rPr>
          <w:rStyle w:val="InlineUI"/>
        </w:rPr>
        <w:t xml:space="preserve"> &gt; </w:t>
      </w:r>
      <w:r>
        <w:rPr>
          <w:rStyle w:val="InlineUI"/>
        </w:rPr>
        <w:t>Blueprint Design</w:t>
      </w:r>
      <w:r>
        <w:rPr>
          <w:rStyle w:val="InlineUI"/>
        </w:rPr>
        <w:t xml:space="preserve"> &gt; </w:t>
      </w:r>
      <w:r>
        <w:rPr>
          <w:rStyle w:val="InlineUI"/>
        </w:rPr>
        <w:t>Property Groups</w:t>
      </w:r>
      <w:r>
        <w:t xml:space="preserve">, and click </w:t>
      </w:r>
      <w:r>
        <w:rPr>
          <w:rStyle w:val="InlineUI"/>
        </w:rPr>
        <w:t>New</w:t>
      </w:r>
      <w:r>
        <w:t>.</w:t>
      </w:r>
    </w:p>
    <w:p>
      <w:pPr>
        <w:pStyle w:val="BodyText"/>
        <w:numPr>
          <w:numId w:val="81"/>
        </w:numPr>
      </w:pPr>
      <w:r>
        <w:t xml:space="preserve">Select </w:t>
      </w:r>
      <w:r>
        <w:rPr>
          <w:rStyle w:val="InlineUI"/>
        </w:rPr>
        <w:t>Input Values</w:t>
      </w:r>
      <w:r>
        <w:t>.</w:t>
      </w:r>
    </w:p>
    <w:p>
      <w:pPr>
        <w:pStyle w:val="BodyText"/>
        <w:numPr>
          <w:numId w:val="81"/>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9"/>
        <w:gridCol w:w="803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 heading for the entire group of properties, which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properties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81"/>
        </w:numPr>
        <w:spacing w:before="240"/>
      </w:pPr>
      <w:r>
        <w:t xml:space="preserve">To add a property to the group, click </w:t>
      </w:r>
      <w:r>
        <w:rPr>
          <w:rStyle w:val="InlineUI"/>
        </w:rPr>
        <w:t>New Property</w:t>
      </w:r>
      <w:r>
        <w:t>.</w:t>
      </w:r>
    </w:p>
    <w:p>
      <w:pPr>
        <w:pStyle w:val="BodyText"/>
        <w:ind w:left="480"/>
      </w:pPr>
      <w:r>
        <w:t xml:space="preserve">The panel for adding a new property is very similar to the Inputs tab of the </w:t>
      </w:r>
      <w:r>
        <w:t>VCF Automation</w:t>
      </w:r>
      <w:r>
        <w:t xml:space="preserve"> design page code editor.</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7"/>
        <w:gridCol w:w="8083"/>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Free-form name for the individual property.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an individual property name to appear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 Integer, Number, Boolean (T/F), Object, or Array.</w:t>
            </w:r>
          </w:p>
        </w:tc>
      </w:tr>
      <w:tr>
        <w:tblPrEx>
          <w:tblInd w:w="480" w:type="dxa"/>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Preset value entry that appears in the request form.</w:t>
            </w:r>
          </w:p>
          <w:p>
            <w:pPr>
              <w:pStyle w:val="TableBodyText"/>
            </w:pPr>
            <w:r>
              <w:t>The presence of default values affects whether input is optional or required.</w:t>
            </w:r>
          </w:p>
        </w:tc>
      </w:tr>
      <w:tr>
        <w:tblPrEx>
          <w:tblInd w:w="480" w:type="dxa"/>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When selected, obscures the value when entering it into the request form and in the subsequent deployment. Encrypted properties can't have a default value.</w:t>
            </w:r>
          </w:p>
        </w:tc>
      </w:tr>
      <w:tr>
        <w:tblPrEx>
          <w:tblInd w:w="480" w:type="dxa"/>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An uneditable but visible value in the request form. Requires a default.</w:t>
            </w:r>
          </w:p>
        </w:tc>
      </w:tr>
      <w:tr>
        <w:tblPrEx>
          <w:tblInd w:w="480" w:type="dxa"/>
          <w:tblCellMar>
            <w:left w:w="108" w:type="dxa"/>
            <w:right w:w="108" w:type="dxa"/>
          </w:tblCellMar>
        </w:tblPrEx>
        <w:trPr>
          <w:cantSplit/>
        </w:trPr>
        <w:tc>
          <w:tcPr>
            <w:tcBorders>
              <w:left w:val="nil"/>
              <w:right w:val="nil"/>
            </w:tcBorders>
          </w:tcPr>
          <w:p>
            <w:pPr>
              <w:pStyle w:val="TableBodyText"/>
            </w:pPr>
            <w:r>
              <w:t>More Options</w:t>
            </w:r>
          </w:p>
        </w:tc>
        <w:tc>
          <w:tcPr>
            <w:tcBorders>
              <w:left w:val="nil"/>
              <w:right w:val="nil"/>
            </w:tcBorders>
          </w:tcPr>
          <w:p>
            <w:pPr>
              <w:pStyle w:val="TableBodyText"/>
            </w:pPr>
            <w:r>
              <w:t xml:space="preserve">Options that vary according to property type. Expand the drop-down, add any additional settings, and click </w:t>
            </w:r>
            <w:r>
              <w:rPr>
                <w:rStyle w:val="InlineUI"/>
              </w:rPr>
              <w:t>Create</w:t>
            </w:r>
            <w:r>
              <w:t>.</w:t>
            </w:r>
          </w:p>
        </w:tc>
      </w:tr>
    </w:tbl>
    <w:p>
      <w:pPr>
        <w:pStyle w:val="BodyText"/>
        <w:spacing w:before="240"/>
      </w:pPr>
      <w:r>
        <w:t>In the following example, the property being added represents the operating system image, and the requesting user can select from two.</w:t>
      </w:r>
    </w:p>
    <w:p>
      <w:pPr>
        <w:pStyle w:val="BodyText"/>
        <w:pBdr>
          <w:top w:val="single" w:sz="8" w:space="2" w:color="D3D3D3"/>
          <w:bottom w:val="single" w:sz="8" w:space="2" w:color="D3D3D3"/>
        </w:pBdr>
        <w:ind w:left="0"/>
      </w:pPr>
      <w:r>
        <w:rPr>
          <w:rStyle w:val="NoteLeadernote"/>
        </w:rPr>
        <w:t>Note</w:t>
        <w:tab/>
      </w:r>
      <w:r>
        <w:t xml:space="preserve">The operating systems shown in the example figure must already be part of the configured </w:t>
      </w:r>
      <w:r>
        <w:t>VCF Automation</w:t>
      </w:r>
      <w:r>
        <w:t xml:space="preserve"> infrastructure.</w:t>
      </w:r>
    </w:p>
    <w:p>
      <w:pPr>
        <w:pStyle w:val="BodyText"/>
        <w:numPr>
          <w:numId w:val="81"/>
        </w:numPr>
      </w:pPr>
      <w:r>
        <w:t xml:space="preserve">Add more properties to the group, and click </w:t>
      </w:r>
      <w:r>
        <w:rPr>
          <w:rStyle w:val="InlineUI"/>
        </w:rPr>
        <w:t>Create</w:t>
      </w:r>
      <w:r>
        <w:t xml:space="preserve"> when finished.</w:t>
      </w:r>
    </w:p>
    <w:p>
      <w:pPr>
        <w:pStyle w:val="SectionHeading5"/>
      </w:pPr>
      <w:r>
        <w:t>Adding the property group to blueprint inputs</w:t>
      </w:r>
    </w:p>
    <w:p>
      <w:pPr>
        <w:pStyle w:val="BodyText"/>
      </w:pPr>
      <w:r>
        <w:t>Even for a long list of property inputs, you only need to add the property group to make them all part of the request form.</w:t>
      </w:r>
    </w:p>
    <w:p>
      <w:pPr>
        <w:pStyle w:val="BodyText"/>
      </w:pPr>
      <w:r>
        <w:t xml:space="preserve">Enter the inputs code directly into the blueprint design page, and take advantage of the automatic prompting as you type </w:t>
      </w:r>
      <w:r>
        <w:rPr>
          <w:rStyle w:val="InlineCode"/>
        </w:rPr>
        <w:t>$ref: /ref/p...</w:t>
      </w:r>
      <w:r>
        <w:t xml:space="preserve"> in the code editor. Your code might look similar to the following example.</w:t>
      </w:r>
    </w:p>
    <w:p>
      <w:pPr>
        <w:pStyle w:val="CodeBlock"/>
      </w:pPr>
      <w:r>
        <w:t>inputs:
  pgmachine:
    type: object
    title: Machine Properties
    $ref: /ref/property-groups/machine
  pgrequester:
    type: object
    title: Requester Details
    $ref: /ref/property-groups/requesterDetails</w:t>
      </w:r>
    </w:p>
    <w:p>
      <w:pPr>
        <w:pStyle w:val="SectionHeading5"/>
      </w:pPr>
      <w:r>
        <w:t>Binding blueprint resources to the property group</w:t>
      </w:r>
    </w:p>
    <w:p>
      <w:pPr>
        <w:pStyle w:val="BodyText"/>
      </w:pPr>
      <w:r>
        <w:t xml:space="preserve">To make use of property group input values, add </w:t>
      </w:r>
      <w:r>
        <w:rPr>
          <w:rStyle w:val="InlineCode"/>
        </w:rPr>
        <w:t>propgroup</w:t>
      </w:r>
      <w:r>
        <w:t xml:space="preserve"> bindings under the resource.</w:t>
      </w:r>
    </w:p>
    <w:p>
      <w:pPr>
        <w:pStyle w:val="BodyText"/>
      </w:pPr>
      <w:r>
        <w:t>Depending on what kind of values are in a property group, you might want to reference them individually. You can enter them separately, by property group name and property name.</w:t>
      </w:r>
    </w:p>
    <w:p>
      <w:pPr>
        <w:pStyle w:val="BodyText"/>
      </w:pPr>
      <w:r>
        <w:t>You can also quickly add an entire set of values to a resource by referencing an entire property group.</w:t>
      </w:r>
    </w:p>
    <w:p>
      <w:pPr>
        <w:pStyle w:val="BodyText"/>
      </w:pPr>
      <w:r>
        <w:t>The following example shows how you reference an input property from a property group.</w:t>
      </w:r>
    </w:p>
    <w:p>
      <w:pPr>
        <w:pStyle w:val="CodeBlock"/>
      </w:pPr>
      <w:r>
        <w:t>pve-vm:
    type: CCI.Supervisor.Resource
    properties:
      context: ${resource.CCI_Supervisor_Namespace_1.id}
      manifest:
        apiVersion: vmoperator.vmware.com/v1alpha3
        kind: VirtualMachine
        metadata:
          name: virtual-machine-1-${env.shortDeploymentId}
        spec:
          className: small
          imageName: ${input.pgmachine.image}</w:t>
      </w:r>
    </w:p>
    <w:p>
      <w:pPr>
        <w:pStyle w:val="SectionHeading5"/>
      </w:pPr>
      <w:r>
        <w:t>Property groups in the custom form editor</w:t>
      </w:r>
    </w:p>
    <w:p>
      <w:pPr>
        <w:pStyle w:val="BodyText"/>
      </w:pPr>
      <w:r>
        <w:t>Property groups are not editable like other fields in the custom form designer.</w:t>
      </w:r>
    </w:p>
    <w:p>
      <w:pPr>
        <w:pStyle w:val="Heading4"/>
      </w:pPr>
      <w:bookmarkStart w:id="128" w:name="_Toc256000681"/>
      <w:r>
        <w:t>Constant Property Groups in VCF Automation</w:t>
      </w:r>
      <w:bookmarkEnd w:id="128"/>
    </w:p>
    <w:p>
      <w:pPr>
        <w:pStyle w:val="BodyText"/>
      </w:pPr>
      <w:r>
        <w:t>VCF Automation</w:t>
      </w:r>
      <w:r>
        <w:t xml:space="preserve"> constants allow you to silently apply known key-value pairs to your designs.</w:t>
      </w:r>
    </w:p>
    <w:p>
      <w:pPr>
        <w:pStyle w:val="SectionHeading5"/>
      </w:pPr>
      <w:r>
        <w:t>How constants work</w:t>
      </w:r>
    </w:p>
    <w:p>
      <w:pPr>
        <w:pStyle w:val="BodyText"/>
      </w:pPr>
      <w:r>
        <w:t xml:space="preserve">The key appears in the blueprint code, and the value becomes part of deployments that are based on that blueprint. Constants require the </w:t>
      </w:r>
      <w:r>
        <w:rPr>
          <w:rStyle w:val="InlineCode"/>
        </w:rPr>
        <w:t>propgroup</w:t>
      </w:r>
      <w:r>
        <w:t xml:space="preserve"> binding under the resource.</w:t>
      </w:r>
    </w:p>
    <w:p>
      <w:pPr>
        <w:pStyle w:val="BodyText"/>
      </w:pPr>
      <w:r>
        <w:t xml:space="preserve">The </w:t>
      </w:r>
      <w:r>
        <w:rPr>
          <w:rStyle w:val="InlineCode"/>
        </w:rPr>
        <w:t>propgroup</w:t>
      </w:r>
      <w:r>
        <w:t xml:space="preserve"> binding is only used with constant property groups, not input property groups.</w:t>
      </w:r>
    </w:p>
    <w:p>
      <w:pPr>
        <w:pStyle w:val="SectionHeading5"/>
      </w:pPr>
      <w:r>
        <w:t>Secret properties</w:t>
      </w:r>
    </w:p>
    <w:p>
      <w:pPr>
        <w:pStyle w:val="BodyText"/>
      </w:pPr>
      <w:r>
        <w:t>If you expect to add an secret property to a property group, create the secret property before proceeding.</w:t>
      </w:r>
    </w:p>
    <w:p>
      <w:pPr>
        <w:pStyle w:val="SectionHeading5"/>
      </w:pPr>
      <w:r>
        <w:t>Create a constant property group</w:t>
      </w:r>
    </w:p>
    <w:p>
      <w:pPr>
        <w:pStyle w:val="BodyText"/>
        <w:numPr>
          <w:numId w:val="82"/>
        </w:numPr>
      </w:pPr>
      <w:r>
        <w:t xml:space="preserve">Go to </w:t>
      </w:r>
      <w:r>
        <w:rPr>
          <w:rStyle w:val="InlineUI"/>
        </w:rPr>
        <w:t>Build &amp; Deploy</w:t>
      </w:r>
      <w:r>
        <w:rPr>
          <w:rStyle w:val="InlineUI"/>
        </w:rPr>
        <w:t xml:space="preserve"> &gt; </w:t>
      </w:r>
      <w:r>
        <w:rPr>
          <w:rStyle w:val="InlineUI"/>
        </w:rPr>
        <w:t>Blueprint Design</w:t>
      </w:r>
      <w:r>
        <w:rPr>
          <w:rStyle w:val="InlineUI"/>
        </w:rPr>
        <w:t xml:space="preserve"> &gt; </w:t>
      </w:r>
      <w:r>
        <w:rPr>
          <w:rStyle w:val="InlineUI"/>
        </w:rPr>
        <w:t>Property Groups</w:t>
      </w:r>
      <w:r>
        <w:t xml:space="preserve">, and click </w:t>
      </w:r>
      <w:r>
        <w:rPr>
          <w:rStyle w:val="InlineUI"/>
        </w:rPr>
        <w:t>New</w:t>
      </w:r>
      <w:r>
        <w:t>.</w:t>
      </w:r>
    </w:p>
    <w:p>
      <w:pPr>
        <w:pStyle w:val="BodyText"/>
        <w:numPr>
          <w:numId w:val="82"/>
        </w:numPr>
      </w:pPr>
      <w:r>
        <w:t xml:space="preserve">Select </w:t>
      </w:r>
      <w:r>
        <w:rPr>
          <w:rStyle w:val="InlineUI"/>
        </w:rPr>
        <w:t>Constant Values</w:t>
      </w:r>
      <w:r>
        <w:t>.</w:t>
      </w:r>
    </w:p>
    <w:p>
      <w:pPr>
        <w:pStyle w:val="BodyText"/>
        <w:numPr>
          <w:numId w:val="82"/>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3"/>
        <w:gridCol w:w="803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Leave blank. No heading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constants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p>
            <w:pPr>
              <w:pStyle w:val="TableBodyText"/>
            </w:pPr>
            <w:r>
              <w:t>Secrets—If you expect to add a secret property to the property group, you must use single project scope. Secret properties are saved only at the project level.</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82"/>
        </w:numPr>
        <w:spacing w:before="240"/>
      </w:pPr>
      <w:r>
        <w:t xml:space="preserve">To add a constant property to the group, click </w:t>
      </w:r>
      <w:r>
        <w:rPr>
          <w:rStyle w:val="InlineUI"/>
        </w:rPr>
        <w:t>New Property</w:t>
      </w:r>
      <w:r>
        <w:t>.</w:t>
      </w:r>
    </w:p>
    <w:p>
      <w:pPr>
        <w:pStyle w:val="BodyText"/>
        <w:numPr>
          <w:numId w:val="82"/>
        </w:numPr>
      </w:pPr>
      <w:r>
        <w:t>Enter a name that acts as the key, and a description.</w:t>
      </w:r>
    </w:p>
    <w:p>
      <w:pPr>
        <w:pStyle w:val="BodyText"/>
        <w:numPr>
          <w:numId w:val="82"/>
        </w:numPr>
      </w:pPr>
      <w:r>
        <w:t>Select a property type.</w:t>
      </w:r>
    </w:p>
    <w:p>
      <w:pPr>
        <w:pStyle w:val="BodyText"/>
        <w:numPr>
          <w:numId w:val="82"/>
        </w:numPr>
      </w:pPr>
      <w:r>
        <w:t xml:space="preserve">Enter the constant value that you want, and click </w:t>
      </w:r>
      <w:r>
        <w:rPr>
          <w:rStyle w:val="InlineUI"/>
        </w:rPr>
        <w:t>Create</w:t>
      </w:r>
      <w:r>
        <w:t>.</w:t>
      </w:r>
    </w:p>
    <w:p>
      <w:pPr>
        <w:pStyle w:val="BodyText"/>
        <w:numPr>
          <w:ilvl w:val="1"/>
          <w:numId w:val="82"/>
        </w:numPr>
      </w:pPr>
      <w:r>
        <w:t>String, integer, and number types use direct entry.</w:t>
      </w:r>
    </w:p>
    <w:p>
      <w:pPr>
        <w:pStyle w:val="BodyText"/>
        <w:numPr>
          <w:ilvl w:val="1"/>
          <w:numId w:val="82"/>
        </w:numPr>
      </w:pPr>
      <w:r>
        <w:t>For a secret string value, select from the list of secret properties for the project.</w:t>
      </w:r>
    </w:p>
    <w:p>
      <w:pPr>
        <w:pStyle w:val="BodyText"/>
        <w:numPr>
          <w:ilvl w:val="1"/>
          <w:numId w:val="82"/>
        </w:numPr>
      </w:pPr>
      <w:r>
        <w:t>The boolean type uses a selection box to indicate true.</w:t>
      </w:r>
    </w:p>
    <w:p>
      <w:pPr>
        <w:pStyle w:val="BodyText"/>
        <w:numPr>
          <w:ilvl w:val="1"/>
          <w:numId w:val="82"/>
        </w:numPr>
      </w:pPr>
      <w:r>
        <w:t xml:space="preserve">For the object or array type, replace </w:t>
      </w:r>
      <w:r>
        <w:rPr>
          <w:rStyle w:val="InlineCode"/>
        </w:rPr>
        <w:t>null</w:t>
      </w:r>
      <w:r>
        <w:t xml:space="preserve"> with the value that you want.</w:t>
      </w:r>
    </w:p>
    <w:p>
      <w:pPr>
        <w:pStyle w:val="BodyText"/>
        <w:numPr>
          <w:numId w:val="82"/>
        </w:numPr>
      </w:pPr>
      <w:r>
        <w:t xml:space="preserve">Add more constants to the group, and click </w:t>
      </w:r>
      <w:r>
        <w:rPr>
          <w:rStyle w:val="InlineUI"/>
        </w:rPr>
        <w:t>Save</w:t>
      </w:r>
      <w:r>
        <w:t xml:space="preserve"> when finished.</w:t>
      </w:r>
    </w:p>
    <w:p>
      <w:pPr>
        <w:pStyle w:val="SectionHeading5"/>
      </w:pPr>
      <w:r>
        <w:t>Binding blueprint resources to the property group</w:t>
      </w:r>
    </w:p>
    <w:p>
      <w:pPr>
        <w:pStyle w:val="BodyText"/>
      </w:pPr>
      <w:r>
        <w:t xml:space="preserve">To make use of property group input values, add </w:t>
      </w:r>
      <w:r>
        <w:rPr>
          <w:rStyle w:val="InlineCode"/>
        </w:rPr>
        <w:t>propgroup</w:t>
      </w:r>
      <w:r>
        <w:t xml:space="preserve"> bindings under the resource.</w:t>
      </w:r>
    </w:p>
    <w:p>
      <w:pPr>
        <w:pStyle w:val="BodyText"/>
      </w:pPr>
      <w:r>
        <w:t>Depending on what kind of values are in a property group, you might want to reference them individually. You can enter them separately, by property group name and property name.</w:t>
      </w:r>
    </w:p>
    <w:p>
      <w:pPr>
        <w:pStyle w:val="BodyText"/>
      </w:pPr>
      <w:r>
        <w:t>You can also quickly add an entire set of values to a resource by referencing an entire property group.</w:t>
      </w:r>
    </w:p>
    <w:p>
      <w:pPr>
        <w:pStyle w:val="BodyText"/>
      </w:pPr>
      <w:r>
        <w:t>The following examples shows how you reference an input property from a property group.</w:t>
      </w:r>
    </w:p>
    <w:p>
      <w:pPr>
        <w:pStyle w:val="CodeBlock"/>
      </w:pPr>
      <w:r>
        <w:t>pve-vm:
    type: CCI.Supervisor.Resource
    properties:
      context: ${resource.CCI_Supervisor_Namespace_1.id}
      manifest:
        apiVersion: vmoperator.vmware.com/v1alpha3
        kind: VirtualMachine
        metadata:
          name: virtual-machine-1-${env.shortDeploymentId}
        spec:
          className: small
          imageName: ${input.pgmachine.image}</w:t>
      </w:r>
    </w:p>
    <w:p>
      <w:pPr>
        <w:pStyle w:val="Heading3"/>
      </w:pPr>
      <w:bookmarkStart w:id="129" w:name="_Toc256000682"/>
      <w:r>
        <w:t>Using Expressions in blueprints in VCF Automation</w:t>
      </w:r>
      <w:bookmarkEnd w:id="129"/>
    </w:p>
    <w:p>
      <w:pPr>
        <w:pStyle w:val="BodyText"/>
      </w:pPr>
      <w:r>
        <w:t xml:space="preserve">For increased flexibility, you can add expressions to blueprint code in </w:t>
      </w:r>
      <w:r>
        <w:t>VCF Automation</w:t>
      </w:r>
      <w:r>
        <w:t>.</w:t>
      </w:r>
    </w:p>
    <w:p>
      <w:pPr>
        <w:pStyle w:val="SectionHeading4"/>
      </w:pPr>
      <w:bookmarkStart w:id="130" w:name="_Toc256000683"/>
      <w:r>
        <w:t>How expressions work</w:t>
      </w:r>
      <w:bookmarkEnd w:id="130"/>
    </w:p>
    <w:p>
      <w:pPr>
        <w:pStyle w:val="BodyText"/>
      </w:pPr>
      <w:r>
        <w:t>VCF Automation</w:t>
      </w:r>
      <w:r>
        <w:t xml:space="preserve"> expressions use the </w:t>
      </w:r>
      <w:r>
        <w:t>${</w:t>
      </w:r>
      <w:r>
        <w:rPr>
          <w:rStyle w:val="InlineVar"/>
        </w:rPr>
        <w:t>expression</w:t>
      </w:r>
      <w:r>
        <w:t>}</w:t>
      </w:r>
      <w:r>
        <w:t xml:space="preserve"> construct, as shown in the following examples.</w:t>
      </w:r>
    </w:p>
    <w:p>
      <w:pPr>
        <w:pStyle w:val="BodyText"/>
        <w:pBdr>
          <w:top w:val="single" w:sz="8" w:space="2" w:color="D3D3D3"/>
          <w:bottom w:val="single" w:sz="8" w:space="2" w:color="D3D3D3"/>
        </w:pBdr>
      </w:pPr>
      <w:r>
        <w:rPr>
          <w:rStyle w:val="NoteLeadernote"/>
        </w:rPr>
        <w:t>Note</w:t>
        <w:tab/>
      </w:r>
      <w:r>
        <w:t>VCF Automation</w:t>
      </w:r>
      <w:r>
        <w:t xml:space="preserve"> expressions aren't the same as regular expressions.</w:t>
      </w:r>
    </w:p>
    <w:p>
      <w:pPr>
        <w:pStyle w:val="SectionHeading4"/>
      </w:pPr>
      <w:bookmarkStart w:id="131" w:name="_Toc256000684"/>
      <w:r>
        <w:t>Literals</w:t>
      </w:r>
      <w:bookmarkEnd w:id="131"/>
    </w:p>
    <w:p>
      <w:pPr>
        <w:pStyle w:val="BodyText"/>
      </w:pPr>
      <w:r>
        <w:t>The following literals are supported:</w:t>
      </w:r>
    </w:p>
    <w:p>
      <w:pPr>
        <w:pStyle w:val="BodyText"/>
        <w:numPr>
          <w:numId w:val="83"/>
        </w:numPr>
      </w:pPr>
      <w:r>
        <w:t>Boolean (true or false)</w:t>
      </w:r>
    </w:p>
    <w:p>
      <w:pPr>
        <w:pStyle w:val="BodyText"/>
        <w:numPr>
          <w:numId w:val="83"/>
        </w:numPr>
      </w:pPr>
      <w:r>
        <w:t>Integer</w:t>
      </w:r>
    </w:p>
    <w:p>
      <w:pPr>
        <w:pStyle w:val="BodyText"/>
        <w:numPr>
          <w:numId w:val="83"/>
        </w:numPr>
      </w:pPr>
      <w:r>
        <w:t>Floating point</w:t>
      </w:r>
    </w:p>
    <w:p>
      <w:pPr>
        <w:pStyle w:val="BodyText"/>
        <w:numPr>
          <w:numId w:val="83"/>
        </w:numPr>
      </w:pPr>
      <w:r>
        <w:t>String</w:t>
      </w:r>
    </w:p>
    <w:p>
      <w:pPr>
        <w:pStyle w:val="BodyText"/>
        <w:ind w:left="480"/>
      </w:pPr>
      <w:r>
        <w:t>Backslash escapes double quote, single quote, and backslash itself:</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t>Quotes only need to be escaped inside a string enclosed with the same type of quote, as shown in the following example.</w:t>
      </w:r>
    </w:p>
    <w:p>
      <w:pPr>
        <w:pStyle w:val="BodyText"/>
        <w:ind w:left="480"/>
      </w:pPr>
      <w:r>
        <w:rPr>
          <w:rStyle w:val="InlineCode"/>
        </w:rPr>
        <w:t>"I am a \"double quoted\" string inside \"double quotes\"."</w:t>
      </w:r>
    </w:p>
    <w:p>
      <w:pPr>
        <w:pStyle w:val="BodyText"/>
        <w:numPr>
          <w:numId w:val="83"/>
        </w:numPr>
      </w:pPr>
      <w:r>
        <w:t>Null</w:t>
      </w:r>
    </w:p>
    <w:p>
      <w:pPr>
        <w:pStyle w:val="SectionHeading4"/>
      </w:pPr>
      <w:bookmarkStart w:id="132" w:name="_Toc256000685"/>
      <w:r>
        <w:t>Environment variables</w:t>
      </w:r>
      <w:bookmarkEnd w:id="132"/>
    </w:p>
    <w:p>
      <w:pPr>
        <w:pStyle w:val="BodyText"/>
      </w:pPr>
      <w:r>
        <w:t>Environment names:</w:t>
      </w:r>
    </w:p>
    <w:p>
      <w:pPr>
        <w:pStyle w:val="BodyText"/>
        <w:numPr>
          <w:numId w:val="84"/>
        </w:numPr>
      </w:pPr>
      <w:r>
        <w:t>orgId</w:t>
      </w:r>
    </w:p>
    <w:p>
      <w:pPr>
        <w:pStyle w:val="BodyText"/>
        <w:numPr>
          <w:numId w:val="84"/>
        </w:numPr>
      </w:pPr>
      <w:r>
        <w:t>projectId</w:t>
      </w:r>
    </w:p>
    <w:p>
      <w:pPr>
        <w:pStyle w:val="BodyText"/>
        <w:numPr>
          <w:numId w:val="84"/>
        </w:numPr>
      </w:pPr>
      <w:r>
        <w:t>projectName</w:t>
      </w:r>
    </w:p>
    <w:p>
      <w:pPr>
        <w:pStyle w:val="BodyText"/>
        <w:numPr>
          <w:numId w:val="84"/>
        </w:numPr>
      </w:pPr>
      <w:r>
        <w:t>deploymentId</w:t>
      </w:r>
    </w:p>
    <w:p>
      <w:pPr>
        <w:pStyle w:val="BodyText"/>
        <w:numPr>
          <w:numId w:val="84"/>
        </w:numPr>
      </w:pPr>
      <w:r>
        <w:t>deploymentName</w:t>
      </w:r>
    </w:p>
    <w:p>
      <w:pPr>
        <w:pStyle w:val="BodyText"/>
        <w:numPr>
          <w:numId w:val="84"/>
        </w:numPr>
      </w:pPr>
      <w:r>
        <w:t>blueprintId</w:t>
      </w:r>
    </w:p>
    <w:p>
      <w:pPr>
        <w:pStyle w:val="BodyText"/>
        <w:numPr>
          <w:numId w:val="84"/>
        </w:numPr>
      </w:pPr>
      <w:r>
        <w:t>blueprintVersion</w:t>
      </w:r>
    </w:p>
    <w:p>
      <w:pPr>
        <w:pStyle w:val="BodyText"/>
        <w:numPr>
          <w:numId w:val="84"/>
        </w:numPr>
      </w:pPr>
      <w:r>
        <w:t>blueprintName</w:t>
      </w:r>
    </w:p>
    <w:p>
      <w:pPr>
        <w:pStyle w:val="BodyText"/>
        <w:numPr>
          <w:numId w:val="84"/>
        </w:numPr>
      </w:pPr>
      <w:r>
        <w:t>requestedBy (user)</w:t>
      </w:r>
    </w:p>
    <w:p>
      <w:pPr>
        <w:pStyle w:val="BodyText"/>
        <w:numPr>
          <w:numId w:val="84"/>
        </w:numPr>
      </w:pPr>
      <w:r>
        <w:t>requestedAt (time)</w:t>
      </w:r>
    </w:p>
    <w:p>
      <w:pPr>
        <w:pStyle w:val="BodyText"/>
      </w:pPr>
      <w:r>
        <w:t>Syntax:</w:t>
      </w:r>
    </w:p>
    <w:p>
      <w:pPr>
        <w:pStyle w:val="BodyText"/>
      </w:pPr>
      <w:r>
        <w:rPr>
          <w:rStyle w:val="InlineCode"/>
        </w:rPr>
        <w:t>env.ENV_NAME</w:t>
      </w:r>
    </w:p>
    <w:p>
      <w:pPr>
        <w:pStyle w:val="BodyText"/>
      </w:pPr>
      <w:r>
        <w:t>Example:</w:t>
      </w:r>
    </w:p>
    <w:p>
      <w:pPr>
        <w:pStyle w:val="BodyText"/>
      </w:pPr>
      <w:r>
        <w:rPr>
          <w:rStyle w:val="InlineCode"/>
        </w:rPr>
        <w:t>${env.blueprintId}</w:t>
      </w:r>
    </w:p>
    <w:p>
      <w:pPr>
        <w:pStyle w:val="SectionHeading4"/>
      </w:pPr>
      <w:bookmarkStart w:id="133" w:name="_Toc256000686"/>
      <w:r>
        <w:t>Resource variables</w:t>
      </w:r>
      <w:bookmarkEnd w:id="133"/>
    </w:p>
    <w:p>
      <w:pPr>
        <w:pStyle w:val="BodyText"/>
      </w:pPr>
      <w:r>
        <w:t>Resource variables let you bind to resource properties from other resources.</w:t>
      </w:r>
    </w:p>
    <w:p>
      <w:pPr>
        <w:pStyle w:val="BodyText"/>
      </w:pPr>
      <w:r>
        <w:t>Syntax:</w:t>
      </w:r>
    </w:p>
    <w:p>
      <w:pPr>
        <w:pStyle w:val="BodyText"/>
      </w:pPr>
      <w:r>
        <w:rPr>
          <w:rStyle w:val="InlineCode"/>
        </w:rPr>
        <w:t>resource.RESOURCE_NAME.PROPERTY_NAME</w:t>
      </w:r>
    </w:p>
    <w:p>
      <w:pPr>
        <w:pStyle w:val="BodyText"/>
      </w:pPr>
      <w:r>
        <w:t>Resource names cannot contain dashes or dots. Underscores are allowed.</w:t>
      </w:r>
    </w:p>
    <w:p>
      <w:pPr>
        <w:pStyle w:val="BodyText"/>
      </w:pPr>
      <w:r>
        <w:t>Examples:</w:t>
      </w:r>
    </w:p>
    <w:p>
      <w:pPr>
        <w:pStyle w:val="BodyText"/>
        <w:numPr>
          <w:numId w:val="85"/>
        </w:numPr>
      </w:pPr>
      <w:r>
        <w:rPr>
          <w:rStyle w:val="InlineCode"/>
        </w:rPr>
        <w:t>${resource.db.id}</w:t>
      </w:r>
    </w:p>
    <w:p>
      <w:pPr>
        <w:pStyle w:val="BodyText"/>
        <w:numPr>
          <w:numId w:val="85"/>
        </w:numPr>
      </w:pPr>
      <w:r>
        <w:rPr>
          <w:rStyle w:val="InlineCode"/>
        </w:rPr>
        <w:t>${resource.db.networks[0].address}</w:t>
      </w:r>
    </w:p>
    <w:p>
      <w:pPr>
        <w:pStyle w:val="BodyText"/>
        <w:numPr>
          <w:numId w:val="85"/>
        </w:numPr>
      </w:pPr>
      <w:r>
        <w:rPr>
          <w:rStyle w:val="InlineCode"/>
        </w:rPr>
        <w:t>${resource.app.id}</w:t>
      </w:r>
      <w:r>
        <w:t xml:space="preserve"> (Return the string for non-clustered resources, where count isn't specified. Return the array for clustered resources.)</w:t>
      </w:r>
    </w:p>
    <w:p>
      <w:pPr>
        <w:pStyle w:val="BodyText"/>
        <w:numPr>
          <w:numId w:val="85"/>
        </w:numPr>
      </w:pPr>
      <w:r>
        <w:rPr>
          <w:rStyle w:val="InlineCode"/>
        </w:rPr>
        <w:t>${resource.app[0].id}</w:t>
      </w:r>
      <w:r>
        <w:t xml:space="preserve"> (Return the first entry for clustered resources.)</w:t>
      </w:r>
    </w:p>
    <w:p>
      <w:pPr>
        <w:pStyle w:val="SectionHeading4"/>
      </w:pPr>
      <w:bookmarkStart w:id="134" w:name="_Toc256000687"/>
      <w:r>
        <w:t>Resource self variables</w:t>
      </w:r>
      <w:bookmarkEnd w:id="134"/>
    </w:p>
    <w:p>
      <w:pPr>
        <w:pStyle w:val="BodyText"/>
      </w:pPr>
      <w:r>
        <w:t>Resource self variables are allowed only for resources supporting the allocation phase. Resource self variables are only available (or only have a value set) after the allocation phase is complete.</w:t>
      </w:r>
    </w:p>
    <w:p>
      <w:pPr>
        <w:pStyle w:val="BodyText"/>
      </w:pPr>
      <w:r>
        <w:t>Syntax:</w:t>
      </w:r>
    </w:p>
    <w:p>
      <w:pPr>
        <w:pStyle w:val="BodyText"/>
      </w:pPr>
      <w:r>
        <w:rPr>
          <w:rStyle w:val="InlineCode"/>
        </w:rPr>
        <w:t>self.property_name</w:t>
      </w:r>
    </w:p>
    <w:p>
      <w:pPr>
        <w:pStyle w:val="BodyText"/>
      </w:pPr>
      <w:r>
        <w:t>Example:</w:t>
      </w:r>
    </w:p>
    <w:p>
      <w:pPr>
        <w:pStyle w:val="BodyText"/>
      </w:pPr>
      <w:r>
        <w:rPr>
          <w:rStyle w:val="InlineCode"/>
        </w:rPr>
        <w:t>${self.address}</w:t>
      </w:r>
      <w:r>
        <w:t xml:space="preserve"> (Return the address assigned during the allocation phase.)</w:t>
      </w:r>
    </w:p>
    <w:p>
      <w:pPr>
        <w:pStyle w:val="BodyText"/>
      </w:pPr>
      <w:r>
        <w:t xml:space="preserve">Note that for a resource named </w:t>
      </w:r>
      <w:r>
        <w:rPr>
          <w:rStyle w:val="InlineCode"/>
        </w:rPr>
        <w:t>resource_x</w:t>
      </w:r>
      <w:r>
        <w:t xml:space="preserve">, </w:t>
      </w:r>
      <w:r>
        <w:rPr>
          <w:rStyle w:val="InlineCode"/>
        </w:rPr>
        <w:t>self.property_name</w:t>
      </w:r>
      <w:r>
        <w:t xml:space="preserve"> and </w:t>
      </w:r>
      <w:r>
        <w:rPr>
          <w:rStyle w:val="InlineCode"/>
        </w:rPr>
        <w:t>resource.resource_x.property_name</w:t>
      </w:r>
      <w:r>
        <w:t xml:space="preserve"> are the same and are both considered self-references.</w:t>
      </w:r>
    </w:p>
    <w:p>
      <w:pPr>
        <w:pStyle w:val="SectionHeading4"/>
      </w:pPr>
      <w:bookmarkStart w:id="135" w:name="_Toc256000688"/>
      <w:r>
        <w:t>Conditions</w:t>
      </w:r>
      <w:bookmarkEnd w:id="135"/>
    </w:p>
    <w:p>
      <w:pPr>
        <w:pStyle w:val="BodyText"/>
      </w:pPr>
      <w:r>
        <w:t>Syntax:</w:t>
      </w:r>
    </w:p>
    <w:p>
      <w:pPr>
        <w:pStyle w:val="BodyText"/>
        <w:numPr>
          <w:numId w:val="86"/>
        </w:numPr>
      </w:pPr>
      <w:r>
        <w:t xml:space="preserve">Equality operators are </w:t>
      </w:r>
      <w:r>
        <w:rPr>
          <w:rStyle w:val="InlineCode"/>
        </w:rPr>
        <w:t>==</w:t>
      </w:r>
      <w:r>
        <w:t xml:space="preserve"> and </w:t>
      </w:r>
      <w:r>
        <w:rPr>
          <w:rStyle w:val="InlineCode"/>
        </w:rPr>
        <w:t>!=</w:t>
      </w:r>
      <w:r>
        <w:t>.</w:t>
      </w:r>
    </w:p>
    <w:p>
      <w:pPr>
        <w:pStyle w:val="BodyText"/>
        <w:numPr>
          <w:numId w:val="86"/>
        </w:numPr>
      </w:pPr>
      <w:r>
        <w:t xml:space="preserve">Relational operators are </w:t>
      </w:r>
      <w:r>
        <w:rPr>
          <w:rStyle w:val="InlineCode"/>
        </w:rPr>
        <w:t>&lt;</w:t>
      </w:r>
      <w:r>
        <w:rPr>
          <w:rStyle w:val="InlineCode"/>
        </w:rPr>
        <w:t>&gt;</w:t>
      </w:r>
      <w:r>
        <w:rPr>
          <w:rStyle w:val="InlineCode"/>
        </w:rPr>
        <w:t>&lt;=</w:t>
      </w:r>
      <w:r>
        <w:t xml:space="preserve"> and </w:t>
      </w:r>
      <w:r>
        <w:rPr>
          <w:rStyle w:val="InlineCode"/>
        </w:rPr>
        <w:t>&gt;=</w:t>
      </w:r>
      <w:r>
        <w:t>.</w:t>
      </w:r>
    </w:p>
    <w:p>
      <w:pPr>
        <w:pStyle w:val="BodyText"/>
        <w:numPr>
          <w:numId w:val="86"/>
        </w:numPr>
      </w:pPr>
      <w:r>
        <w:t xml:space="preserve">Logical operators are </w:t>
      </w:r>
      <w:r>
        <w:rPr>
          <w:rStyle w:val="InlineCode"/>
        </w:rPr>
        <w:t>&amp;&amp;</w:t>
      </w:r>
      <w:r>
        <w:rPr>
          <w:rStyle w:val="InlineCode"/>
        </w:rPr>
        <w:t>||</w:t>
      </w:r>
      <w:r>
        <w:t xml:space="preserve"> and </w:t>
      </w:r>
      <w:r>
        <w:rPr>
          <w:rStyle w:val="InlineCode"/>
        </w:rPr>
        <w:t>!</w:t>
      </w:r>
      <w:r>
        <w:t>.</w:t>
      </w:r>
    </w:p>
    <w:p>
      <w:pPr>
        <w:pStyle w:val="BodyText"/>
        <w:numPr>
          <w:numId w:val="86"/>
        </w:numPr>
      </w:pPr>
      <w:r>
        <w:t>Conditionals use the pattern:</w:t>
      </w:r>
    </w:p>
    <w:p>
      <w:pPr>
        <w:pStyle w:val="BodyText"/>
        <w:ind w:left="480"/>
      </w:pPr>
      <w:r>
        <w:rPr>
          <w:rStyle w:val="InlineVar"/>
        </w:rPr>
        <w:t>condition-expression</w:t>
      </w:r>
      <w:r>
        <w:rPr>
          <w:rStyle w:val="InlineCode"/>
        </w:rPr>
        <w:t>?</w:t>
      </w:r>
      <w:r>
        <w:rPr>
          <w:rStyle w:val="InlineVar"/>
        </w:rPr>
        <w:t>true-expression</w:t>
      </w:r>
      <w:r>
        <w:t xml:space="preserve"> :</w:t>
      </w:r>
      <w:r>
        <w:rPr>
          <w:rStyle w:val="InlineVar"/>
        </w:rPr>
        <w:t>false-expression</w:t>
      </w:r>
    </w:p>
    <w:p>
      <w:pPr>
        <w:pStyle w:val="BodyText"/>
      </w:pPr>
      <w:r>
        <w:t>Examples:</w:t>
      </w:r>
    </w:p>
    <w:p>
      <w:pPr>
        <w:pStyle w:val="BodyText"/>
      </w:pPr>
      <w:r>
        <w:rPr>
          <w:rStyle w:val="InlineCode"/>
        </w:rPr>
        <w:t>${input.count &lt; 5 &amp;&amp; input.size == 'small'}</w:t>
      </w:r>
    </w:p>
    <w:p>
      <w:pPr>
        <w:pStyle w:val="BodyText"/>
      </w:pPr>
      <w:r>
        <w:rPr>
          <w:rStyle w:val="InlineCode"/>
        </w:rPr>
        <w:t>${input.count &lt; 2 ? "small":"large"}</w:t>
      </w:r>
    </w:p>
    <w:p>
      <w:pPr>
        <w:pStyle w:val="SectionHeading4"/>
      </w:pPr>
      <w:bookmarkStart w:id="136" w:name="_Toc256000689"/>
      <w:r>
        <w:t>Cluster count index</w:t>
      </w:r>
      <w:bookmarkEnd w:id="136"/>
    </w:p>
    <w:p>
      <w:pPr>
        <w:pStyle w:val="BodyText"/>
      </w:pPr>
      <w:r>
        <w:t>Syntax:</w:t>
      </w:r>
    </w:p>
    <w:p>
      <w:pPr>
        <w:pStyle w:val="BodyText"/>
      </w:pPr>
      <w:r>
        <w:rPr>
          <w:rStyle w:val="InlineCode"/>
        </w:rPr>
        <w:t>count.index</w:t>
      </w:r>
    </w:p>
    <w:p>
      <w:pPr>
        <w:pStyle w:val="BodyText"/>
      </w:pPr>
      <w:r>
        <w:t>Example:</w:t>
      </w:r>
    </w:p>
    <w:p>
      <w:pPr>
        <w:pStyle w:val="BodyText"/>
      </w:pPr>
      <w:r>
        <w:t>Return the node type for clustered resources:</w:t>
      </w:r>
    </w:p>
    <w:p>
      <w:pPr>
        <w:pStyle w:val="BodyText"/>
      </w:pPr>
      <w:r>
        <w:rPr>
          <w:rStyle w:val="InlineCode"/>
        </w:rPr>
        <w:t>${count.index == 0 ? "primary":"secondary"}</w:t>
      </w:r>
    </w:p>
    <w:p>
      <w:pPr>
        <w:pStyle w:val="SectionHeading4"/>
      </w:pPr>
      <w:bookmarkStart w:id="137" w:name="_Toc256000690"/>
      <w:r>
        <w:t>Arithmetic operators</w:t>
      </w:r>
      <w:bookmarkEnd w:id="137"/>
    </w:p>
    <w:p>
      <w:pPr>
        <w:pStyle w:val="BodyText"/>
      </w:pPr>
      <w:r>
        <w:t>Syntax:</w:t>
      </w:r>
    </w:p>
    <w:p>
      <w:pPr>
        <w:pStyle w:val="BodyText"/>
      </w:pPr>
      <w:r>
        <w:t xml:space="preserve">Operators are </w:t>
      </w:r>
      <w:r>
        <w:rPr>
          <w:rStyle w:val="InlineCode"/>
        </w:rPr>
        <w:t>+</w:t>
      </w:r>
      <w:r>
        <w:rPr>
          <w:rStyle w:val="InlineCode"/>
        </w:rPr>
        <w:t>–</w:t>
      </w:r>
      <w:r>
        <w:rPr>
          <w:rStyle w:val="InlineCode"/>
        </w:rPr>
        <w:t>/</w:t>
      </w:r>
      <w:r>
        <w:rPr>
          <w:rStyle w:val="InlineCode"/>
        </w:rPr>
        <w:t>*</w:t>
      </w:r>
      <w:r>
        <w:t xml:space="preserve"> and </w:t>
      </w:r>
      <w:r>
        <w:rPr>
          <w:rStyle w:val="InlineCode"/>
        </w:rPr>
        <w:t>%</w:t>
      </w:r>
      <w:r>
        <w:t>.</w:t>
      </w:r>
    </w:p>
    <w:p>
      <w:pPr>
        <w:pStyle w:val="BodyText"/>
      </w:pPr>
      <w:r>
        <w:t>Example:</w:t>
      </w:r>
    </w:p>
    <w:p>
      <w:pPr>
        <w:pStyle w:val="BodyText"/>
      </w:pPr>
      <w:r>
        <w:rPr>
          <w:rStyle w:val="InlineCode"/>
        </w:rPr>
        <w:t>${(input.count + 5) * 2}</w:t>
      </w:r>
    </w:p>
    <w:p>
      <w:pPr>
        <w:pStyle w:val="SectionHeading4"/>
      </w:pPr>
      <w:bookmarkStart w:id="138" w:name="_Toc256000691"/>
      <w:r>
        <w:t>String concatenation</w:t>
      </w:r>
      <w:bookmarkEnd w:id="138"/>
    </w:p>
    <w:p>
      <w:pPr>
        <w:pStyle w:val="BodyText"/>
      </w:pPr>
      <w:r>
        <w:t>Syntax:</w:t>
      </w:r>
    </w:p>
    <w:p>
      <w:pPr>
        <w:pStyle w:val="BodyText"/>
      </w:pPr>
      <w:r>
        <w:rPr>
          <w:rStyle w:val="InlineCode"/>
        </w:rPr>
        <w:t>${'ABC' + 'DEF'}</w:t>
      </w:r>
      <w:r>
        <w:t xml:space="preserve"> evaluates to </w:t>
      </w:r>
      <w:r>
        <w:rPr>
          <w:rStyle w:val="InlineCode"/>
        </w:rPr>
        <w:t>ABCDEF</w:t>
      </w:r>
      <w:r>
        <w:t>.</w:t>
      </w:r>
    </w:p>
    <w:p>
      <w:pPr>
        <w:pStyle w:val="SectionHeading4"/>
      </w:pPr>
      <w:bookmarkStart w:id="139" w:name="_Toc256000692"/>
      <w:r>
        <w:t>Operators [ ] and .</w:t>
      </w:r>
      <w:bookmarkEnd w:id="139"/>
    </w:p>
    <w:p>
      <w:pPr>
        <w:pStyle w:val="BodyText"/>
      </w:pPr>
      <w:r>
        <w:t>The expression follows ECMAScript in unifying the treatment of the [ ] and . operators.</w:t>
      </w:r>
    </w:p>
    <w:p>
      <w:pPr>
        <w:pStyle w:val="BodyText"/>
      </w:pPr>
      <w:r>
        <w:t xml:space="preserve">So, </w:t>
      </w:r>
      <w:r>
        <w:rPr>
          <w:rStyle w:val="InlineCode"/>
        </w:rPr>
        <w:t>expr.identifier</w:t>
      </w:r>
      <w:r>
        <w:t xml:space="preserve"> is equivalent to </w:t>
      </w:r>
      <w:r>
        <w:rPr>
          <w:rStyle w:val="InlineCode"/>
        </w:rPr>
        <w:t>expr["identifier"]</w:t>
      </w:r>
      <w:r>
        <w:t>. The identifier is used to construct a literal whose value is the identifier, and then the [ ] operator is used with that value.</w:t>
      </w:r>
    </w:p>
    <w:p>
      <w:pPr>
        <w:pStyle w:val="BodyText"/>
      </w:pPr>
      <w:r>
        <w:t>Example:</w:t>
      </w:r>
    </w:p>
    <w:p>
      <w:pPr>
        <w:pStyle w:val="BodyText"/>
      </w:pPr>
      <w:r>
        <w:rPr>
          <w:rStyle w:val="InlineCode"/>
        </w:rPr>
        <w:t>${resource.app.networks[0].address}</w:t>
      </w:r>
    </w:p>
    <w:p>
      <w:pPr>
        <w:pStyle w:val="BodyText"/>
      </w:pPr>
      <w:r>
        <w:t>In addition, when a property includes a space, delimit with square brackets and double quotes instead of using dot notation.</w:t>
      </w:r>
    </w:p>
    <w:p>
      <w:pPr>
        <w:pStyle w:val="BodyText"/>
      </w:pPr>
      <w:r>
        <w:t>Incorrect:</w:t>
      </w:r>
    </w:p>
    <w:p>
      <w:pPr>
        <w:pStyle w:val="BodyText"/>
      </w:pPr>
      <w:r>
        <w:rPr>
          <w:rStyle w:val="InlineCode"/>
        </w:rPr>
        <w:t>input.operating system</w:t>
      </w:r>
    </w:p>
    <w:p>
      <w:pPr>
        <w:pStyle w:val="BodyText"/>
      </w:pPr>
      <w:r>
        <w:t>Correct:</w:t>
      </w:r>
    </w:p>
    <w:p>
      <w:pPr>
        <w:pStyle w:val="BodyText"/>
      </w:pPr>
      <w:r>
        <w:rPr>
          <w:rStyle w:val="InlineCode"/>
        </w:rPr>
        <w:t>input["operating system"]</w:t>
      </w:r>
    </w:p>
    <w:p>
      <w:pPr>
        <w:pStyle w:val="SectionHeading4"/>
      </w:pPr>
      <w:bookmarkStart w:id="140" w:name="_Toc256000693"/>
      <w:r>
        <w:t>Construction of map</w:t>
      </w:r>
      <w:bookmarkEnd w:id="140"/>
    </w:p>
    <w:p>
      <w:pPr>
        <w:pStyle w:val="BodyText"/>
      </w:pPr>
      <w:r>
        <w:t>Syntax:</w:t>
      </w:r>
    </w:p>
    <w:p>
      <w:pPr>
        <w:pStyle w:val="BodyText"/>
      </w:pPr>
      <w:r>
        <w:rPr>
          <w:rStyle w:val="InlineCode"/>
        </w:rPr>
        <w:t>${{'key1':'value1', 'key2':input.key2}}</w:t>
      </w:r>
    </w:p>
    <w:p>
      <w:pPr>
        <w:pStyle w:val="SectionHeading4"/>
      </w:pPr>
      <w:bookmarkStart w:id="141" w:name="_Toc256000694"/>
      <w:r>
        <w:t>Construction of array</w:t>
      </w:r>
      <w:bookmarkEnd w:id="141"/>
    </w:p>
    <w:p>
      <w:pPr>
        <w:pStyle w:val="BodyText"/>
      </w:pPr>
      <w:r>
        <w:t>Syntax:</w:t>
      </w:r>
    </w:p>
    <w:p>
      <w:pPr>
        <w:pStyle w:val="BodyText"/>
      </w:pPr>
      <w:r>
        <w:rPr>
          <w:rStyle w:val="InlineCode"/>
        </w:rPr>
        <w:t>${['key1','key2']}</w:t>
      </w:r>
    </w:p>
    <w:p>
      <w:pPr>
        <w:pStyle w:val="BodyText"/>
      </w:pPr>
      <w:r>
        <w:t>Example:</w:t>
      </w:r>
    </w:p>
    <w:p>
      <w:pPr>
        <w:pStyle w:val="BodyText"/>
      </w:pPr>
      <w:r>
        <w:rPr>
          <w:rStyle w:val="InlineCode"/>
        </w:rPr>
        <w:t>${[1,2,3]}</w:t>
      </w:r>
    </w:p>
    <w:p>
      <w:pPr>
        <w:pStyle w:val="SectionHeading4"/>
      </w:pPr>
      <w:bookmarkStart w:id="142" w:name="_Toc256000695"/>
      <w:r>
        <w:t>Functions</w:t>
      </w:r>
      <w:bookmarkEnd w:id="142"/>
    </w:p>
    <w:p>
      <w:pPr>
        <w:pStyle w:val="BodyText"/>
      </w:pPr>
      <w:r>
        <w:t>Syntax:</w:t>
      </w:r>
    </w:p>
    <w:p>
      <w:pPr>
        <w:pStyle w:val="BodyText"/>
      </w:pPr>
      <w:r>
        <w:rPr>
          <w:rStyle w:val="InlineCode"/>
        </w:rPr>
        <w:t>${</w:t>
      </w:r>
      <w:r>
        <w:rPr>
          <w:rStyle w:val="InlineVar"/>
        </w:rPr>
        <w:t>function</w:t>
      </w:r>
      <w:r>
        <w:rPr>
          <w:rStyle w:val="InlineCode"/>
        </w:rPr>
        <w:t>(</w:t>
      </w:r>
      <w:r>
        <w:rPr>
          <w:rStyle w:val="InlineVar"/>
        </w:rPr>
        <w:t>arguments</w:t>
      </w:r>
      <w:r>
        <w:rPr>
          <w:rStyle w:val="InlineCode"/>
        </w:rPr>
        <w:t>...)}</w:t>
      </w:r>
    </w:p>
    <w:p>
      <w:pPr>
        <w:pStyle w:val="BodyText"/>
      </w:pPr>
      <w:r>
        <w:t>Example:</w:t>
      </w:r>
    </w:p>
    <w:p>
      <w:pPr>
        <w:pStyle w:val="BodyText"/>
      </w:pPr>
      <w:r>
        <w:rPr>
          <w:rStyle w:val="InlineCode"/>
        </w:rPr>
        <w:t>${to_lower(resource.app.name)}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Functions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6"/>
        <w:gridCol w:w="72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abs(number)</w:t>
            </w:r>
          </w:p>
        </w:tc>
        <w:tc>
          <w:tcPr>
            <w:tcBorders>
              <w:left w:val="nil"/>
              <w:right w:val="nil"/>
            </w:tcBorders>
          </w:tcPr>
          <w:p>
            <w:pPr>
              <w:pStyle w:val="TableBodyText"/>
            </w:pPr>
            <w:r>
              <w:t>Absolute number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avg(array)</w:t>
            </w:r>
          </w:p>
        </w:tc>
        <w:tc>
          <w:tcPr>
            <w:tcBorders>
              <w:left w:val="nil"/>
              <w:right w:val="nil"/>
            </w:tcBorders>
          </w:tcPr>
          <w:p>
            <w:pPr>
              <w:pStyle w:val="TableBodyText"/>
            </w:pPr>
            <w:r>
              <w:t>Return average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base64_decode(string)</w:t>
            </w:r>
          </w:p>
        </w:tc>
        <w:tc>
          <w:tcPr>
            <w:tcBorders>
              <w:left w:val="nil"/>
              <w:right w:val="nil"/>
            </w:tcBorders>
          </w:tcPr>
          <w:p>
            <w:pPr>
              <w:pStyle w:val="TableBodyText"/>
            </w:pPr>
            <w:r>
              <w:t>Return decoded base64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base64_encode(string)</w:t>
            </w:r>
          </w:p>
        </w:tc>
        <w:tc>
          <w:tcPr>
            <w:tcBorders>
              <w:left w:val="nil"/>
              <w:right w:val="nil"/>
            </w:tcBorders>
          </w:tcPr>
          <w:p>
            <w:pPr>
              <w:pStyle w:val="TableBodyText"/>
            </w:pPr>
            <w:r>
              <w:t>Return base64 encoded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ceil(number)</w:t>
            </w:r>
          </w:p>
        </w:tc>
        <w:tc>
          <w:tcPr>
            <w:tcBorders>
              <w:left w:val="nil"/>
              <w:right w:val="nil"/>
            </w:tcBorders>
          </w:tcPr>
          <w:p>
            <w:pPr>
              <w:pStyle w:val="TableBodyText"/>
            </w:pPr>
            <w:r>
              <w:t>Returns the smallest (closest to negative infinity) value that is greater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contains(array, value)</w:t>
            </w:r>
          </w:p>
        </w:tc>
        <w:tc>
          <w:tcPr>
            <w:tcBorders>
              <w:left w:val="nil"/>
              <w:right w:val="nil"/>
            </w:tcBorders>
          </w:tcPr>
          <w:p>
            <w:pPr>
              <w:pStyle w:val="TableBodyText"/>
            </w:pPr>
            <w:r>
              <w:t>Check if array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contains(string, value)</w:t>
            </w:r>
          </w:p>
        </w:tc>
        <w:tc>
          <w:tcPr>
            <w:tcBorders>
              <w:left w:val="nil"/>
              <w:right w:val="nil"/>
            </w:tcBorders>
          </w:tcPr>
          <w:p>
            <w:pPr>
              <w:pStyle w:val="TableBodyText"/>
            </w:pPr>
            <w:r>
              <w:t>Check if string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digest(value, type)</w:t>
            </w:r>
          </w:p>
        </w:tc>
        <w:tc>
          <w:tcPr>
            <w:tcBorders>
              <w:left w:val="nil"/>
              <w:right w:val="nil"/>
            </w:tcBorders>
          </w:tcPr>
          <w:p>
            <w:pPr>
              <w:pStyle w:val="TableBodyText"/>
            </w:pPr>
            <w:r>
              <w:t>Return digest of value using supported type (md5, sha1, sha256, sha384, sha512)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ends_with(subject, suffix)</w:t>
            </w:r>
          </w:p>
        </w:tc>
        <w:tc>
          <w:tcPr>
            <w:tcBorders>
              <w:left w:val="nil"/>
              <w:right w:val="nil"/>
            </w:tcBorders>
          </w:tcPr>
          <w:p>
            <w:pPr>
              <w:pStyle w:val="TableBodyText"/>
            </w:pPr>
            <w:r>
              <w:t>Check if subject string ends with suffix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filter_by(array, filter)</w:t>
            </w:r>
          </w:p>
        </w:tc>
        <w:tc>
          <w:tcPr>
            <w:tcBorders>
              <w:left w:val="nil"/>
              <w:right w:val="nil"/>
            </w:tcBorders>
          </w:tcPr>
          <w:p>
            <w:pPr>
              <w:pStyle w:val="TableBodyText"/>
            </w:pPr>
            <w:r>
              <w:t>Return only the array entries that pass the filter operation</w:t>
            </w:r>
          </w:p>
          <w:p>
            <w:pPr>
              <w:pStyle w:val="TableBodyText"/>
            </w:pPr>
            <w:r>
              <w:rPr>
                <w:rStyle w:val="InlineCode"/>
              </w:rPr>
              <w:t>filter_by([1,2,3,4], x =&gt; x &gt;= 2 &amp;&amp; x &lt;= 3)</w:t>
            </w:r>
          </w:p>
          <w:p>
            <w:pPr>
              <w:pStyle w:val="TableBodyText"/>
            </w:pPr>
            <w:r>
              <w:t xml:space="preserve">returns </w:t>
            </w:r>
            <w:r>
              <w:rPr>
                <w:rStyle w:val="InlineCode"/>
              </w:rPr>
              <w:t>[2, 3]</w:t>
            </w:r>
          </w:p>
          <w:p>
            <w:pPr>
              <w:pStyle w:val="TableBodyText"/>
            </w:pPr>
            <w:r>
              <w:rPr>
                <w:rStyle w:val="InlineCode"/>
              </w:rPr>
              <w:t>filter_by({'key1':1, 'key2':2}, (k,v) =&gt; v != 1)</w:t>
            </w:r>
          </w:p>
          <w:p>
            <w:pPr>
              <w:pStyle w:val="TableBodyText"/>
            </w:pPr>
            <w:r>
              <w:t xml:space="preserve">returns </w:t>
            </w:r>
            <w:r>
              <w:rPr>
                <w:rStyle w:val="InlineCode"/>
              </w:rPr>
              <w:t>[{"key2":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floor(number)</w:t>
            </w:r>
          </w:p>
        </w:tc>
        <w:tc>
          <w:tcPr>
            <w:tcBorders>
              <w:left w:val="nil"/>
              <w:right w:val="nil"/>
            </w:tcBorders>
          </w:tcPr>
          <w:p>
            <w:pPr>
              <w:pStyle w:val="TableBodyText"/>
            </w:pPr>
            <w:r>
              <w:t>Returns the largest (closest to positive infinity) value that is less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format(format, values...)</w:t>
            </w:r>
          </w:p>
        </w:tc>
        <w:tc>
          <w:tcPr>
            <w:tcBorders>
              <w:left w:val="nil"/>
              <w:right w:val="nil"/>
            </w:tcBorders>
          </w:tcPr>
          <w:p>
            <w:pPr>
              <w:pStyle w:val="TableBodyText"/>
            </w:pPr>
            <w:r>
              <w:t xml:space="preserve">Return a formatted string using Java </w:t>
            </w:r>
            <w:hyperlink r:id="rId15" w:tooltip="Class Formatter" w:history="1">
              <w:r>
                <w:rPr>
                  <w:color w:val="0000FF"/>
                  <w:u w:val="single"/>
                </w:rPr>
                <w:t>Class Formatter</w:t>
              </w:r>
            </w:hyperlink>
            <w:r>
              <w:t xml:space="preserve"> format and values.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from_json(string)</w:t>
            </w:r>
          </w:p>
        </w:tc>
        <w:tc>
          <w:tcPr>
            <w:tcBorders>
              <w:left w:val="nil"/>
              <w:right w:val="nil"/>
            </w:tcBorders>
          </w:tcPr>
          <w:p>
            <w:pPr>
              <w:pStyle w:val="TableBodyText"/>
            </w:pPr>
            <w:r>
              <w:t>Parse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from_yaml(yamlText, decode_binary=true/false)</w:t>
            </w:r>
          </w:p>
        </w:tc>
        <w:tc>
          <w:tcPr>
            <w:tcBorders>
              <w:left w:val="nil"/>
              <w:right w:val="nil"/>
            </w:tcBorders>
          </w:tcPr>
          <w:p>
            <w:pPr>
              <w:pStyle w:val="TableBodyText"/>
            </w:pPr>
            <w:r>
              <w:t>Convert YAML into JSON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join(array, delim)</w:t>
            </w:r>
          </w:p>
        </w:tc>
        <w:tc>
          <w:tcPr>
            <w:tcBorders>
              <w:left w:val="nil"/>
              <w:right w:val="nil"/>
            </w:tcBorders>
          </w:tcPr>
          <w:p>
            <w:pPr>
              <w:pStyle w:val="TableBodyText"/>
            </w:pPr>
            <w:r>
              <w:t>Join array of strings with a delimiter and return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json_path(value, path)</w:t>
            </w:r>
          </w:p>
        </w:tc>
        <w:tc>
          <w:tcPr>
            <w:tcBorders>
              <w:left w:val="nil"/>
              <w:right w:val="nil"/>
            </w:tcBorders>
          </w:tcPr>
          <w:p>
            <w:pPr>
              <w:pStyle w:val="TableBodyText"/>
            </w:pPr>
            <w:r>
              <w:t>Evaluate path against value using XPath for JSON.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keys(map)</w:t>
            </w:r>
          </w:p>
        </w:tc>
        <w:tc>
          <w:tcPr>
            <w:tcBorders>
              <w:left w:val="nil"/>
              <w:right w:val="nil"/>
            </w:tcBorders>
          </w:tcPr>
          <w:p>
            <w:pPr>
              <w:pStyle w:val="TableBodyText"/>
            </w:pPr>
            <w:r>
              <w:t>Return keys of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length(array)</w:t>
            </w:r>
          </w:p>
        </w:tc>
        <w:tc>
          <w:tcPr>
            <w:tcBorders>
              <w:left w:val="nil"/>
              <w:right w:val="nil"/>
            </w:tcBorders>
          </w:tcPr>
          <w:p>
            <w:pPr>
              <w:pStyle w:val="TableBodyText"/>
            </w:pPr>
            <w:r>
              <w:t>Return array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length(string)</w:t>
            </w:r>
          </w:p>
        </w:tc>
        <w:tc>
          <w:tcPr>
            <w:tcBorders>
              <w:left w:val="nil"/>
              <w:right w:val="nil"/>
            </w:tcBorders>
          </w:tcPr>
          <w:p>
            <w:pPr>
              <w:pStyle w:val="TableBodyText"/>
            </w:pPr>
            <w:r>
              <w:t>Return string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map_by(array, operation)</w:t>
            </w:r>
          </w:p>
        </w:tc>
        <w:tc>
          <w:tcPr>
            <w:tcBorders>
              <w:left w:val="nil"/>
              <w:right w:val="nil"/>
            </w:tcBorders>
          </w:tcPr>
          <w:p>
            <w:pPr>
              <w:pStyle w:val="TableBodyText"/>
            </w:pPr>
            <w:r>
              <w:t>Return each array entry with an operation applied to it</w:t>
            </w:r>
          </w:p>
          <w:p>
            <w:pPr>
              <w:pStyle w:val="TableBodyText"/>
            </w:pPr>
            <w:r>
              <w:rPr>
                <w:rStyle w:val="InlineCode"/>
              </w:rPr>
              <w:t>map_by([1,2], x =&gt; x * 10)</w:t>
            </w:r>
          </w:p>
          <w:p>
            <w:pPr>
              <w:pStyle w:val="TableBodyText"/>
            </w:pPr>
            <w:r>
              <w:t xml:space="preserve">returns </w:t>
            </w:r>
            <w:r>
              <w:rPr>
                <w:rStyle w:val="InlineCode"/>
              </w:rPr>
              <w:t>[10, 20]</w:t>
            </w:r>
          </w:p>
          <w:p>
            <w:pPr>
              <w:pStyle w:val="TableBodyText"/>
            </w:pPr>
            <w:r>
              <w:rPr>
                <w:rStyle w:val="InlineCode"/>
              </w:rPr>
              <w:t>map_by([1,2], x =&gt; to_string(x))</w:t>
            </w:r>
          </w:p>
          <w:p>
            <w:pPr>
              <w:pStyle w:val="TableBodyText"/>
            </w:pPr>
            <w:r>
              <w:t xml:space="preserve">returns </w:t>
            </w:r>
            <w:r>
              <w:rPr>
                <w:rStyle w:val="InlineCode"/>
              </w:rPr>
              <w:t>["1", "2"]</w:t>
            </w:r>
          </w:p>
          <w:p>
            <w:pPr>
              <w:pStyle w:val="TableBodyText"/>
            </w:pPr>
            <w:r>
              <w:rPr>
                <w:rStyle w:val="InlineCode"/>
              </w:rPr>
              <w:t>map_by({'key1':1, 'key2':2}, (k,v) =&gt; {k:v*10})</w:t>
            </w:r>
          </w:p>
          <w:p>
            <w:pPr>
              <w:pStyle w:val="TableBodyText"/>
            </w:pPr>
            <w:r>
              <w:t xml:space="preserve">returns </w:t>
            </w:r>
            <w:r>
              <w:rPr>
                <w:rStyle w:val="InlineCode"/>
              </w:rPr>
              <w:t>[{"key1":10},{"key2":20}]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map_to_object(array, keyname)</w:t>
            </w:r>
          </w:p>
        </w:tc>
        <w:tc>
          <w:tcPr>
            <w:tcBorders>
              <w:left w:val="nil"/>
              <w:right w:val="nil"/>
            </w:tcBorders>
          </w:tcPr>
          <w:p>
            <w:pPr>
              <w:pStyle w:val="TableBodyText"/>
            </w:pPr>
            <w:r>
              <w:t>Return an array of key:value pairs of the specified key name paired with values from another array</w:t>
            </w:r>
          </w:p>
          <w:p>
            <w:pPr>
              <w:pStyle w:val="TableBodyText"/>
            </w:pPr>
            <w:r>
              <w:rPr>
                <w:rStyle w:val="InlineCode"/>
              </w:rPr>
              <w:t>map_to_object(resource.Disk[*].id, "source")</w:t>
            </w:r>
          </w:p>
          <w:p>
            <w:pPr>
              <w:pStyle w:val="TableBodyText"/>
            </w:pPr>
            <w:r>
              <w:t>returns an array of key:value pairs that has a key field called source paired with disk ID strings.</w:t>
            </w:r>
          </w:p>
          <w:p>
            <w:pPr>
              <w:pStyle w:val="TableBodyText"/>
            </w:pPr>
            <w:r>
              <w:t xml:space="preserve">Note that </w:t>
            </w:r>
            <w:r>
              <w:rPr>
                <w:rStyle w:val="InlineCode"/>
              </w:rPr>
              <w:t>map_by(resource.Disk[*].id, id =&gt; {'source':id})</w:t>
            </w:r>
            <w:r>
              <w:t xml:space="preserve"> returns the same result.</w:t>
            </w:r>
          </w:p>
          <w:p>
            <w:pPr>
              <w:pStyle w:val="TableBodyText"/>
            </w:pPr>
            <w:r>
              <w:t>If multiple arguments are passed to the map_to_object function, then it returns an array of nested objects, where the keys are part of the nested object, and the values are set on the innermost key.</w:t>
            </w:r>
          </w:p>
          <w:p>
            <w:pPr>
              <w:pStyle w:val="TableBodyText"/>
            </w:pPr>
            <w:r>
              <w:rPr>
                <w:rStyle w:val="InlineCode"/>
              </w:rPr>
              <w:t>map_to_object(resource.Cloud_vSphere_Machine_1[*].address, "ip", "addr")</w:t>
            </w:r>
          </w:p>
          <w:p>
            <w:pPr>
              <w:pStyle w:val="TableBodyText"/>
            </w:pPr>
            <w:r>
              <w:t>returns an array of objects in the following format:</w:t>
            </w:r>
          </w:p>
          <w:p>
            <w:pPr>
              <w:pStyle w:val="TableBodyText"/>
            </w:pPr>
            <w:r>
              <w:t>
 { 
          "ip" : {
               "addr" : &lt;value&gt;
          }
      }</w:t>
            </w:r>
          </w:p>
          <w:p>
            <w:pPr>
              <w:pStyle w:val="TableBodyText"/>
            </w:pPr>
            <w:r>
              <w:t>The value of the innermost key is paired with the address of a machine in the Cloud_vSphere_Machine_1 cluster.</w:t>
            </w:r>
          </w:p>
          <w:p>
            <w:pPr>
              <w:pStyle w:val="TableBodyText"/>
            </w:pPr>
            <w:r>
              <w:t>There is one object per machine in the cluster. If there there are three machines in the cluster, then there are three entries in the object:</w:t>
            </w:r>
          </w:p>
          <w:p>
            <w:pPr>
              <w:pStyle w:val="TableBodyText"/>
            </w:pPr>
            <w:r>
              <w:t>{
    "ip":
{              "addr": &lt;value&gt;      }
,
    "ip":
{              "addr": &lt;value&gt;      }
,
    "ip":
{              "addr": &lt;value&gt;      }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matches(string, regex)</w:t>
            </w:r>
          </w:p>
        </w:tc>
        <w:tc>
          <w:tcPr>
            <w:tcBorders>
              <w:left w:val="nil"/>
              <w:right w:val="nil"/>
            </w:tcBorders>
          </w:tcPr>
          <w:p>
            <w:pPr>
              <w:pStyle w:val="TableBodyText"/>
            </w:pPr>
            <w:r>
              <w:t>Check if string matches a regex expression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max(array)</w:t>
            </w:r>
          </w:p>
        </w:tc>
        <w:tc>
          <w:tcPr>
            <w:tcBorders>
              <w:left w:val="nil"/>
              <w:right w:val="nil"/>
            </w:tcBorders>
          </w:tcPr>
          <w:p>
            <w:pPr>
              <w:pStyle w:val="TableBodyText"/>
            </w:pPr>
            <w:r>
              <w:t>Return maximum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merge(map, map)</w:t>
            </w:r>
          </w:p>
        </w:tc>
        <w:tc>
          <w:tcPr>
            <w:tcBorders>
              <w:left w:val="nil"/>
              <w:right w:val="nil"/>
            </w:tcBorders>
          </w:tcPr>
          <w:p>
            <w:pPr>
              <w:pStyle w:val="TableBodyText"/>
            </w:pPr>
            <w:r>
              <w:t>Return a merged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min(array)</w:t>
            </w:r>
          </w:p>
        </w:tc>
        <w:tc>
          <w:tcPr>
            <w:tcBorders>
              <w:left w:val="nil"/>
              <w:right w:val="nil"/>
            </w:tcBorders>
          </w:tcPr>
          <w:p>
            <w:pPr>
              <w:pStyle w:val="TableBodyText"/>
            </w:pPr>
            <w:r>
              <w:t>Return minimum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not_null(array)</w:t>
            </w:r>
          </w:p>
        </w:tc>
        <w:tc>
          <w:tcPr>
            <w:tcBorders>
              <w:left w:val="nil"/>
              <w:right w:val="nil"/>
            </w:tcBorders>
          </w:tcPr>
          <w:p>
            <w:pPr>
              <w:pStyle w:val="TableBodyText"/>
            </w:pPr>
            <w:r>
              <w:t>Return the first entry which is not null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now()</w:t>
            </w:r>
          </w:p>
        </w:tc>
        <w:tc>
          <w:tcPr>
            <w:tcBorders>
              <w:left w:val="nil"/>
              <w:right w:val="nil"/>
            </w:tcBorders>
          </w:tcPr>
          <w:p>
            <w:pPr>
              <w:pStyle w:val="TableBodyText"/>
            </w:pPr>
            <w:r>
              <w:t>Return current time in ISO-8601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range(start, stop)</w:t>
            </w:r>
          </w:p>
        </w:tc>
        <w:tc>
          <w:tcPr>
            <w:tcBorders>
              <w:left w:val="nil"/>
              <w:right w:val="nil"/>
            </w:tcBorders>
          </w:tcPr>
          <w:p>
            <w:pPr>
              <w:pStyle w:val="TableBodyText"/>
            </w:pPr>
            <w:r>
              <w:t>Return a series of numbers in increments of 1 that begins with the start number and ends just before the stop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replace(string, target, replacement)</w:t>
            </w:r>
          </w:p>
        </w:tc>
        <w:tc>
          <w:tcPr>
            <w:tcBorders>
              <w:left w:val="nil"/>
              <w:right w:val="nil"/>
            </w:tcBorders>
          </w:tcPr>
          <w:p>
            <w:pPr>
              <w:pStyle w:val="TableBodyText"/>
            </w:pPr>
            <w:r>
              <w:t>Replace string containing target string with target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reverse(array)</w:t>
            </w:r>
          </w:p>
        </w:tc>
        <w:tc>
          <w:tcPr>
            <w:tcBorders>
              <w:left w:val="nil"/>
              <w:right w:val="nil"/>
            </w:tcBorders>
          </w:tcPr>
          <w:p>
            <w:pPr>
              <w:pStyle w:val="TableBodyText"/>
            </w:pPr>
            <w:r>
              <w:t>Reverse entries of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slice(array, begin, end)</w:t>
            </w:r>
          </w:p>
        </w:tc>
        <w:tc>
          <w:tcPr>
            <w:tcBorders>
              <w:left w:val="nil"/>
              <w:right w:val="nil"/>
            </w:tcBorders>
          </w:tcPr>
          <w:p>
            <w:pPr>
              <w:pStyle w:val="TableBodyText"/>
            </w:pPr>
            <w:r>
              <w:t>Return slice of array from begin index to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split(string, delim)</w:t>
            </w:r>
          </w:p>
        </w:tc>
        <w:tc>
          <w:tcPr>
            <w:tcBorders>
              <w:left w:val="nil"/>
              <w:right w:val="nil"/>
            </w:tcBorders>
          </w:tcPr>
          <w:p>
            <w:pPr>
              <w:pStyle w:val="TableBodyText"/>
            </w:pPr>
            <w:r>
              <w:t>Split string with a delimiter and return array of strings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starts_with(subject, prefix)</w:t>
            </w:r>
          </w:p>
        </w:tc>
        <w:tc>
          <w:tcPr>
            <w:tcBorders>
              <w:left w:val="nil"/>
              <w:right w:val="nil"/>
            </w:tcBorders>
          </w:tcPr>
          <w:p>
            <w:pPr>
              <w:pStyle w:val="TableBodyText"/>
            </w:pPr>
            <w:r>
              <w:t>Check if subject string starts with prefix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substring(string, begin, end)</w:t>
            </w:r>
          </w:p>
        </w:tc>
        <w:tc>
          <w:tcPr>
            <w:tcBorders>
              <w:left w:val="nil"/>
              <w:right w:val="nil"/>
            </w:tcBorders>
          </w:tcPr>
          <w:p>
            <w:pPr>
              <w:pStyle w:val="TableBodyText"/>
            </w:pPr>
            <w:r>
              <w:t>Return substring of string from begin index until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sum(array)</w:t>
            </w:r>
          </w:p>
        </w:tc>
        <w:tc>
          <w:tcPr>
            <w:tcBorders>
              <w:left w:val="nil"/>
              <w:right w:val="nil"/>
            </w:tcBorders>
          </w:tcPr>
          <w:p>
            <w:pPr>
              <w:pStyle w:val="TableBodyText"/>
            </w:pPr>
            <w:r>
              <w:t>Return sum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to_json(value)</w:t>
            </w:r>
          </w:p>
        </w:tc>
        <w:tc>
          <w:tcPr>
            <w:tcBorders>
              <w:left w:val="nil"/>
              <w:right w:val="nil"/>
            </w:tcBorders>
          </w:tcPr>
          <w:p>
            <w:pPr>
              <w:pStyle w:val="TableBodyText"/>
            </w:pPr>
            <w:r>
              <w:t>Serialize value as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to_lower(str)</w:t>
            </w:r>
          </w:p>
        </w:tc>
        <w:tc>
          <w:tcPr>
            <w:tcBorders>
              <w:left w:val="nil"/>
              <w:right w:val="nil"/>
            </w:tcBorders>
          </w:tcPr>
          <w:p>
            <w:pPr>
              <w:pStyle w:val="TableBodyText"/>
            </w:pPr>
            <w:r>
              <w:t>Convert string to lower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to_number(string)</w:t>
            </w:r>
          </w:p>
        </w:tc>
        <w:tc>
          <w:tcPr>
            <w:tcBorders>
              <w:left w:val="nil"/>
              <w:right w:val="nil"/>
            </w:tcBorders>
          </w:tcPr>
          <w:p>
            <w:pPr>
              <w:pStyle w:val="TableBodyText"/>
            </w:pPr>
            <w:r>
              <w:t>Parse string as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to_string(value)</w:t>
            </w:r>
          </w:p>
        </w:tc>
        <w:tc>
          <w:tcPr>
            <w:tcBorders>
              <w:left w:val="nil"/>
              <w:right w:val="nil"/>
            </w:tcBorders>
          </w:tcPr>
          <w:p>
            <w:pPr>
              <w:pStyle w:val="TableBodyText"/>
            </w:pPr>
            <w:r>
              <w:t>Return string representation of the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to_upper(str)</w:t>
            </w:r>
          </w:p>
        </w:tc>
        <w:tc>
          <w:tcPr>
            <w:tcBorders>
              <w:left w:val="nil"/>
              <w:right w:val="nil"/>
            </w:tcBorders>
          </w:tcPr>
          <w:p>
            <w:pPr>
              <w:pStyle w:val="TableBodyText"/>
            </w:pPr>
            <w:r>
              <w:t>Convert string to upper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to_yaml(jsonText):</w:t>
            </w:r>
          </w:p>
        </w:tc>
        <w:tc>
          <w:tcPr>
            <w:tcBorders>
              <w:left w:val="nil"/>
              <w:right w:val="nil"/>
            </w:tcBorders>
          </w:tcPr>
          <w:p>
            <w:pPr>
              <w:pStyle w:val="TableBodyText"/>
            </w:pPr>
            <w:r>
              <w:t>Convert JSON back to YAML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trim(string)</w:t>
            </w:r>
          </w:p>
        </w:tc>
        <w:tc>
          <w:tcPr>
            <w:tcBorders>
              <w:left w:val="nil"/>
              <w:right w:val="nil"/>
            </w:tcBorders>
          </w:tcPr>
          <w:p>
            <w:pPr>
              <w:pStyle w:val="TableBodyText"/>
            </w:pPr>
            <w:r>
              <w:t>Remove leading and trailing spaces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url_encode(string)</w:t>
            </w:r>
          </w:p>
        </w:tc>
        <w:tc>
          <w:tcPr>
            <w:tcBorders>
              <w:left w:val="nil"/>
              <w:right w:val="nil"/>
            </w:tcBorders>
          </w:tcPr>
          <w:p>
            <w:pPr>
              <w:pStyle w:val="TableBodyText"/>
            </w:pPr>
            <w:r>
              <w:t>Encode string using url encoding specification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uuid()</w:t>
            </w:r>
          </w:p>
        </w:tc>
        <w:tc>
          <w:tcPr>
            <w:tcBorders>
              <w:left w:val="nil"/>
              <w:right w:val="nil"/>
            </w:tcBorders>
          </w:tcPr>
          <w:p>
            <w:pPr>
              <w:pStyle w:val="TableBodyText"/>
            </w:pPr>
            <w:r>
              <w:t>Return randomly generated UUID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values(map)</w:t>
            </w:r>
          </w:p>
        </w:tc>
        <w:tc>
          <w:tcPr>
            <w:tcBorders>
              <w:left w:val="nil"/>
              <w:right w:val="nil"/>
            </w:tcBorders>
          </w:tcPr>
          <w:p>
            <w:pPr>
              <w:pStyle w:val="TableBodyText"/>
            </w:pPr>
            <w:r>
              <w:t>Return values of map</w:t>
            </w:r>
          </w:p>
        </w:tc>
      </w:tr>
    </w:tbl>
    <w:p>
      <w:pPr>
        <w:pStyle w:val="SectionHeading4"/>
        <w:spacing w:before="120"/>
      </w:pPr>
      <w:bookmarkStart w:id="143" w:name="_Toc256000696"/>
      <w:r>
        <w:t>Troubleshooting</w:t>
      </w:r>
      <w:bookmarkEnd w:id="143"/>
    </w:p>
    <w:p>
      <w:pPr>
        <w:pStyle w:val="BodyText"/>
      </w:pPr>
      <w:r>
        <w:t>The YAML language uses a colon and space (": ") as the separator between key and value in key-value pairs. Expression syntax depends on YAML, so a space after a colon can sometimes cause an expression to fail.</w:t>
      </w:r>
    </w:p>
    <w:p>
      <w:pPr>
        <w:pStyle w:val="BodyText"/>
      </w:pPr>
      <w:r>
        <w:t xml:space="preserve">For example, the space between </w:t>
      </w:r>
      <w:r>
        <w:rPr>
          <w:rStyle w:val="InlineCode"/>
        </w:rPr>
        <w:t>"win" :</w:t>
      </w:r>
      <w:r>
        <w:t xml:space="preserve"> and </w:t>
      </w:r>
      <w:r>
        <w:rPr>
          <w:rStyle w:val="InlineCode"/>
        </w:rPr>
        <w:t>"lin"</w:t>
      </w:r>
      <w:r>
        <w:t xml:space="preserve"> in the following expression causes a failure.</w:t>
      </w:r>
    </w:p>
    <w:p>
      <w:pPr>
        <w:pStyle w:val="BodyText"/>
      </w:pPr>
      <w:r>
        <w:rPr>
          <w:rStyle w:val="InlineCode"/>
        </w:rPr>
        <w:t>${contains(input.image,"Windows") == true ? "win" : "lin"}</w:t>
      </w:r>
    </w:p>
    <w:p>
      <w:pPr>
        <w:pStyle w:val="BodyText"/>
      </w:pPr>
      <w:r>
        <w:t>The working expression omits the space.</w:t>
      </w:r>
    </w:p>
    <w:p>
      <w:pPr>
        <w:pStyle w:val="BodyText"/>
      </w:pPr>
      <w:r>
        <w:rPr>
          <w:rStyle w:val="InlineCode"/>
        </w:rPr>
        <w:t>${contains(input.image,"Windows") == true ? "win" :"lin"}</w:t>
      </w:r>
    </w:p>
    <w:p>
      <w:pPr>
        <w:pStyle w:val="BodyText"/>
      </w:pPr>
      <w:r>
        <w:t>If an expression continues to fail, try enclosing the entire expression in tick marks as shown.</w:t>
      </w:r>
    </w:p>
    <w:p>
      <w:pPr>
        <w:pStyle w:val="BodyText"/>
      </w:pPr>
      <w:r>
        <w:rPr>
          <w:rStyle w:val="InlineCode"/>
        </w:rPr>
        <w:t>ezOS: '${contains(input.image,"Windows") == true ? "win" :"li</w:t>
      </w:r>
      <w:r>
        <w:rPr>
          <w:rStyle w:val="InlineCode"/>
        </w:rPr>
        <w:t>n"}</w:t>
      </w:r>
    </w:p>
    <w:p>
      <w:pPr>
        <w:pStyle w:val="Heading3"/>
      </w:pPr>
      <w:bookmarkStart w:id="144" w:name="_Toc256000697"/>
      <w:r>
        <w:t>Creating Custom Forms for Blueprints in VCF Automation</w:t>
      </w:r>
      <w:bookmarkEnd w:id="144"/>
    </w:p>
    <w:p>
      <w:pPr>
        <w:pStyle w:val="BodyText"/>
      </w:pPr>
      <w:r>
        <w:t>To create useful forms based on input parameters, you can design how the information appears at request time, how the parameters values are populated, and add any specialized constraints.</w:t>
      </w:r>
    </w:p>
    <w:p>
      <w:pPr>
        <w:pStyle w:val="SectionHeading4"/>
      </w:pPr>
      <w:bookmarkStart w:id="145" w:name="_Toc256000698"/>
      <w:r>
        <w:t>Custom Request Form Designer</w:t>
      </w:r>
      <w:bookmarkEnd w:id="145"/>
    </w:p>
    <w:p>
      <w:pPr>
        <w:pStyle w:val="BodyText"/>
      </w:pPr>
      <w:r>
        <w:t>Each blueprint version is coupled with a custom form. You use the form designer to create your custom form.</w:t>
      </w:r>
    </w:p>
    <w:p>
      <w:pPr>
        <w:pStyle w:val="BodyText"/>
      </w:pPr>
      <w:r>
        <w:t xml:space="preserve">To create a custom form: </w:t>
      </w:r>
    </w:p>
    <w:p>
      <w:pPr>
        <w:pStyle w:val="BodyText"/>
        <w:numPr>
          <w:numId w:val="87"/>
        </w:numPr>
      </w:pPr>
      <w:r>
        <w:t>Open the blueprint canvas.</w:t>
      </w:r>
    </w:p>
    <w:p>
      <w:pPr>
        <w:pStyle w:val="BodyText"/>
        <w:numPr>
          <w:numId w:val="87"/>
        </w:numPr>
      </w:pPr>
      <w:r>
        <w:t xml:space="preserve">Click </w:t>
      </w:r>
      <w:r>
        <w:rPr>
          <w:rStyle w:val="InlineUI"/>
        </w:rPr>
        <w:t>Create Custom Form</w:t>
      </w:r>
      <w:r>
        <w:t>.</w:t>
      </w:r>
    </w:p>
    <w:p>
      <w:pPr>
        <w:pStyle w:val="BodyText"/>
        <w:numPr>
          <w:numId w:val="87"/>
        </w:numPr>
      </w:pPr>
      <w:r>
        <w:t>Drag any custom elements onto the design canvas.</w:t>
      </w:r>
    </w:p>
    <w:p>
      <w:pPr>
        <w:pStyle w:val="BodyText"/>
        <w:numPr>
          <w:numId w:val="87"/>
        </w:numPr>
      </w:pPr>
      <w:r>
        <w:t xml:space="preserve">Configure each element using the properties pane. For more about the fields properties,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Bfe852c99476e41ed88f89b2e893be292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 Form Designer Field Properties in VCF Automation</w:t>
      </w:r>
      <w:r>
        <w:fldChar w:fldCharType="end"/>
      </w:r>
      <w:r>
        <w:t>.</w:t>
      </w:r>
    </w:p>
    <w:p>
      <w:pPr>
        <w:pStyle w:val="BodyText"/>
        <w:numPr>
          <w:numId w:val="87"/>
        </w:numPr>
      </w:pPr>
      <w:r>
        <w:t>Use the Actions menu options to import or export the form, or import or export a CSS file.</w:t>
      </w:r>
    </w:p>
    <w:p>
      <w:pPr>
        <w:pStyle w:val="BodyText"/>
      </w:pPr>
      <w:r>
        <w:t>The custom form designer supports data validation by adding constraints to a field.</w:t>
      </w:r>
    </w:p>
    <w:p>
      <w:pPr>
        <w:pStyle w:val="SectionHeading4"/>
      </w:pPr>
      <w:bookmarkStart w:id="146" w:name="_Toc256000699"/>
      <w:r>
        <w:t>Importing and exporting custom forms between blueprints</w:t>
      </w:r>
      <w:bookmarkEnd w:id="146"/>
    </w:p>
    <w:p>
      <w:pPr>
        <w:pStyle w:val="BodyText"/>
      </w:pPr>
      <w:r>
        <w:t>You might find, after you develop a custom form, that you want to use part or all of it with another blueprint. You can export a form from one blueprint and import it into another blueprint, and then continue customizing the form for the new blueprint.</w:t>
      </w:r>
    </w:p>
    <w:p>
      <w:pPr>
        <w:pStyle w:val="BodyText"/>
      </w:pPr>
      <w:r>
        <w:t xml:space="preserve">To share the custom forms, you can click </w:t>
      </w:r>
      <w:r>
        <w:rPr>
          <w:rStyle w:val="InlineUI"/>
        </w:rPr>
        <w:t>Actions</w:t>
      </w:r>
      <w:r>
        <w:t xml:space="preserve"> on the custom form designer and select one of the following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9"/>
        <w:gridCol w:w="86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Action Menu Item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form</w:t>
            </w:r>
          </w:p>
        </w:tc>
        <w:tc>
          <w:tcPr>
            <w:tcBorders>
              <w:left w:val="nil"/>
              <w:right w:val="nil"/>
            </w:tcBorders>
          </w:tcPr>
          <w:p>
            <w:pPr>
              <w:pStyle w:val="TableBodyText"/>
            </w:pPr>
            <w:r>
              <w:t>Imports a JSON or YAML file.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form</w:t>
            </w:r>
          </w:p>
        </w:tc>
        <w:tc>
          <w:tcPr>
            <w:tcBorders>
              <w:left w:val="nil"/>
              <w:right w:val="nil"/>
            </w:tcBorders>
          </w:tcPr>
          <w:p>
            <w:pPr>
              <w:pStyle w:val="TableBodyText"/>
            </w:pPr>
            <w:r>
              <w:t>Exports your current custom form as a JSON file.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form as YAML</w:t>
            </w:r>
          </w:p>
        </w:tc>
        <w:tc>
          <w:tcPr>
            <w:tcBorders>
              <w:left w:val="nil"/>
              <w:right w:val="nil"/>
            </w:tcBorders>
          </w:tcPr>
          <w:p>
            <w:pPr>
              <w:pStyle w:val="TableBodyText"/>
            </w:pPr>
            <w:r>
              <w:t>Exports your current custom form as YAML.</w:t>
            </w:r>
          </w:p>
          <w:p>
            <w:pPr>
              <w:pStyle w:val="TableBodyText"/>
            </w:pPr>
            <w:r>
              <w:t>Export the file as YAML when you want to move a custom form from one instance to another. For example, from your test environment to your production environment. If you prefer to edit the form as YAML, you can export the form, edit it, and then import it back into the blueprint.</w:t>
            </w:r>
          </w:p>
        </w:tc>
      </w:tr>
    </w:tbl>
    <w:p>
      <w:pPr>
        <w:pStyle w:val="SectionHeading4"/>
        <w:spacing w:before="120"/>
      </w:pPr>
      <w:bookmarkStart w:id="147" w:name="_Toc256000700"/>
      <w:r>
        <w:t>Adding your own style sheet to a custom form</w:t>
      </w:r>
      <w:bookmarkEnd w:id="147"/>
    </w:p>
    <w:p>
      <w:pPr>
        <w:pStyle w:val="BodyText"/>
      </w:pPr>
      <w:r>
        <w:t xml:space="preserve">You can use a custom cascading style sheet to refine how the text appears on the screen. You must create the CSS file outside of </w:t>
      </w:r>
      <w:r>
        <w:t>VCF Automation</w:t>
      </w:r>
      <w:r>
        <w:t>. You can export and import a CSS file from one blueprint to another.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9"/>
        <w:gridCol w:w="86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Action Menu Item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CSS</w:t>
            </w:r>
          </w:p>
        </w:tc>
        <w:tc>
          <w:tcPr>
            <w:tcBorders>
              <w:left w:val="nil"/>
              <w:right w:val="nil"/>
            </w:tcBorders>
          </w:tcPr>
          <w:p>
            <w:pPr>
              <w:pStyle w:val="TableBodyText"/>
            </w:pPr>
            <w:r>
              <w:t>Imports a CSS file that enhances the catalog request form.</w:t>
            </w:r>
          </w:p>
          <w:p>
            <w:pPr>
              <w:pStyle w:val="TableBodyText"/>
            </w:pPr>
            <w:r>
              <w:t>The file might be similar to the following example.</w:t>
            </w:r>
          </w:p>
          <w:p>
            <w:pPr>
              <w:pStyle w:val="TableBodyText"/>
            </w:pPr>
            <w:r>
              <w:t>#input_&lt;field_ID&gt; {
   font-size: 20px;
   font-weight: bold;
   color: red;
   width: 600px;
}
#input_&lt;field_ID&gt; {
   font-size: 20px;
   font-weight: bold;
   font-style: italic;
   width: 600px;
}</w:t>
            </w:r>
          </w:p>
          <w:p>
            <w:pPr>
              <w:pStyle w:val="TableBodyText"/>
            </w:pPr>
            <w:r>
              <w:t xml:space="preserve">In this example, replace &lt;field_ID&gt; with the actual field IDs from the custom form. You can locate the values by selecting the field in the form, and then you can see the value in the properties pane, beneath the field name. For example, </w:t>
            </w:r>
            <w:r>
              <w:rPr>
                <w:rStyle w:val="InlineCode"/>
              </w:rPr>
              <w:t>Field ID: deploymentName</w:t>
            </w:r>
            <w:r>
              <w:t xml:space="preserve"> or </w:t>
            </w:r>
            <w:r>
              <w:rPr>
                <w:rStyle w:val="InlineCode"/>
              </w:rPr>
              <w:t>Field ID: textField_fe7cf66a</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CSS</w:t>
            </w:r>
          </w:p>
        </w:tc>
        <w:tc>
          <w:tcPr>
            <w:tcBorders>
              <w:left w:val="nil"/>
              <w:right w:val="nil"/>
            </w:tcBorders>
          </w:tcPr>
          <w:p>
            <w:pPr>
              <w:pStyle w:val="TableBodyText"/>
            </w:pPr>
            <w:r>
              <w:t>Exports your customized CSS.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CSS</w:t>
            </w:r>
          </w:p>
        </w:tc>
        <w:tc>
          <w:tcPr>
            <w:tcBorders>
              <w:left w:val="nil"/>
              <w:right w:val="nil"/>
            </w:tcBorders>
          </w:tcPr>
          <w:p>
            <w:pPr>
              <w:pStyle w:val="TableBodyText"/>
            </w:pPr>
            <w:r>
              <w:t>Discards your custom CSS.</w:t>
            </w:r>
          </w:p>
          <w:p>
            <w:pPr>
              <w:pStyle w:val="TableBodyText"/>
            </w:pPr>
            <w:r>
              <w:t>The discarded CSS is not recoverable.</w:t>
            </w:r>
          </w:p>
        </w:tc>
      </w:tr>
    </w:tbl>
    <w:p>
      <w:pPr>
        <w:pStyle w:val="SectionHeading4"/>
        <w:spacing w:before="120"/>
      </w:pPr>
      <w:bookmarkStart w:id="148" w:name="_Toc256000701"/>
      <w:r>
        <w:t>Adding external validation to a custom form</w:t>
      </w:r>
      <w:bookmarkEnd w:id="148"/>
    </w:p>
    <w:p>
      <w:pPr>
        <w:pStyle w:val="BodyText"/>
      </w:pPr>
      <w:r>
        <w:t xml:space="preserve">You can also validate catalog request forms by adding an external validation. External validations are run once the user submits a form request from the UI or the API. External validations use </w:t>
      </w:r>
      <w:r>
        <w:t>VCF Operations orchestrator</w:t>
      </w:r>
      <w:r>
        <w:t xml:space="preserve"> action scripts that return a string value when the input parameter value validation fails. The returned string value is displayed as an error message in the catalog request form. If the input parameter value is valid, the external validation must return nothing.</w:t>
      </w:r>
    </w:p>
    <w:p>
      <w:pPr>
        <w:pStyle w:val="BodyText"/>
      </w:pPr>
      <w:r>
        <w:t xml:space="preserve">You can add an external validation from the </w:t>
      </w:r>
      <w:r>
        <w:rPr>
          <w:rStyle w:val="InlineUI"/>
        </w:rPr>
        <w:t>Validations</w:t>
      </w:r>
      <w:r>
        <w:t xml:space="preserve"> tab in the form editor. You drag a </w:t>
      </w:r>
      <w:r>
        <w:t>VCF Operations orchestrator</w:t>
      </w:r>
      <w:r>
        <w:t xml:space="preserve"> validation element to the canvas and add a </w:t>
      </w:r>
      <w:r>
        <w:t>VCF Operations orchestrator</w:t>
      </w:r>
      <w:r>
        <w:t xml:space="preserve"> action that you want to use for validation. External validations can be related to more than one field at a time.</w:t>
      </w:r>
    </w:p>
    <w:p>
      <w:pPr>
        <w:pStyle w:val="Heading4"/>
      </w:pPr>
      <w:bookmarkStart w:id="149" w:name="Bfe852c99476e41ed88f89b2e893be292"/>
      <w:bookmarkStart w:id="150" w:name="_Toc256000702"/>
      <w:r>
        <w:t>Custom Form Designer Field Properties in VCF Automation</w:t>
      </w:r>
      <w:bookmarkEnd w:id="150"/>
      <w:bookmarkEnd w:id="149"/>
    </w:p>
    <w:p>
      <w:pPr>
        <w:pStyle w:val="BodyText"/>
      </w:pPr>
      <w:r>
        <w:t xml:space="preserve">The field properties in </w:t>
      </w:r>
      <w:r>
        <w:t>VCF Automation</w:t>
      </w:r>
      <w:r>
        <w:t xml:space="preserve"> determine how the fields looks and what default values are presented to the user. You can also use the properties to define rules that ensure that the users provide a valid entry when they request the item in the catalog.</w:t>
      </w:r>
    </w:p>
    <w:p>
      <w:pPr>
        <w:pStyle w:val="BodyText"/>
      </w:pPr>
      <w:r>
        <w:t>You configure each field individually. Select the field and edit the field properties.</w:t>
      </w:r>
    </w:p>
    <w:p>
      <w:pPr>
        <w:pStyle w:val="SectionHeading5"/>
      </w:pPr>
      <w:r>
        <w:t>Value source</w:t>
      </w:r>
    </w:p>
    <w:p>
      <w:pPr>
        <w:pStyle w:val="BodyText"/>
      </w:pPr>
      <w:r>
        <w:t>For many of the properties, you can select from various value source options. Not all source options are available for all field types or properties.</w:t>
      </w:r>
    </w:p>
    <w:p>
      <w:pPr>
        <w:pStyle w:val="BodyText"/>
        <w:numPr>
          <w:numId w:val="88"/>
        </w:numPr>
      </w:pPr>
      <w:r>
        <w:rPr>
          <w:rStyle w:val="InlineUI"/>
        </w:rPr>
        <w:t>Constant.</w:t>
      </w:r>
      <w:r>
        <w:t xml:space="preserve"> The value does not change. Depending on the property, the value might be a string, an integer, a regular expression, a complex value, for example, based on columns in a datagrid or another complex field, or selected from a limited list, for example, Yes or No. For example, you can provide 1 as a default value integer, select No for the Read-only property, or provide the regular expression to validate a field entry.</w:t>
      </w:r>
    </w:p>
    <w:p>
      <w:pPr>
        <w:pStyle w:val="BodyText"/>
        <w:numPr>
          <w:numId w:val="88"/>
        </w:numPr>
      </w:pPr>
      <w:r>
        <w:rPr>
          <w:rStyle w:val="InlineUI"/>
        </w:rPr>
        <w:t>Conditional value.</w:t>
      </w:r>
      <w:r>
        <w:t xml:space="preserve"> The value is based on one or more conditions. The conditions are processed in the order listed. If more than one condition is true, the last condition that is true determines the behavior of the field for that property. For example, you can create a condition that determines if a field is visible based on the value in another field.</w:t>
      </w:r>
    </w:p>
    <w:p>
      <w:pPr>
        <w:pStyle w:val="BodyText"/>
        <w:numPr>
          <w:numId w:val="88"/>
        </w:numPr>
      </w:pPr>
      <w:r>
        <w:rPr>
          <w:rStyle w:val="InlineUI"/>
        </w:rPr>
        <w:t>External source.</w:t>
      </w:r>
      <w:r>
        <w:t xml:space="preserve"> The value is based on the results of a </w:t>
      </w:r>
      <w:r>
        <w:t>VCF Operations orchestrator</w:t>
      </w:r>
      <w:r>
        <w:t xml:space="preserve"> action. For example, calculate cost based on a scripted </w:t>
      </w:r>
      <w:r>
        <w:t>VCF Operations orchestrator</w:t>
      </w:r>
      <w:r>
        <w:t xml:space="preserve"> action. For an example,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Bd41969a7d3884a59aa1506bda5edd16d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VCF Operations orchestrator Actions in the Custom Form Designer in VCF Automation</w:t>
      </w:r>
      <w:r>
        <w:fldChar w:fldCharType="end"/>
      </w:r>
      <w:r>
        <w:t>.</w:t>
      </w:r>
    </w:p>
    <w:p>
      <w:pPr>
        <w:pStyle w:val="BodyText"/>
        <w:numPr>
          <w:numId w:val="88"/>
        </w:numPr>
      </w:pPr>
      <w:r>
        <w:rPr>
          <w:rStyle w:val="InlineUI"/>
        </w:rPr>
        <w:t>Bind field.</w:t>
      </w:r>
      <w:r>
        <w:t xml:space="preserve"> The value is the same as the field to which it is bound. The available fields are limited to the same field type. For example, you bind default value for an authentication needed check box field to another check box field. When one target field check box is selected in the request form, the check box on the current field is selected.</w:t>
      </w:r>
    </w:p>
    <w:p>
      <w:pPr>
        <w:pStyle w:val="BodyText"/>
        <w:numPr>
          <w:numId w:val="88"/>
        </w:numPr>
      </w:pPr>
      <w:r>
        <w:rPr>
          <w:rStyle w:val="InlineUI"/>
        </w:rPr>
        <w:t>Computed value.</w:t>
      </w:r>
      <w:r>
        <w:t xml:space="preserve"> The value is determined based on how the operator processes the selected fields and values. Text fields use the concatenate operator. Integer fields use the selected add, subtract, multiply or divide operations. For example, you can configure an integer field to convert megabytes to gigabytes using the multiply operation.</w:t>
      </w:r>
    </w:p>
    <w:p>
      <w:pPr>
        <w:pStyle w:val="SectionHeading5"/>
      </w:pPr>
      <w:r>
        <w:t>Field appearance</w:t>
      </w:r>
    </w:p>
    <w:p>
      <w:pPr>
        <w:pStyle w:val="BodyText"/>
      </w:pPr>
      <w:r>
        <w:t>You use the appearance properties to determine whether the field appears on the form and what label and custom help you want to provide to your catalog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Appearance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2"/>
        <w:gridCol w:w="83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Label and type</w:t>
            </w:r>
          </w:p>
        </w:tc>
        <w:tc>
          <w:tcPr>
            <w:tcBorders>
              <w:left w:val="nil"/>
              <w:right w:val="nil"/>
            </w:tcBorders>
          </w:tcPr>
          <w:p>
            <w:pPr>
              <w:pStyle w:val="TableBodyText"/>
            </w:pPr>
            <w:r>
              <w:t>Provide a label and select a display type. The available display types depend on the element. Some some elements support multiple text types and others only support integers. Possible values:</w:t>
            </w:r>
          </w:p>
          <w:p>
            <w:pPr>
              <w:pStyle w:val="TableBodyText"/>
              <w:numPr>
                <w:numId w:val="89"/>
              </w:numPr>
            </w:pPr>
            <w:r>
              <w:t>Array Input</w:t>
            </w:r>
          </w:p>
          <w:p>
            <w:pPr>
              <w:pStyle w:val="TableBodyText"/>
              <w:numPr>
                <w:numId w:val="89"/>
              </w:numPr>
            </w:pPr>
            <w:r>
              <w:t>Checkbox</w:t>
            </w:r>
          </w:p>
          <w:p>
            <w:pPr>
              <w:pStyle w:val="TableBodyText"/>
              <w:numPr>
                <w:numId w:val="89"/>
              </w:numPr>
            </w:pPr>
            <w:r>
              <w:t>Combobox</w:t>
            </w:r>
          </w:p>
          <w:p>
            <w:pPr>
              <w:pStyle w:val="TableBodyText"/>
              <w:numPr>
                <w:numId w:val="89"/>
              </w:numPr>
            </w:pPr>
            <w:r>
              <w:t>Data Grid</w:t>
            </w:r>
          </w:p>
          <w:p>
            <w:pPr>
              <w:pStyle w:val="TableBodyText"/>
              <w:numPr>
                <w:numId w:val="89"/>
              </w:numPr>
            </w:pPr>
            <w:r>
              <w:t>Date Time</w:t>
            </w:r>
          </w:p>
          <w:p>
            <w:pPr>
              <w:pStyle w:val="TableBodyText"/>
              <w:numPr>
                <w:numId w:val="89"/>
              </w:numPr>
            </w:pPr>
            <w:r>
              <w:t>Decimal</w:t>
            </w:r>
          </w:p>
          <w:p>
            <w:pPr>
              <w:pStyle w:val="TableBodyText"/>
              <w:numPr>
                <w:numId w:val="89"/>
              </w:numPr>
            </w:pPr>
            <w:r>
              <w:t>Drop Down</w:t>
            </w:r>
          </w:p>
          <w:p>
            <w:pPr>
              <w:pStyle w:val="TableBodyText"/>
              <w:numPr>
                <w:numId w:val="89"/>
              </w:numPr>
            </w:pPr>
            <w:r>
              <w:t>Dual List</w:t>
            </w:r>
          </w:p>
          <w:p>
            <w:pPr>
              <w:pStyle w:val="TableBodyText"/>
              <w:numPr>
                <w:numId w:val="89"/>
              </w:numPr>
            </w:pPr>
            <w:r>
              <w:t>Image</w:t>
            </w:r>
          </w:p>
          <w:p>
            <w:pPr>
              <w:pStyle w:val="TableBodyText"/>
              <w:numPr>
                <w:numId w:val="89"/>
              </w:numPr>
            </w:pPr>
            <w:r>
              <w:t>Integer</w:t>
            </w:r>
          </w:p>
          <w:p>
            <w:pPr>
              <w:pStyle w:val="TableBodyText"/>
              <w:numPr>
                <w:numId w:val="89"/>
              </w:numPr>
            </w:pPr>
            <w:r>
              <w:t>Link</w:t>
            </w:r>
          </w:p>
          <w:p>
            <w:pPr>
              <w:pStyle w:val="TableBodyText"/>
              <w:numPr>
                <w:numId w:val="89"/>
              </w:numPr>
            </w:pPr>
            <w:r>
              <w:t>Multi Select</w:t>
            </w:r>
          </w:p>
          <w:p>
            <w:pPr>
              <w:pStyle w:val="TableBodyText"/>
              <w:numPr>
                <w:numId w:val="89"/>
              </w:numPr>
            </w:pPr>
            <w:r>
              <w:t>Multi Value Picker</w:t>
            </w:r>
          </w:p>
          <w:p>
            <w:pPr>
              <w:pStyle w:val="TableBodyText"/>
              <w:numPr>
                <w:numId w:val="89"/>
              </w:numPr>
            </w:pPr>
            <w:r>
              <w:t>Object Field</w:t>
            </w:r>
          </w:p>
          <w:p>
            <w:pPr>
              <w:pStyle w:val="TableBodyText"/>
              <w:numPr>
                <w:numId w:val="89"/>
              </w:numPr>
            </w:pPr>
            <w:r>
              <w:t>Password</w:t>
            </w:r>
          </w:p>
          <w:p>
            <w:pPr>
              <w:pStyle w:val="TableBodyText"/>
              <w:ind w:left="480"/>
            </w:pPr>
            <w:r>
              <w:t xml:space="preserve">To ensure that passwords are encrypted in the deployment request details page, the input property in the cloud template must include </w:t>
            </w:r>
            <w:r>
              <w:rPr>
                <w:rStyle w:val="InlineCode"/>
              </w:rPr>
              <w:t>encrypted:true</w:t>
            </w:r>
            <w:r>
              <w:t>.</w:t>
            </w:r>
          </w:p>
          <w:p>
            <w:pPr>
              <w:pStyle w:val="TableBodyText"/>
              <w:numPr>
                <w:numId w:val="89"/>
              </w:numPr>
            </w:pPr>
            <w:r>
              <w:t>Radio Group</w:t>
            </w:r>
          </w:p>
          <w:p>
            <w:pPr>
              <w:pStyle w:val="TableBodyText"/>
              <w:numPr>
                <w:numId w:val="89"/>
              </w:numPr>
            </w:pPr>
            <w:r>
              <w:t>Text</w:t>
            </w:r>
          </w:p>
          <w:p>
            <w:pPr>
              <w:pStyle w:val="TableBodyText"/>
              <w:numPr>
                <w:numId w:val="89"/>
              </w:numPr>
            </w:pPr>
            <w:r>
              <w:t>Text Area</w:t>
            </w:r>
          </w:p>
          <w:p>
            <w:pPr>
              <w:pStyle w:val="TableBodyText"/>
              <w:numPr>
                <w:numId w:val="89"/>
              </w:numPr>
            </w:pPr>
            <w:r>
              <w:t>Text Field</w:t>
            </w:r>
          </w:p>
          <w:p>
            <w:pPr>
              <w:pStyle w:val="TableBodyText"/>
              <w:numPr>
                <w:numId w:val="89"/>
              </w:numPr>
            </w:pPr>
            <w:r>
              <w:t>Tree Picker</w:t>
            </w:r>
          </w:p>
          <w:p>
            <w:pPr>
              <w:pStyle w:val="TableBodyText"/>
              <w:ind w:left="480"/>
            </w:pPr>
            <w:r>
              <w:t>The reference type must be an inventory object.</w:t>
            </w:r>
          </w:p>
          <w:p>
            <w:pPr>
              <w:pStyle w:val="TableBodyText"/>
              <w:numPr>
                <w:numId w:val="89"/>
              </w:numPr>
            </w:pPr>
            <w:r>
              <w:t>Value Picker</w:t>
            </w:r>
          </w:p>
          <w:p>
            <w:pPr>
              <w:pStyle w:val="TableBodyText"/>
            </w:pPr>
            <w:r>
              <w:t xml:space="preserve">Drop-down and data grid fields include a </w:t>
            </w:r>
            <w:r>
              <w:rPr>
                <w:rStyle w:val="InlineUI"/>
              </w:rPr>
              <w:t>Placeholder</w:t>
            </w:r>
            <w:r>
              <w:t xml:space="preserve"> setting. The entered value appears as an internal label or instructions in the drop-down menu, or as a general label or instructions in the data grid.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Visibility</w:t>
            </w:r>
          </w:p>
        </w:tc>
        <w:tc>
          <w:tcPr>
            <w:tcBorders>
              <w:left w:val="nil"/>
              <w:right w:val="nil"/>
            </w:tcBorders>
          </w:tcPr>
          <w:p>
            <w:pPr>
              <w:pStyle w:val="TableBodyText"/>
            </w:pPr>
            <w:r>
              <w:t>Show or hide a field on the request form.</w:t>
            </w:r>
          </w:p>
          <w:p>
            <w:pPr>
              <w:pStyle w:val="TableBodyText"/>
              <w:numPr>
                <w:numId w:val="90"/>
              </w:numPr>
            </w:pPr>
            <w:r>
              <w:rPr>
                <w:rStyle w:val="InlineUI"/>
              </w:rPr>
              <w:t>Constant.</w:t>
            </w:r>
            <w:r>
              <w:t xml:space="preserve"> Select Yes to display the field on the form. Select No to hide the field.</w:t>
            </w:r>
          </w:p>
          <w:p>
            <w:pPr>
              <w:pStyle w:val="TableBodyText"/>
              <w:numPr>
                <w:numId w:val="90"/>
              </w:numPr>
            </w:pPr>
            <w:r>
              <w:rPr>
                <w:rStyle w:val="InlineUI"/>
              </w:rPr>
              <w:t>Conditional value.</w:t>
            </w:r>
            <w:r>
              <w:t xml:space="preserve"> Visibility is determined by the first expression that is true. For example, a field is visible if a check box is selected on a form.</w:t>
            </w:r>
          </w:p>
          <w:p>
            <w:pPr>
              <w:pStyle w:val="TableBodyText"/>
              <w:numPr>
                <w:numId w:val="90"/>
              </w:numPr>
            </w:pPr>
            <w:r>
              <w:rPr>
                <w:rStyle w:val="InlineUI"/>
              </w:rPr>
              <w:t>Bind field.</w:t>
            </w:r>
            <w:r>
              <w:t xml:space="preserve"> Visibility of the field is bound to another check box field.</w:t>
            </w:r>
          </w:p>
          <w:p>
            <w:pPr>
              <w:pStyle w:val="TableBodyText"/>
            </w:pPr>
            <w:r>
              <w:t>If the visibility for a field is set to No, the field constraints, like regular expressions and required fields, are disregarded.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Read-only</w:t>
            </w:r>
          </w:p>
        </w:tc>
        <w:tc>
          <w:tcPr>
            <w:tcBorders>
              <w:left w:val="nil"/>
              <w:right w:val="nil"/>
            </w:tcBorders>
          </w:tcPr>
          <w:p>
            <w:pPr>
              <w:pStyle w:val="TableBodyText"/>
            </w:pPr>
            <w:r>
              <w:t>Prevent users from changing the field values.</w:t>
            </w:r>
          </w:p>
          <w:p>
            <w:pPr>
              <w:pStyle w:val="TableBodyText"/>
              <w:numPr>
                <w:numId w:val="91"/>
              </w:numPr>
            </w:pPr>
            <w:r>
              <w:rPr>
                <w:rStyle w:val="InlineUI"/>
              </w:rPr>
              <w:t>Constant.</w:t>
            </w:r>
            <w:r>
              <w:t xml:space="preserve"> Select Yes to display the value but prevent changes. Select No to allow changes.</w:t>
            </w:r>
          </w:p>
          <w:p>
            <w:pPr>
              <w:pStyle w:val="TableBodyText"/>
              <w:numPr>
                <w:numId w:val="91"/>
              </w:numPr>
            </w:pPr>
            <w:r>
              <w:rPr>
                <w:rStyle w:val="InlineUI"/>
              </w:rPr>
              <w:t>Conditional value.</w:t>
            </w:r>
            <w:r>
              <w:t xml:space="preserve"> Status is determined by the first expression that is true. For example, a field is read-only if the value in a storage field is greater than 2GB.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Rows per page</w:t>
            </w:r>
          </w:p>
        </w:tc>
        <w:tc>
          <w:tcPr>
            <w:tcBorders>
              <w:left w:val="nil"/>
              <w:right w:val="nil"/>
            </w:tcBorders>
          </w:tcPr>
          <w:p>
            <w:pPr>
              <w:pStyle w:val="TableBodyText"/>
            </w:pPr>
            <w:r>
              <w:t>For data grid elements only.</w:t>
            </w:r>
          </w:p>
          <w:p>
            <w:pPr>
              <w:pStyle w:val="TableBodyText"/>
            </w:pPr>
            <w:r>
              <w:t>Enter the number of rows.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Custom help</w:t>
            </w:r>
          </w:p>
        </w:tc>
        <w:tc>
          <w:tcPr>
            <w:tcBorders>
              <w:left w:val="nil"/>
              <w:right w:val="nil"/>
            </w:tcBorders>
          </w:tcPr>
          <w:p>
            <w:pPr>
              <w:pStyle w:val="TableBodyText"/>
            </w:pPr>
            <w:r>
              <w:t>Provide information about the field to your users. This information appears in signpost help for the field.</w:t>
            </w:r>
          </w:p>
          <w:p>
            <w:pPr>
              <w:pStyle w:val="TableBodyText"/>
            </w:pPr>
            <w:r>
              <w:t xml:space="preserve">You can use simple text or HTML, including href links. For example, </w:t>
            </w:r>
            <w:r>
              <w:rPr>
                <w:rStyle w:val="InlineCode"/>
              </w:rPr>
              <w:t>&lt;a href="https://techdocs.broadcom.com/us/en/vmware-cis/vcf.html"&gt;VMware Cloud Foundation documentation&lt;/a&gt;</w:t>
            </w:r>
            <w:r>
              <w:t>.</w:t>
            </w:r>
          </w:p>
        </w:tc>
      </w:tr>
    </w:tbl>
    <w:p>
      <w:pPr>
        <w:pStyle w:val="SectionHeading5"/>
        <w:spacing w:before="120"/>
      </w:pPr>
      <w:r>
        <w:t>Field values</w:t>
      </w:r>
    </w:p>
    <w:p>
      <w:pPr>
        <w:pStyle w:val="BodyText"/>
      </w:pPr>
      <w:r>
        <w:t>You use the values properties to provide any default values.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Values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0"/>
        <w:gridCol w:w="86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Columns</w:t>
            </w:r>
          </w:p>
        </w:tc>
        <w:tc>
          <w:tcPr>
            <w:tcBorders>
              <w:left w:val="nil"/>
              <w:right w:val="nil"/>
            </w:tcBorders>
          </w:tcPr>
          <w:p>
            <w:pPr>
              <w:pStyle w:val="TableBodyText"/>
            </w:pPr>
            <w:r>
              <w:t>For the data grid element only.</w:t>
            </w:r>
          </w:p>
          <w:p>
            <w:pPr>
              <w:pStyle w:val="TableBodyText"/>
            </w:pPr>
            <w:r>
              <w:t>Provide the label, ID, and value type for each column in your table.</w:t>
            </w:r>
          </w:p>
          <w:p>
            <w:pPr>
              <w:pStyle w:val="TableBodyText"/>
            </w:pPr>
            <w:r>
              <w:t>The default value for the data grid must include the header data that matches the defined columns. For example, if you have user_name ID for one column and user_role ID for another, then the first row is user_name,user_role.</w:t>
            </w:r>
          </w:p>
          <w:p>
            <w:pPr>
              <w:pStyle w:val="TableBodyText"/>
            </w:pPr>
            <w:r>
              <w:t>For configuration examples, see Using the data grid element in the VCF Automation for All Apps custom form designer.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Default value</w:t>
            </w:r>
          </w:p>
        </w:tc>
        <w:tc>
          <w:tcPr>
            <w:tcBorders>
              <w:left w:val="nil"/>
              <w:right w:val="nil"/>
            </w:tcBorders>
          </w:tcPr>
          <w:p>
            <w:pPr>
              <w:pStyle w:val="TableBodyText"/>
            </w:pPr>
            <w:r>
              <w:t>Populates the field with a default value based on the value source.</w:t>
            </w:r>
          </w:p>
          <w:p>
            <w:pPr>
              <w:pStyle w:val="TableBodyText"/>
            </w:pPr>
            <w:r>
              <w:t>Possible value sources depend on the field.</w:t>
            </w:r>
          </w:p>
          <w:p>
            <w:pPr>
              <w:pStyle w:val="TableBodyText"/>
              <w:numPr>
                <w:numId w:val="92"/>
              </w:numPr>
            </w:pPr>
            <w:r>
              <w:rPr>
                <w:rStyle w:val="InlineUI"/>
              </w:rPr>
              <w:t>Constant.</w:t>
            </w:r>
            <w:r>
              <w:t xml:space="preserve"> The entered string.</w:t>
            </w:r>
          </w:p>
          <w:p>
            <w:pPr>
              <w:pStyle w:val="TableBodyText"/>
              <w:numPr>
                <w:numId w:val="92"/>
              </w:numPr>
            </w:pPr>
            <w:r>
              <w:rPr>
                <w:rStyle w:val="InlineUI"/>
              </w:rPr>
              <w:t>Orchestrator action.</w:t>
            </w:r>
            <w:r>
              <w:t xml:space="preserve"> Value is based on the results of the selected </w:t>
            </w:r>
            <w:r>
              <w:t>VCF Operations orchestrator</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Value option</w:t>
            </w:r>
          </w:p>
        </w:tc>
        <w:tc>
          <w:tcPr>
            <w:tcBorders>
              <w:left w:val="nil"/>
              <w:right w:val="nil"/>
            </w:tcBorders>
          </w:tcPr>
          <w:p>
            <w:pPr>
              <w:pStyle w:val="TableBodyText"/>
            </w:pPr>
            <w:r>
              <w:t>Populates a drop-down, multi-select, radio group, or value picker fields.</w:t>
            </w:r>
          </w:p>
          <w:p>
            <w:pPr>
              <w:pStyle w:val="TableBodyText"/>
              <w:numPr>
                <w:numId w:val="93"/>
              </w:numPr>
            </w:pPr>
            <w:r>
              <w:rPr>
                <w:rStyle w:val="InlineUI"/>
              </w:rPr>
              <w:t>Constant.</w:t>
            </w:r>
            <w:r>
              <w:t xml:space="preserve"> The format for the list is Value|Label,Value|Label,Value|Label. For example, </w:t>
            </w:r>
            <w:r>
              <w:rPr>
                <w:rStyle w:val="InlineCode"/>
              </w:rPr>
              <w:t>2|Small,4|Medium,8|Large</w:t>
            </w:r>
            <w:r>
              <w:t>.</w:t>
            </w:r>
          </w:p>
          <w:p>
            <w:pPr>
              <w:pStyle w:val="TableBodyText"/>
              <w:numPr>
                <w:numId w:val="93"/>
              </w:numPr>
            </w:pPr>
            <w:r>
              <w:rPr>
                <w:rStyle w:val="InlineUI"/>
              </w:rPr>
              <w:t>External source.</w:t>
            </w:r>
            <w:r>
              <w:t xml:space="preserve"> Value is based on the results of the selected </w:t>
            </w:r>
            <w:r>
              <w:t>VCF Operations orchestrator</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Step</w:t>
            </w:r>
          </w:p>
        </w:tc>
        <w:tc>
          <w:tcPr>
            <w:tcBorders>
              <w:left w:val="nil"/>
              <w:right w:val="nil"/>
            </w:tcBorders>
          </w:tcPr>
          <w:p>
            <w:pPr>
              <w:pStyle w:val="TableBodyText"/>
            </w:pPr>
            <w:r>
              <w:t>For integer or decimal fields, define the incremental or decremental values.</w:t>
            </w:r>
          </w:p>
          <w:p>
            <w:pPr>
              <w:pStyle w:val="TableBodyText"/>
            </w:pPr>
            <w:r>
              <w:t>For example, if the default value is 1 and you set the step value to 3, then the allowed values are 4, 7, 10, and so on.</w:t>
            </w:r>
          </w:p>
        </w:tc>
      </w:tr>
    </w:tbl>
    <w:p>
      <w:pPr>
        <w:pStyle w:val="SectionHeading5"/>
        <w:spacing w:before="120"/>
      </w:pPr>
      <w:r>
        <w:t>Field constraints</w:t>
      </w:r>
    </w:p>
    <w:p>
      <w:pPr>
        <w:pStyle w:val="BodyText"/>
      </w:pPr>
      <w:r>
        <w:t>You use the constraint properties to ensure that the requesting user provides valid values in the request form.</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Constraints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3"/>
        <w:gridCol w:w="8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Required</w:t>
            </w:r>
          </w:p>
        </w:tc>
        <w:tc>
          <w:tcPr>
            <w:tcBorders>
              <w:left w:val="nil"/>
              <w:right w:val="nil"/>
            </w:tcBorders>
          </w:tcPr>
          <w:p>
            <w:pPr>
              <w:pStyle w:val="TableBodyText"/>
            </w:pPr>
            <w:r>
              <w:t>The requesting user must provide a value for this field.</w:t>
            </w:r>
          </w:p>
          <w:p>
            <w:pPr>
              <w:pStyle w:val="TableBodyText"/>
              <w:numPr>
                <w:numId w:val="94"/>
              </w:numPr>
            </w:pPr>
            <w:r>
              <w:rPr>
                <w:rStyle w:val="InlineUI"/>
              </w:rPr>
              <w:t>Constant.</w:t>
            </w:r>
            <w:r>
              <w:t xml:space="preserve"> Select Yes to require that the requesting user provides a value. Select no if the field is optional.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Regular expression</w:t>
            </w:r>
          </w:p>
        </w:tc>
        <w:tc>
          <w:tcPr>
            <w:tcBorders>
              <w:left w:val="nil"/>
              <w:right w:val="nil"/>
            </w:tcBorders>
          </w:tcPr>
          <w:p>
            <w:pPr>
              <w:pStyle w:val="TableBodyText"/>
            </w:pPr>
            <w:r>
              <w:t>Provide a regular expression that validates the value and a message that appears when the validation fails.</w:t>
            </w:r>
          </w:p>
          <w:p>
            <w:pPr>
              <w:pStyle w:val="TableBodyText"/>
            </w:pPr>
            <w:r>
              <w:t>The regular expressions must follow JavaScript syntax.</w:t>
            </w:r>
          </w:p>
          <w:p>
            <w:pPr>
              <w:pStyle w:val="TableBodyText"/>
              <w:numPr>
                <w:numId w:val="95"/>
              </w:numPr>
            </w:pPr>
            <w:r>
              <w:rPr>
                <w:rStyle w:val="InlineUI"/>
              </w:rPr>
              <w:t>Constant.</w:t>
            </w:r>
            <w:r>
              <w:t xml:space="preserve"> Provide a regular expression. For example, for an email address, the regular expression might be </w:t>
            </w:r>
            <w:r>
              <w:rPr>
                <w:rStyle w:val="InlineCode"/>
              </w:rPr>
              <w:t>^[A-Za-z0-9._%+-]+@[A-Zaz0-9.-]+\\.[A-Za-z]{2,}$</w:t>
            </w:r>
            <w:r>
              <w:t xml:space="preserve"> and the validation error message is </w:t>
            </w:r>
            <w:r>
              <w:rPr>
                <w:rStyle w:val="InlineCode"/>
              </w:rPr>
              <w:t>The email address format is not valid. Please try again.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Minimum value</w:t>
            </w:r>
          </w:p>
        </w:tc>
        <w:tc>
          <w:tcPr>
            <w:tcBorders>
              <w:left w:val="nil"/>
              <w:right w:val="nil"/>
            </w:tcBorders>
          </w:tcPr>
          <w:p>
            <w:pPr>
              <w:pStyle w:val="TableBodyText"/>
            </w:pPr>
            <w:r>
              <w:t>Specify a minimum numeric value. For example, a password must have at least 8 characters.</w:t>
            </w:r>
          </w:p>
          <w:p>
            <w:pPr>
              <w:pStyle w:val="TableBodyText"/>
            </w:pPr>
            <w:r>
              <w:t xml:space="preserve">Provide an error message. For example, </w:t>
            </w:r>
            <w:r>
              <w:rPr>
                <w:rStyle w:val="InlineCode"/>
              </w:rPr>
              <w:t>The password must be at least 8 characters.</w:t>
            </w:r>
          </w:p>
          <w:p>
            <w:pPr>
              <w:pStyle w:val="TableBodyText"/>
              <w:numPr>
                <w:numId w:val="96"/>
              </w:numPr>
            </w:pPr>
            <w:r>
              <w:rPr>
                <w:rStyle w:val="InlineUI"/>
              </w:rPr>
              <w:t>Constant.</w:t>
            </w:r>
            <w:r>
              <w:t xml:space="preserve"> Enter the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Maximum value</w:t>
            </w:r>
          </w:p>
        </w:tc>
        <w:tc>
          <w:tcPr>
            <w:tcBorders>
              <w:left w:val="nil"/>
              <w:right w:val="nil"/>
            </w:tcBorders>
          </w:tcPr>
          <w:p>
            <w:pPr>
              <w:pStyle w:val="TableBodyText"/>
            </w:pPr>
            <w:r>
              <w:t>Maximum numeric value. For example, a field is limited to 50 characters.</w:t>
            </w:r>
          </w:p>
          <w:p>
            <w:pPr>
              <w:pStyle w:val="TableBodyText"/>
            </w:pPr>
            <w:r>
              <w:t xml:space="preserve">Provide an error message. For example, </w:t>
            </w:r>
            <w:r>
              <w:rPr>
                <w:rStyle w:val="InlineCode"/>
              </w:rPr>
              <w:t>This description cannot exceed 50 characters.</w:t>
            </w:r>
          </w:p>
          <w:p>
            <w:pPr>
              <w:pStyle w:val="TableBodyText"/>
              <w:numPr>
                <w:numId w:val="97"/>
              </w:numPr>
            </w:pPr>
            <w:r>
              <w:rPr>
                <w:rStyle w:val="InlineUI"/>
              </w:rPr>
              <w:t>Constant.</w:t>
            </w:r>
            <w:r>
              <w:t xml:space="preserve"> Enter the integer.</w:t>
            </w:r>
          </w:p>
        </w:tc>
      </w:tr>
    </w:tbl>
    <w:p>
      <w:pPr>
        <w:pStyle w:val="Heading4"/>
        <w:spacing w:before="120"/>
      </w:pPr>
      <w:bookmarkStart w:id="151" w:name="_Toc256000703"/>
      <w:r>
        <w:t>Using the Data Grid Element in the Custom Form Designer in VCF Automation</w:t>
      </w:r>
      <w:bookmarkEnd w:id="151"/>
    </w:p>
    <w:p>
      <w:pPr>
        <w:pStyle w:val="BodyText"/>
      </w:pPr>
      <w:r>
        <w:t>If you use a data grid element in a custom form, the data that is presented in the table might be manually provided.</w:t>
      </w:r>
    </w:p>
    <w:p>
      <w:pPr>
        <w:pStyle w:val="SectionHeading5"/>
      </w:pPr>
      <w:r>
        <w:t xml:space="preserve">Example: </w:t>
      </w:r>
      <w:r>
        <w:t>Provided CSV data example</w:t>
      </w:r>
    </w:p>
    <w:p>
      <w:pPr>
        <w:pStyle w:val="BodyText"/>
      </w:pPr>
      <w:r>
        <w:t>In this use case, you have a table of values that you provide in the custom request form. You provide the information in the table as a constant value source. The source is based on a CSV data structure where the first row defines the grid headers. The headers are the column IDs separated by a comma. Each additional row is the data that appears in each row in the table.</w:t>
      </w:r>
    </w:p>
    <w:p>
      <w:pPr>
        <w:pStyle w:val="BodyText"/>
        <w:numPr>
          <w:numId w:val="98"/>
        </w:numPr>
      </w:pPr>
      <w:r>
        <w:t>Add the Data Grid generic element to the design canvas.</w:t>
      </w:r>
    </w:p>
    <w:p>
      <w:pPr>
        <w:pStyle w:val="BodyText"/>
        <w:numPr>
          <w:numId w:val="98"/>
        </w:numPr>
      </w:pPr>
      <w:r>
        <w:t>Select the data grid and define the values in the properties pane.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1351"/>
        <w:gridCol w:w="94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w:t>
            </w:r>
          </w:p>
        </w:tc>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Type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Employee ID</w:t>
            </w:r>
          </w:p>
        </w:tc>
        <w:tc>
          <w:tcPr>
            <w:tcBorders>
              <w:left w:val="nil"/>
              <w:right w:val="nil"/>
            </w:tcBorders>
          </w:tcPr>
          <w:p>
            <w:pPr>
              <w:pStyle w:val="TableBodyText"/>
            </w:pPr>
            <w:r>
              <w:t>employeeId</w:t>
            </w:r>
          </w:p>
        </w:tc>
        <w:tc>
          <w:tcPr>
            <w:tcBorders>
              <w:left w:val="nil"/>
              <w:right w:val="nil"/>
            </w:tcBorders>
          </w:tcPr>
          <w:p>
            <w:pPr>
              <w:pStyle w:val="TableBodyText"/>
            </w:pPr>
            <w:r>
              <w:t>Integer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Manger</w:t>
            </w:r>
          </w:p>
        </w:tc>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spacing w:before="240"/>
      </w:pPr>
      <w:r>
        <w:t>Define the CSV values.</w:t>
      </w:r>
    </w:p>
    <w:p>
      <w:pPr>
        <w:pStyle w:val="CodeBlock"/>
        <w:ind w:left="0"/>
      </w:pPr>
      <w:r>
        <w:t>username,employeeId,manager
leonardo,95621,Farah
vindhya,15496,Farah
martina,52648,Nikolai</w:t>
      </w:r>
    </w:p>
    <w:p>
      <w:pPr>
        <w:pStyle w:val="BodyText"/>
        <w:numPr>
          <w:numId w:val="98"/>
        </w:numPr>
      </w:pPr>
      <w:r>
        <w:t>Verify that the data grid displays the expected data in the request form.</w:t>
      </w:r>
    </w:p>
    <w:p>
      <w:pPr>
        <w:pStyle w:val="BodyText"/>
        <w:ind w:left="480"/>
      </w:pPr>
      <w:r>
        <w:drawing>
          <wp:anchor simplePos="0" relativeHeight="251659264" behindDoc="0" locked="0" layoutInCell="0" allowOverlap="0">
            <wp:simplePos x="0" y="0"/>
            <wp:positionH relativeFrom="column">
              <wp:align>center</wp:align>
            </wp:positionH>
            <wp:positionV relativeFrom="paragraph">
              <wp:align>bottom</wp:align>
            </wp:positionV>
            <wp:extent cx="5410669" cy="1867062"/>
            <wp:wrapTopAndBottom/>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16"/>
                    <a:stretch>
                      <a:fillRect/>
                    </a:stretch>
                  </pic:blipFill>
                  <pic:spPr>
                    <a:xfrm>
                      <a:off x="0" y="0"/>
                      <a:ext cx="5410669" cy="1867062"/>
                    </a:xfrm>
                    <a:prstGeom prst="rect">
                      <a:avLst/>
                    </a:prstGeom>
                  </pic:spPr>
                </pic:pic>
              </a:graphicData>
            </a:graphic>
          </wp:anchor>
        </w:drawing>
      </w:r>
    </w:p>
    <w:p>
      <w:pPr>
        <w:pStyle w:val="SectionHeading5"/>
      </w:pPr>
      <w:r>
        <w:t xml:space="preserve">Example: </w:t>
      </w:r>
      <w:r>
        <w:t>External Source Example</w:t>
      </w:r>
    </w:p>
    <w:p>
      <w:pPr>
        <w:pStyle w:val="BodyText"/>
      </w:pPr>
      <w:r>
        <w:t xml:space="preserve">This example uses the previous example but the values are based on a </w:t>
      </w:r>
      <w:r>
        <w:t>VCF Operations orchestrator</w:t>
      </w:r>
      <w:r>
        <w:t xml:space="preserve"> action. Although this is a simple action example, you can use a more complex action where you retrieve this information from another database or system.</w:t>
      </w:r>
    </w:p>
    <w:p>
      <w:pPr>
        <w:pStyle w:val="BodyText"/>
        <w:numPr>
          <w:numId w:val="99"/>
        </w:numPr>
      </w:pPr>
      <w:r>
        <w:t xml:space="preserve">In </w:t>
      </w:r>
      <w:r>
        <w:t>VCF Operations orchestrator</w:t>
      </w:r>
      <w:r>
        <w:t xml:space="preserve">, configure an action, </w:t>
      </w:r>
      <w:r>
        <w:rPr>
          <w:rStyle w:val="InlineCode"/>
        </w:rPr>
        <w:t>getUserDetails</w:t>
      </w:r>
      <w:r>
        <w:t>, with an array similar to the following example.</w:t>
      </w:r>
    </w:p>
    <w:p>
      <w:pPr>
        <w:pStyle w:val="BodyText"/>
        <w:numPr>
          <w:ilvl w:val="1"/>
          <w:numId w:val="99"/>
        </w:numPr>
      </w:pPr>
      <w:r>
        <w:t xml:space="preserve">On the General tab, enter the name </w:t>
      </w:r>
      <w:r>
        <w:t>getUserDetails</w:t>
      </w:r>
      <w:r>
        <w:t xml:space="preserve"> and provide a Module name.</w:t>
      </w:r>
    </w:p>
    <w:p>
      <w:pPr>
        <w:pStyle w:val="BodyText"/>
        <w:numPr>
          <w:ilvl w:val="1"/>
          <w:numId w:val="99"/>
        </w:numPr>
      </w:pPr>
      <w:r>
        <w:t>On the Script tab, use the following script example.</w:t>
      </w:r>
    </w:p>
    <w:p>
      <w:pPr>
        <w:pStyle w:val="CodeBlock"/>
        <w:ind w:left="960"/>
      </w:pPr>
      <w:r>
        <w:t xml:space="preserve">return [{"username":"Fritz", "employeeId":6096,"manager":"Tom"}] </w:t>
      </w:r>
    </w:p>
    <w:p>
      <w:pPr>
        <w:pStyle w:val="BodyText"/>
        <w:numPr>
          <w:ilvl w:val="1"/>
          <w:numId w:val="99"/>
        </w:numPr>
      </w:pPr>
      <w:r>
        <w:t xml:space="preserve">In the Return type area, clear the initial selection and click </w:t>
      </w:r>
      <w:r>
        <w:rPr>
          <w:rStyle w:val="InlineUI"/>
        </w:rPr>
        <w:t>New Composite Type</w:t>
      </w:r>
      <w:r>
        <w:t>.</w:t>
      </w:r>
    </w:p>
    <w:p>
      <w:pPr>
        <w:pStyle w:val="BodyText"/>
        <w:numPr>
          <w:ilvl w:val="1"/>
          <w:numId w:val="99"/>
        </w:numPr>
      </w:pPr>
      <w:r>
        <w:t xml:space="preserve">Define a new composite type named </w:t>
      </w:r>
      <w:r>
        <w:t>UserDetails</w:t>
      </w:r>
      <w:r>
        <w:t xml:space="preserve"> and add the following fields, then click </w:t>
      </w:r>
      <w:r>
        <w:rPr>
          <w:rStyle w:val="InlineUI"/>
        </w:rPr>
        <w:t>Create</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99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employeeId</w:t>
            </w:r>
          </w:p>
        </w:tc>
        <w:tc>
          <w:tcPr>
            <w:tcBorders>
              <w:left w:val="nil"/>
              <w:right w:val="nil"/>
            </w:tcBorders>
          </w:tcPr>
          <w:p>
            <w:pPr>
              <w:pStyle w:val="TableBodyText"/>
            </w:pPr>
            <w:r>
              <w:t>number</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numPr>
          <w:ilvl w:val="1"/>
          <w:numId w:val="99"/>
        </w:numPr>
        <w:spacing w:before="240"/>
      </w:pPr>
      <w:r>
        <w:t xml:space="preserve">In the Return type area, click </w:t>
      </w:r>
      <w:r>
        <w:rPr>
          <w:rStyle w:val="InlineUI"/>
        </w:rPr>
        <w:t>Array</w:t>
      </w:r>
      <w:r>
        <w:t>.</w:t>
      </w:r>
    </w:p>
    <w:p>
      <w:pPr>
        <w:pStyle w:val="BodyText"/>
        <w:numPr>
          <w:ilvl w:val="1"/>
          <w:numId w:val="99"/>
        </w:numPr>
      </w:pPr>
      <w:r>
        <w:t>Version and save the action.</w:t>
      </w:r>
    </w:p>
    <w:p>
      <w:pPr>
        <w:pStyle w:val="BodyText"/>
        <w:numPr>
          <w:numId w:val="99"/>
        </w:numPr>
      </w:pPr>
      <w:r>
        <w:t xml:space="preserve">In </w:t>
      </w:r>
      <w:r>
        <w:t>VCF Operations orchestrator</w:t>
      </w:r>
      <w:r>
        <w:t>, add the data grid and use the Values tab to configure the data grid columns with the following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1351"/>
        <w:gridCol w:w="94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w:t>
            </w:r>
          </w:p>
        </w:tc>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Type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Employee ID</w:t>
            </w:r>
          </w:p>
        </w:tc>
        <w:tc>
          <w:tcPr>
            <w:tcBorders>
              <w:left w:val="nil"/>
              <w:right w:val="nil"/>
            </w:tcBorders>
          </w:tcPr>
          <w:p>
            <w:pPr>
              <w:pStyle w:val="TableBodyText"/>
            </w:pPr>
            <w:r>
              <w:t>employeeId</w:t>
            </w:r>
          </w:p>
        </w:tc>
        <w:tc>
          <w:tcPr>
            <w:tcBorders>
              <w:left w:val="nil"/>
              <w:right w:val="nil"/>
            </w:tcBorders>
          </w:tcPr>
          <w:p>
            <w:pPr>
              <w:pStyle w:val="TableBodyText"/>
            </w:pPr>
            <w:r>
              <w:t>Integer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Manager</w:t>
            </w:r>
          </w:p>
        </w:tc>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numPr>
          <w:numId w:val="99"/>
        </w:numPr>
        <w:spacing w:before="240"/>
      </w:pPr>
      <w:r>
        <w:t xml:space="preserve">In the Default value, Value source list, select </w:t>
      </w:r>
      <w:r>
        <w:rPr>
          <w:rStyle w:val="InlineUI"/>
        </w:rPr>
        <w:t>External source</w:t>
      </w:r>
      <w:r>
        <w:t>.</w:t>
      </w:r>
    </w:p>
    <w:p>
      <w:pPr>
        <w:pStyle w:val="BodyText"/>
        <w:numPr>
          <w:numId w:val="99"/>
        </w:numPr>
      </w:pPr>
      <w:r>
        <w:t xml:space="preserve">In Select action, enter </w:t>
      </w:r>
      <w:r>
        <w:t>getUserDetails</w:t>
      </w:r>
      <w:r>
        <w:t xml:space="preserve"> and select the action you created in </w:t>
      </w:r>
      <w:r>
        <w:t>VCF Operations orchestrator</w:t>
      </w:r>
      <w:r>
        <w:t>.</w:t>
      </w:r>
    </w:p>
    <w:p>
      <w:pPr>
        <w:pStyle w:val="BodyText"/>
        <w:numPr>
          <w:numId w:val="99"/>
        </w:numPr>
      </w:pPr>
      <w:r>
        <w:t>Save the form.</w:t>
      </w:r>
    </w:p>
    <w:p>
      <w:pPr>
        <w:pStyle w:val="BodyText"/>
        <w:numPr>
          <w:numId w:val="99"/>
        </w:numPr>
      </w:pPr>
      <w:r>
        <w:t>In the catalog, verify the table in the request form.</w:t>
      </w:r>
    </w:p>
    <w:p>
      <w:pPr>
        <w:pStyle w:val="SectionHeading5"/>
      </w:pPr>
      <w:r>
        <w:t xml:space="preserve">Example: </w:t>
      </w:r>
      <w:r>
        <w:t>Inspecting complex values in data grids</w:t>
      </w:r>
    </w:p>
    <w:p>
      <w:pPr>
        <w:pStyle w:val="BodyText"/>
      </w:pPr>
      <w:r>
        <w:t>You can examine data grid rows in a separate modal, where complex values are displayed as expandable tree nodes.</w:t>
      </w:r>
    </w:p>
    <w:p>
      <w:pPr>
        <w:pStyle w:val="BodyText"/>
      </w:pPr>
      <w:r>
        <w:t>The values in the first column of the data grid are links. Click the link to view detailed information about the value in the row you want to examine.</w:t>
      </w:r>
    </w:p>
    <w:p>
      <w:pPr>
        <w:pStyle w:val="BodyText"/>
      </w:pPr>
      <w:r>
        <w:t>The following table provides information about how different value types are displayed in the table.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5"/>
        <w:gridCol w:w="82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type</w:t>
            </w:r>
          </w:p>
        </w:tc>
        <w:tc>
          <w:tcPr>
            <w:tcBorders>
              <w:left w:val="nil"/>
              <w:right w:val="nil"/>
            </w:tcBorders>
            <w:shd w:val="clear" w:color="auto" w:fill="E1E1E1"/>
            <w:tcMar>
              <w:top w:w="60" w:type="dxa"/>
              <w:bottom w:w="60" w:type="dxa"/>
            </w:tcMar>
          </w:tcPr>
          <w:p>
            <w:pPr>
              <w:pStyle w:val="TableHeaderText"/>
            </w:pPr>
            <w:r>
              <w:t>Displayed as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Boolean</w:t>
            </w:r>
          </w:p>
        </w:tc>
        <w:tc>
          <w:tcPr>
            <w:tcBorders>
              <w:left w:val="nil"/>
              <w:right w:val="nil"/>
            </w:tcBorders>
          </w:tcPr>
          <w:p>
            <w:pPr>
              <w:pStyle w:val="TableBodyText"/>
            </w:pPr>
            <w:r>
              <w:rPr>
                <w:rStyle w:val="InlineCode"/>
              </w:rPr>
              <w:t>true/false</w:t>
            </w:r>
            <w:r>
              <w:t xml:space="preserve">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Non-complex value</w:t>
            </w:r>
          </w:p>
        </w:tc>
        <w:tc>
          <w:tcPr>
            <w:tcBorders>
              <w:left w:val="nil"/>
              <w:right w:val="nil"/>
            </w:tcBorders>
          </w:tcPr>
          <w:p>
            <w:pPr>
              <w:pStyle w:val="TableBodyText"/>
            </w:pPr>
            <w:r>
              <w:rPr>
                <w:rStyle w:val="InlineCode"/>
              </w:rPr>
              <w:t>label:value</w:t>
            </w:r>
            <w:r>
              <w:t xml:space="preserve"> pair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Complex value</w:t>
            </w:r>
          </w:p>
        </w:tc>
        <w:tc>
          <w:tcPr>
            <w:tcBorders>
              <w:left w:val="nil"/>
              <w:right w:val="nil"/>
            </w:tcBorders>
          </w:tcPr>
          <w:p>
            <w:pPr>
              <w:pStyle w:val="TableBodyText"/>
              <w:numPr>
                <w:numId w:val="100"/>
              </w:numPr>
            </w:pPr>
            <w:r>
              <w:t xml:space="preserve">If the value is an array of objects, </w:t>
            </w:r>
            <w:r>
              <w:rPr>
                <w:rStyle w:val="InlineCode"/>
              </w:rPr>
              <w:t>{objects.count} objects</w:t>
            </w:r>
            <w:r>
              <w:t xml:space="preserve"> is displayed. If the array has only 1 element, </w:t>
            </w:r>
            <w:r>
              <w:rPr>
                <w:rStyle w:val="InlineCode"/>
              </w:rPr>
              <w:t>object</w:t>
            </w:r>
            <w:r>
              <w:t xml:space="preserve"> is displayed in the cell.</w:t>
            </w:r>
          </w:p>
          <w:p>
            <w:pPr>
              <w:pStyle w:val="TableBodyText"/>
              <w:numPr>
                <w:numId w:val="100"/>
              </w:numPr>
            </w:pPr>
            <w:r>
              <w:t xml:space="preserve">If the object has 2 or fewer properties, none of which is complex, the </w:t>
            </w:r>
            <w:r>
              <w:rPr>
                <w:rStyle w:val="InlineCode"/>
              </w:rPr>
              <w:t>label:value</w:t>
            </w:r>
            <w:r>
              <w:t xml:space="preserve"> pairs are separated by a comma and displayed in the cell as </w:t>
            </w:r>
            <w:r>
              <w:rPr>
                <w:rStyle w:val="InlineCode"/>
              </w:rPr>
              <w:t>Object, object</w:t>
            </w:r>
            <w:r>
              <w:t>.</w:t>
            </w:r>
          </w:p>
          <w:p>
            <w:pPr>
              <w:pStyle w:val="TableBodyText"/>
              <w:numPr>
                <w:numId w:val="100"/>
              </w:numPr>
            </w:pPr>
            <w:r>
              <w:t xml:space="preserve">If the object has more than 2 properties, or has a complex property, </w:t>
            </w:r>
            <w:r>
              <w:rPr>
                <w:rStyle w:val="InlineCode"/>
              </w:rPr>
              <w:t>object</w:t>
            </w:r>
            <w:r>
              <w:t xml:space="preserve"> is displayed in the cell.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of complex values</w:t>
            </w:r>
          </w:p>
        </w:tc>
        <w:tc>
          <w:tcPr>
            <w:tcBorders>
              <w:left w:val="nil"/>
              <w:right w:val="nil"/>
            </w:tcBorders>
          </w:tcPr>
          <w:p>
            <w:pPr>
              <w:pStyle w:val="TableBodyText"/>
            </w:pPr>
            <w:r>
              <w:rPr>
                <w:rStyle w:val="InlineCode"/>
              </w:rPr>
              <w:t>{length of array} objects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Empty value</w:t>
            </w:r>
          </w:p>
        </w:tc>
        <w:tc>
          <w:tcPr>
            <w:tcBorders>
              <w:left w:val="nil"/>
              <w:right w:val="nil"/>
            </w:tcBorders>
          </w:tcPr>
          <w:p>
            <w:pPr>
              <w:pStyle w:val="TableBodyText"/>
            </w:pPr>
            <w:r>
              <w:t>hyphen (-)</w:t>
            </w:r>
            <w:r>
              <w:t>If the data grid contains only one column, the hide/show control in the footer is not displayed.</w:t>
            </w:r>
          </w:p>
        </w:tc>
      </w:tr>
    </w:tbl>
    <w:p>
      <w:pPr>
        <w:pStyle w:val="Heading4"/>
        <w:spacing w:before="120"/>
      </w:pPr>
      <w:bookmarkStart w:id="152" w:name="Bd41969a7d3884a59aa1506bda5edd16d"/>
      <w:bookmarkStart w:id="153" w:name="_Toc256000704"/>
      <w:r>
        <w:t>Using VCF Operations orchestrator Actions in the Custom Form Designer in VCF Automation</w:t>
      </w:r>
      <w:bookmarkEnd w:id="153"/>
      <w:bookmarkEnd w:id="152"/>
    </w:p>
    <w:p>
      <w:pPr>
        <w:pStyle w:val="BodyText"/>
      </w:pPr>
      <w:r>
        <w:t xml:space="preserve">When you customize a </w:t>
      </w:r>
      <w:r>
        <w:t>VCF Automation</w:t>
      </w:r>
      <w:r>
        <w:t xml:space="preserve"> request form, you can base the behavior of some fields on the results of a </w:t>
      </w:r>
      <w:r>
        <w:t>VCF Operations orchestrator</w:t>
      </w:r>
      <w:r>
        <w:t xml:space="preserve"> action.</w:t>
      </w:r>
    </w:p>
    <w:p>
      <w:pPr>
        <w:pStyle w:val="BodyText"/>
      </w:pPr>
      <w:r>
        <w:t xml:space="preserve">There are several ways that you can use </w:t>
      </w:r>
      <w:r>
        <w:t>VCF Operations orchestrator</w:t>
      </w:r>
      <w:r>
        <w:t xml:space="preserve"> actions. You might have an action that pulls the data from a third source, or you can use a script that defines the size and cost.</w:t>
      </w:r>
    </w:p>
    <w:p>
      <w:pPr>
        <w:pStyle w:val="BodyText"/>
      </w:pPr>
      <w:r>
        <w:t>The first example is based on manually added fields so that you understand the underlying process. The second example uses the same premise, but instead relies on a template field.</w:t>
      </w:r>
    </w:p>
    <w:p>
      <w:pPr>
        <w:pStyle w:val="BodyText"/>
      </w:pPr>
      <w:r>
        <w:t xml:space="preserve">The third example is based on a custom option that is added to the catalog request form, where the user selects a folder based on the results from a custom </w:t>
      </w:r>
      <w:r>
        <w:t>VCF Operations orchestrator</w:t>
      </w:r>
      <w:r>
        <w:t xml:space="preserve"> action.</w:t>
      </w:r>
    </w:p>
    <w:p>
      <w:pPr>
        <w:pStyle w:val="BodyText"/>
      </w:pPr>
      <w:r>
        <w:t xml:space="preserve">The fourth example uses </w:t>
      </w:r>
      <w:r>
        <w:t>VCF Operations orchestrator</w:t>
      </w:r>
      <w:r>
        <w:t xml:space="preserve"> workflow attributes to customize a field in the request form.</w:t>
      </w:r>
    </w:p>
    <w:p>
      <w:pPr>
        <w:pStyle w:val="SectionHeading5"/>
      </w:pPr>
      <w:r>
        <w:t xml:space="preserve">Example: </w:t>
      </w:r>
      <w:r>
        <w:t>Size and cost as manually added fields example</w:t>
      </w:r>
    </w:p>
    <w:p>
      <w:pPr>
        <w:pStyle w:val="BodyText"/>
      </w:pPr>
      <w:r>
        <w:t xml:space="preserve">In this use case, you want the catalog user to select a virtual machine size, and then display the cost of that machine per day. To do this example, you have a </w:t>
      </w:r>
      <w:r>
        <w:t>VCF Operations orchestrator</w:t>
      </w:r>
      <w:r>
        <w:t xml:space="preserve"> script that correlates the size and cost. You then add a size field and a cost field to the template custom form. The size field determines the value that appears in the cost field.</w:t>
      </w:r>
    </w:p>
    <w:p>
      <w:pPr>
        <w:pStyle w:val="BodyText"/>
        <w:numPr>
          <w:numId w:val="101"/>
        </w:numPr>
      </w:pPr>
      <w:r>
        <w:t xml:space="preserve">On the Orchestrate tab, configure an action named </w:t>
      </w:r>
      <w:r>
        <w:rPr>
          <w:rStyle w:val="InlineCode"/>
        </w:rPr>
        <w:t>getWindows10Cost</w:t>
      </w:r>
      <w:r>
        <w:t>.</w:t>
      </w:r>
    </w:p>
    <w:p>
      <w:pPr>
        <w:pStyle w:val="BodyText"/>
        <w:numPr>
          <w:numId w:val="101"/>
        </w:numPr>
      </w:pPr>
      <w:r>
        <w:t>Add a script.</w:t>
      </w:r>
    </w:p>
    <w:p>
      <w:pPr>
        <w:pStyle w:val="BodyText"/>
        <w:ind w:left="480"/>
      </w:pPr>
      <w:r>
        <w:t>You can use the following example script.</w:t>
      </w:r>
    </w:p>
    <w:p>
      <w:pPr>
        <w:pStyle w:val="CodeBlock"/>
        <w:ind w:left="480"/>
      </w:pPr>
      <w:r>
        <w:t>
var cost = "Unknown";
switch(deploymentSize) {
</w:t>
        <w:tab/>
        <w:t>case 'small' : cost = "$15";break;
</w:t>
        <w:tab/>
        <w:t>case 'medium' : cost = "$25";break;
</w:t>
        <w:tab/>
        <w:t>case 'large' : cost = "$45";break ;
</w:t>
        <w:tab/>
        <w:t>
</w:t>
        <w:tab/>
        <w:t>default : break ;
}
return cost;</w:t>
      </w:r>
    </w:p>
    <w:p>
      <w:pPr>
        <w:pStyle w:val="BodyText"/>
        <w:numPr>
          <w:numId w:val="101"/>
        </w:numPr>
      </w:pPr>
      <w:r>
        <w:t xml:space="preserve">Add </w:t>
      </w:r>
      <w:r>
        <w:rPr>
          <w:rStyle w:val="InlineCode"/>
        </w:rPr>
        <w:t>deploymentSize</w:t>
      </w:r>
      <w:r>
        <w:t xml:space="preserve"> as an input string.</w:t>
      </w:r>
    </w:p>
    <w:p>
      <w:pPr>
        <w:pStyle w:val="BodyText"/>
        <w:numPr>
          <w:numId w:val="101"/>
        </w:numPr>
      </w:pPr>
      <w:r>
        <w:t>Add and configure a Size field to a template custom form.</w:t>
      </w:r>
    </w:p>
    <w:p>
      <w:pPr>
        <w:pStyle w:val="BodyText"/>
        <w:ind w:left="480"/>
      </w:pPr>
      <w:r>
        <w:t>Configure the size field as a drop-down element with Small, Medium, and Large values.</w:t>
      </w:r>
    </w:p>
    <w:p>
      <w:pPr>
        <w:pStyle w:val="BodyText"/>
        <w:ind w:left="480"/>
      </w:pPr>
      <w:r>
        <w:t xml:space="preserve">On the </w:t>
      </w:r>
      <w:r>
        <w:rPr>
          <w:rStyle w:val="InlineUI"/>
        </w:rPr>
        <w:t>Values</w:t>
      </w:r>
      <w:r>
        <w:t xml:space="preserve"> tab, configure the following property values.</w:t>
      </w:r>
    </w:p>
    <w:p>
      <w:pPr>
        <w:pStyle w:val="BodyText"/>
        <w:numPr>
          <w:ilvl w:val="1"/>
          <w:numId w:val="101"/>
        </w:numPr>
      </w:pPr>
      <w:r>
        <w:t xml:space="preserve">Default value = </w:t>
      </w:r>
      <w:r>
        <w:t>Large</w:t>
      </w:r>
    </w:p>
    <w:p>
      <w:pPr>
        <w:pStyle w:val="BodyText"/>
        <w:numPr>
          <w:ilvl w:val="1"/>
          <w:numId w:val="101"/>
        </w:numPr>
      </w:pPr>
      <w:r>
        <w:t>Value options</w:t>
      </w:r>
    </w:p>
    <w:p>
      <w:pPr>
        <w:pStyle w:val="BodyText"/>
        <w:numPr>
          <w:ilvl w:val="2"/>
          <w:numId w:val="101"/>
        </w:numPr>
      </w:pPr>
      <w:r>
        <w:t xml:space="preserve">Value source = </w:t>
      </w:r>
      <w:r>
        <w:t>Constant</w:t>
      </w:r>
    </w:p>
    <w:p>
      <w:pPr>
        <w:pStyle w:val="BodyText"/>
        <w:numPr>
          <w:ilvl w:val="2"/>
          <w:numId w:val="101"/>
        </w:numPr>
      </w:pPr>
      <w:r>
        <w:t xml:space="preserve">Value definition = </w:t>
      </w:r>
      <w:r>
        <w:t>small|Small,medium|Medium,large|Large</w:t>
      </w:r>
    </w:p>
    <w:p>
      <w:pPr>
        <w:pStyle w:val="BodyText"/>
        <w:numPr>
          <w:numId w:val="101"/>
        </w:numPr>
      </w:pPr>
      <w:r>
        <w:t xml:space="preserve">Add the cost field as a text field to display the cost as defined in the </w:t>
      </w:r>
      <w:r>
        <w:t>VCF Operations orchestrator</w:t>
      </w:r>
      <w:r>
        <w:t xml:space="preserve"> action based on the value selected in the size field.</w:t>
      </w:r>
    </w:p>
    <w:p>
      <w:pPr>
        <w:pStyle w:val="BodyText"/>
        <w:ind w:left="480"/>
      </w:pPr>
      <w:r>
        <w:t xml:space="preserve">On the </w:t>
      </w:r>
      <w:r>
        <w:rPr>
          <w:rStyle w:val="InlineUI"/>
        </w:rPr>
        <w:t>Values</w:t>
      </w:r>
      <w:r>
        <w:t xml:space="preserve"> tab, configure the following property values.</w:t>
      </w:r>
    </w:p>
    <w:p>
      <w:pPr>
        <w:pStyle w:val="BodyText"/>
        <w:numPr>
          <w:ilvl w:val="1"/>
          <w:numId w:val="101"/>
        </w:numPr>
      </w:pPr>
      <w:r>
        <w:t>Default value = External source</w:t>
      </w:r>
    </w:p>
    <w:p>
      <w:pPr>
        <w:pStyle w:val="BodyText"/>
        <w:numPr>
          <w:ilvl w:val="1"/>
          <w:numId w:val="101"/>
        </w:numPr>
      </w:pPr>
      <w:r>
        <w:t xml:space="preserve">Select action = &lt;your </w:t>
      </w:r>
      <w:r>
        <w:t>VCF Operations orchestrator</w:t>
      </w:r>
      <w:r>
        <w:t xml:space="preserve"> actions folder&gt;/getWindows10Cost</w:t>
      </w:r>
    </w:p>
    <w:p>
      <w:pPr>
        <w:pStyle w:val="BodyText"/>
        <w:numPr>
          <w:ilvl w:val="1"/>
          <w:numId w:val="101"/>
        </w:numPr>
      </w:pPr>
      <w:r>
        <w:t>Action inputs</w:t>
      </w:r>
    </w:p>
    <w:p>
      <w:pPr>
        <w:pStyle w:val="BodyText"/>
        <w:numPr>
          <w:ilvl w:val="2"/>
          <w:numId w:val="101"/>
        </w:numPr>
      </w:pPr>
      <w:r>
        <w:t>deploymentSize. This value was configured in the action as the input.</w:t>
      </w:r>
    </w:p>
    <w:p>
      <w:pPr>
        <w:pStyle w:val="BodyText"/>
        <w:numPr>
          <w:ilvl w:val="2"/>
          <w:numId w:val="101"/>
        </w:numPr>
      </w:pPr>
      <w:r>
        <w:t>Field</w:t>
      </w:r>
    </w:p>
    <w:p>
      <w:pPr>
        <w:pStyle w:val="BodyText"/>
        <w:numPr>
          <w:ilvl w:val="2"/>
          <w:numId w:val="101"/>
        </w:numPr>
      </w:pPr>
      <w:r>
        <w:t>Size. This is the field that you previously created.</w:t>
      </w:r>
    </w:p>
    <w:p>
      <w:pPr>
        <w:pStyle w:val="BodyText"/>
        <w:numPr>
          <w:numId w:val="101"/>
        </w:numPr>
      </w:pPr>
      <w:r>
        <w:t>Enable the custom form and save it.</w:t>
      </w:r>
    </w:p>
    <w:p>
      <w:pPr>
        <w:pStyle w:val="BodyText"/>
        <w:numPr>
          <w:numId w:val="101"/>
        </w:numPr>
      </w:pPr>
      <w:r>
        <w:t>To verify that it is working, request the item in the catalog. You should see the Cost field populated based on the selected Size value.</w:t>
      </w:r>
    </w:p>
    <w:p>
      <w:pPr>
        <w:pStyle w:val="BodyText"/>
        <w:ind w:left="480"/>
      </w:pPr>
      <w:r>
        <w:drawing>
          <wp:anchor simplePos="0" relativeHeight="251660288" behindDoc="0" locked="0" layoutInCell="0" allowOverlap="0">
            <wp:simplePos x="0" y="0"/>
            <wp:positionH relativeFrom="column">
              <wp:align>center</wp:align>
            </wp:positionH>
            <wp:positionV relativeFrom="paragraph">
              <wp:align>bottom</wp:align>
            </wp:positionV>
            <wp:extent cx="4828571" cy="1057143"/>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7"/>
                    <a:stretch>
                      <a:fillRect/>
                    </a:stretch>
                  </pic:blipFill>
                  <pic:spPr>
                    <a:xfrm>
                      <a:off x="0" y="0"/>
                      <a:ext cx="4828571" cy="1057143"/>
                    </a:xfrm>
                    <a:prstGeom prst="rect">
                      <a:avLst/>
                    </a:prstGeom>
                  </pic:spPr>
                </pic:pic>
              </a:graphicData>
            </a:graphic>
          </wp:anchor>
        </w:drawing>
      </w:r>
    </w:p>
    <w:p>
      <w:pPr>
        <w:pStyle w:val="SectionHeading5"/>
      </w:pPr>
      <w:r>
        <w:t>Cost based on schema element example</w:t>
      </w:r>
    </w:p>
    <w:p>
      <w:pPr>
        <w:pStyle w:val="BodyText"/>
      </w:pPr>
      <w:r>
        <w:t xml:space="preserve">In this use case, you want the catalog user to see the cost of that machine per day based on the flavor property in the template. To do this example, you use the </w:t>
      </w:r>
      <w:r>
        <w:t>VCF Operations orchestrator</w:t>
      </w:r>
      <w:r>
        <w:t xml:space="preserve"> script from the previous example. But in this use case the cost is based on the flavor size that your user selected in the custom form when they request the </w:t>
      </w:r>
      <w:r>
        <w:t>VCF Automation</w:t>
      </w:r>
      <w:r>
        <w:t xml:space="preserve"> catalog item.</w:t>
      </w:r>
    </w:p>
    <w:p>
      <w:pPr>
        <w:pStyle w:val="BodyText"/>
      </w:pPr>
      <w:r>
        <w:t>The simple example template includes a size input field where the user selects the flavor property.</w:t>
      </w:r>
    </w:p>
    <w:p>
      <w:pPr>
        <w:pStyle w:val="BodyText"/>
      </w:pPr>
      <w:r>
        <w:t xml:space="preserve">The custom form uses the field, named </w:t>
      </w:r>
      <w:r>
        <w:rPr>
          <w:rStyle w:val="InlineCode"/>
        </w:rPr>
        <w:t>Select machine size</w:t>
      </w:r>
      <w:r>
        <w:t xml:space="preserve"> in this example.</w:t>
      </w:r>
    </w:p>
    <w:p>
      <w:pPr>
        <w:pStyle w:val="BodyText"/>
      </w:pPr>
      <w:r>
        <w:t>The cost deploymentSize input is based on the Select machine size field.</w:t>
      </w:r>
    </w:p>
    <w:p>
      <w:pPr>
        <w:pStyle w:val="SectionHeading5"/>
      </w:pPr>
      <w:r>
        <w:t>Hostname based on workflow attributes example</w:t>
      </w:r>
    </w:p>
    <w:p>
      <w:pPr>
        <w:pStyle w:val="BodyText"/>
      </w:pPr>
      <w:r>
        <w:t xml:space="preserve">In this use case, you want to customize the URL field in the request form using </w:t>
      </w:r>
      <w:r>
        <w:t>VCF Operations orchestrator</w:t>
      </w:r>
      <w:r>
        <w:t xml:space="preserve"> workflow attributes. To do this example, you need a </w:t>
      </w:r>
      <w:r>
        <w:t>VCF Operations orchestrator</w:t>
      </w:r>
      <w:r>
        <w:t xml:space="preserve"> workflow with an attribute or variable that has either a constant value or is bound to a configuration element. The attribute or variable must have an initial value set because the binding is done before you run the workflow.</w:t>
      </w:r>
    </w:p>
    <w:p>
      <w:pPr>
        <w:pStyle w:val="BodyText"/>
        <w:numPr>
          <w:numId w:val="102"/>
        </w:numPr>
      </w:pPr>
      <w:r>
        <w:t xml:space="preserve">On the </w:t>
      </w:r>
      <w:r>
        <w:rPr>
          <w:rStyle w:val="InlineUI"/>
        </w:rPr>
        <w:t>Orchestrate</w:t>
      </w:r>
      <w:r>
        <w:t xml:space="preserve"> tab, create or duplicate an existing workflow. For example, duplicate the </w:t>
      </w:r>
      <w:r>
        <w:rPr>
          <w:rStyle w:val="InlineUI"/>
        </w:rPr>
        <w:t>Add a REST Host</w:t>
      </w:r>
      <w:r>
        <w:t xml:space="preserve"> workflow.</w:t>
      </w:r>
    </w:p>
    <w:p>
      <w:pPr>
        <w:pStyle w:val="BodyText"/>
        <w:numPr>
          <w:ilvl w:val="1"/>
          <w:numId w:val="102"/>
        </w:numPr>
      </w:pPr>
      <w:r>
        <w:t xml:space="preserve">On the </w:t>
      </w:r>
      <w:r>
        <w:rPr>
          <w:rStyle w:val="InlineUI"/>
        </w:rPr>
        <w:t>Variables</w:t>
      </w:r>
      <w:r>
        <w:t xml:space="preserve"> tab, add a variable and bind it to a configuration element.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6"/>
        <w:gridCol w:w="744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rPr>
                <w:rStyle w:val="InlineVar"/>
              </w:rPr>
              <w:t>hostname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rPr>
                <w:rStyle w:val="InlineVar"/>
              </w:rP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Configuration</w:t>
            </w:r>
          </w:p>
        </w:tc>
        <w:tc>
          <w:tcPr>
            <w:tcBorders>
              <w:left w:val="nil"/>
              <w:right w:val="nil"/>
            </w:tcBorders>
          </w:tcPr>
          <w:p>
            <w:pPr>
              <w:pStyle w:val="TableBodyText"/>
            </w:pPr>
            <w:r>
              <w:t xml:space="preserve">Enable the </w:t>
            </w:r>
            <w:r>
              <w:rPr>
                <w:rStyle w:val="InlineUI"/>
              </w:rPr>
              <w:t>Bind to configuration</w:t>
            </w:r>
            <w:r>
              <w:t xml:space="preserve"> option.</w:t>
            </w:r>
          </w:p>
          <w:p>
            <w:pPr>
              <w:pStyle w:val="TableBodyText"/>
            </w:pPr>
            <w:r>
              <w:t xml:space="preserve">In the </w:t>
            </w:r>
            <w:r>
              <w:rPr>
                <w:rStyle w:val="InlineUI"/>
              </w:rPr>
              <w:t>Configuration</w:t>
            </w:r>
            <w:r>
              <w:t xml:space="preserve"> text box, select the configuration that you want to bind the variable to. For example, select the custom </w:t>
            </w:r>
            <w:r>
              <w:rPr>
                <w:rStyle w:val="InlineUI"/>
              </w:rPr>
              <w:t>vRO Configuration: hostname</w:t>
            </w:r>
            <w:r>
              <w:t xml:space="preserve"> element.</w:t>
            </w:r>
          </w:p>
        </w:tc>
      </w:tr>
    </w:tbl>
    <w:p>
      <w:pPr>
        <w:pStyle w:val="BodyText"/>
        <w:numPr>
          <w:ilvl w:val="1"/>
          <w:numId w:val="102"/>
        </w:numPr>
        <w:spacing w:before="240"/>
      </w:pPr>
      <w:r>
        <w:t>Save the workflow.</w:t>
      </w:r>
    </w:p>
    <w:p>
      <w:pPr>
        <w:pStyle w:val="BodyText"/>
        <w:numPr>
          <w:numId w:val="102"/>
        </w:numPr>
      </w:pPr>
      <w:r>
        <w:t>Publish the workflow.</w:t>
      </w:r>
    </w:p>
    <w:p>
      <w:pPr>
        <w:pStyle w:val="BodyText"/>
        <w:numPr>
          <w:numId w:val="102"/>
        </w:numPr>
      </w:pPr>
      <w:r>
        <w:t xml:space="preserve">On the </w:t>
      </w:r>
      <w:r>
        <w:rPr>
          <w:rStyle w:val="InlineUI"/>
        </w:rPr>
        <w:t>Orchestrate</w:t>
      </w:r>
      <w:r>
        <w:t xml:space="preserve"> tab, customize the request form.</w:t>
      </w:r>
    </w:p>
    <w:p>
      <w:pPr>
        <w:pStyle w:val="BodyText"/>
        <w:numPr>
          <w:ilvl w:val="1"/>
          <w:numId w:val="102"/>
        </w:numPr>
      </w:pPr>
      <w:r>
        <w:t xml:space="preserve">Click the </w:t>
      </w:r>
      <w:r>
        <w:rPr>
          <w:rStyle w:val="InlineUI"/>
        </w:rPr>
        <w:t>URL</w:t>
      </w:r>
      <w:r>
        <w:t xml:space="preserve"> element in the form designer.</w:t>
      </w:r>
    </w:p>
    <w:p>
      <w:pPr>
        <w:pStyle w:val="BodyText"/>
        <w:numPr>
          <w:ilvl w:val="1"/>
          <w:numId w:val="102"/>
        </w:numPr>
      </w:pPr>
      <w:r>
        <w:t xml:space="preserve">On the </w:t>
      </w:r>
      <w:r>
        <w:rPr>
          <w:rStyle w:val="InlineUI"/>
        </w:rPr>
        <w:t>Values</w:t>
      </w:r>
      <w:r>
        <w:t xml:space="preserve"> tab, set the value source to </w:t>
      </w:r>
      <w:r>
        <w:rPr>
          <w:rStyle w:val="InlineUI"/>
        </w:rPr>
        <w:t>Bind field</w:t>
      </w:r>
      <w:r>
        <w:t>.</w:t>
      </w:r>
    </w:p>
    <w:p>
      <w:pPr>
        <w:pStyle w:val="BodyText"/>
        <w:numPr>
          <w:ilvl w:val="1"/>
          <w:numId w:val="102"/>
        </w:numPr>
      </w:pPr>
      <w:r>
        <w:t xml:space="preserve">Click </w:t>
      </w:r>
      <w:r>
        <w:rPr>
          <w:rStyle w:val="InlineUI"/>
        </w:rPr>
        <w:t>Value Field</w:t>
      </w:r>
      <w:r>
        <w:rPr>
          <w:rStyle w:val="InlineUI"/>
        </w:rPr>
        <w:t xml:space="preserve"> &gt; </w:t>
      </w:r>
      <w:r>
        <w:rPr>
          <w:rStyle w:val="InlineUI"/>
        </w:rPr>
        <w:t>Variables</w:t>
      </w:r>
      <w:r>
        <w:t>.</w:t>
      </w:r>
    </w:p>
    <w:p>
      <w:pPr>
        <w:pStyle w:val="BodyText"/>
        <w:numPr>
          <w:ilvl w:val="1"/>
          <w:numId w:val="102"/>
        </w:numPr>
      </w:pPr>
      <w:r>
        <w:t xml:space="preserve">Select the </w:t>
      </w:r>
      <w:r>
        <w:rPr>
          <w:rStyle w:val="InlineVar"/>
        </w:rPr>
        <w:t>hostname</w:t>
      </w:r>
      <w:r>
        <w:t xml:space="preserve"> variable or any of the available workflow attributes.</w:t>
      </w:r>
    </w:p>
    <w:p>
      <w:pPr>
        <w:pStyle w:val="BodyText"/>
        <w:numPr>
          <w:numId w:val="102"/>
        </w:numPr>
      </w:pPr>
      <w:r>
        <w:t>Save the form.</w:t>
      </w:r>
    </w:p>
    <w:p>
      <w:pPr>
        <w:pStyle w:val="BodyText"/>
      </w:pPr>
      <w:r>
        <w:t xml:space="preserve">When a user requests the workflow from the catalog, the URL field is populated based on the </w:t>
      </w:r>
      <w:r>
        <w:rPr>
          <w:rStyle w:val="InlineVar"/>
        </w:rPr>
        <w:t>hostname</w:t>
      </w:r>
      <w:r>
        <w:t xml:space="preserve"> variable.</w:t>
      </w:r>
    </w:p>
    <w:p>
      <w:pPr>
        <w:pStyle w:val="BodyText"/>
      </w:pPr>
      <w:r>
        <w:t xml:space="preserve">If you switch to a different project, the workflow attributes are recalculated because the workflow might come from a different </w:t>
      </w:r>
      <w:r>
        <w:t>VCF Operations orchestrator</w:t>
      </w:r>
      <w:r>
        <w:t xml:space="preserve"> integration.</w:t>
      </w:r>
    </w:p>
    <w:p>
      <w:pPr>
        <w:pStyle w:val="Heading4"/>
      </w:pPr>
      <w:bookmarkStart w:id="154" w:name="_Toc256000705"/>
      <w:r>
        <w:t>Using Value Picker and Multi Value Picker Elements in the Custom Form Designer in VCF Automation</w:t>
      </w:r>
      <w:bookmarkEnd w:id="154"/>
    </w:p>
    <w:p>
      <w:pPr>
        <w:pStyle w:val="BodyText"/>
      </w:pPr>
      <w:r>
        <w:t xml:space="preserve">When you create a custom form in </w:t>
      </w:r>
      <w:r>
        <w:t>VCF Automation</w:t>
      </w:r>
      <w:r>
        <w:t>, you can add elements where the user selects a value from a search results list. Using the value picker, the user selects a single value. Using the multi value picker, the user selects one or more values.</w:t>
      </w:r>
    </w:p>
    <w:p>
      <w:pPr>
        <w:pStyle w:val="BodyText"/>
      </w:pPr>
      <w:r>
        <w:t xml:space="preserve">The value picker and multi value picker work with the Reference Type that is defined on the custom form Appearance tab. The Reference type is a </w:t>
      </w:r>
      <w:r>
        <w:t>VCF Operations orchestrator</w:t>
      </w:r>
      <w:r>
        <w:t xml:space="preserve"> resource. For example, VC:Datastore. By defining the reference type, when the user enters a search string, the results are limited to the resources that have the matching parameter.</w:t>
      </w:r>
    </w:p>
    <w:p>
      <w:pPr>
        <w:pStyle w:val="BodyText"/>
      </w:pPr>
      <w:r>
        <w:t>For the pickers, you can then further limit the possible values by configuring an external source.</w:t>
      </w:r>
    </w:p>
    <w:p>
      <w:pPr>
        <w:pStyle w:val="SectionHeading5"/>
      </w:pPr>
      <w:r>
        <w:t>Working with the Value Picker</w:t>
      </w:r>
    </w:p>
    <w:p>
      <w:pPr>
        <w:pStyle w:val="BodyText"/>
      </w:pPr>
      <w:r>
        <w:t>The value picker appears in the form as a search option when users request the item in the catalog. The user enters a string and the picker provides list based on how you configured it.</w:t>
      </w:r>
    </w:p>
    <w:p>
      <w:pPr>
        <w:pStyle w:val="BodyText"/>
      </w:pPr>
      <w:r>
        <w:drawing>
          <wp:inline>
            <wp:extent cx="4567050" cy="2554278"/>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8"/>
                    <a:stretch>
                      <a:fillRect/>
                    </a:stretch>
                  </pic:blipFill>
                  <pic:spPr>
                    <a:xfrm>
                      <a:off x="0" y="0"/>
                      <a:ext cx="4567050" cy="2554278"/>
                    </a:xfrm>
                    <a:prstGeom prst="rect">
                      <a:avLst/>
                    </a:prstGeom>
                  </pic:spPr>
                </pic:pic>
              </a:graphicData>
            </a:graphic>
          </wp:inline>
        </w:drawing>
      </w:r>
    </w:p>
    <w:p>
      <w:pPr>
        <w:pStyle w:val="BodyText"/>
      </w:pPr>
      <w:r>
        <w:t>You can use the picker based on the following use cases. The most valuable use of the value picker is pairing it with an external source value.</w:t>
      </w:r>
    </w:p>
    <w:p>
      <w:pPr>
        <w:pStyle w:val="BodyText"/>
        <w:numPr>
          <w:numId w:val="103"/>
        </w:numPr>
      </w:pPr>
      <w:r>
        <w:t>Value picker with a constant value source.</w:t>
      </w:r>
    </w:p>
    <w:p>
      <w:pPr>
        <w:pStyle w:val="BodyText"/>
        <w:ind w:left="480"/>
      </w:pPr>
      <w:r>
        <w:t>Use this method when you want the requesting user to select from a predefined static list of values. Similar to the combobox, drop down, multiselect, and radio group elements, this method provides search results in a list based on the defined constant values and labels.</w:t>
      </w:r>
    </w:p>
    <w:p>
      <w:pPr>
        <w:pStyle w:val="BodyText"/>
        <w:numPr>
          <w:numId w:val="103"/>
        </w:numPr>
      </w:pPr>
      <w:r>
        <w:t>Value picker with no defined value source.</w:t>
      </w:r>
    </w:p>
    <w:p>
      <w:pPr>
        <w:pStyle w:val="BodyText"/>
        <w:ind w:left="480"/>
      </w:pPr>
      <w:r>
        <w:t xml:space="preserve">Use this method when you want the requesting user to search the </w:t>
      </w:r>
      <w:r>
        <w:t>VCF Operations orchestrator</w:t>
      </w:r>
      <w:r>
        <w:t xml:space="preserve"> inventory for a specific object with the configured reference type. For example, the reference type is VC:Datastore and you want the users to select the datastore from the retrieved list.</w:t>
      </w:r>
    </w:p>
    <w:p>
      <w:pPr>
        <w:pStyle w:val="BodyText"/>
        <w:numPr>
          <w:numId w:val="103"/>
        </w:numPr>
      </w:pPr>
      <w:r>
        <w:t>Value picker with an external value source.</w:t>
      </w:r>
    </w:p>
    <w:p>
      <w:pPr>
        <w:pStyle w:val="BodyText"/>
        <w:ind w:left="480"/>
      </w:pPr>
      <w:r>
        <w:t xml:space="preserve">Use this method when you want the requesting user to select from results that are based on a </w:t>
      </w:r>
      <w:r>
        <w:t>VCF Operations orchestrator</w:t>
      </w:r>
      <w:r>
        <w:t xml:space="preserve"> action. The following script provides an example of a basic </w:t>
      </w:r>
      <w:r>
        <w:t>VCF Operations orchestrator</w:t>
      </w:r>
      <w:r>
        <w:t xml:space="preserve"> action that works with the value picker. In this example, the reference type is Properties.</w:t>
      </w:r>
    </w:p>
    <w:p>
      <w:pPr>
        <w:pStyle w:val="CodeBlock"/>
        <w:ind w:left="480"/>
      </w:pPr>
      <w:r>
        <w:t>
var res = [];
res.push(new Properties({label: 'label1',value: 'value1'}));
res.push(new Properties({label: 'label2',value: 'value2'}));
res.push(new Properties({label: 'label3',value: 'value3'}));
return res;</w:t>
      </w:r>
    </w:p>
    <w:p>
      <w:pPr>
        <w:pStyle w:val="BodyText"/>
        <w:pBdr>
          <w:top w:val="single" w:sz="8" w:space="2" w:color="D3D3D3"/>
          <w:bottom w:val="single" w:sz="8" w:space="2" w:color="D3D3D3"/>
        </w:pBdr>
      </w:pPr>
      <w:r>
        <w:rPr>
          <w:rStyle w:val="NoteLeadernote"/>
        </w:rPr>
        <w:t>Note</w:t>
        <w:tab/>
      </w:r>
      <w:r>
        <w:t>The Properties input cannot be input to a workflow, only an intermediate value in the custom form.</w:t>
      </w:r>
    </w:p>
    <w:p>
      <w:pPr>
        <w:pStyle w:val="SectionHeading5"/>
      </w:pPr>
      <w:r>
        <w:t>Working with the Multi Value Picker</w:t>
      </w:r>
    </w:p>
    <w:p>
      <w:pPr>
        <w:pStyle w:val="BodyText"/>
      </w:pPr>
      <w:r>
        <w:t>The multi value picker appears in the request form as a search option, similar to the value picker, but where you can select one or more values. The user enters a string and the picker provides list based on how you configured the element properties.</w:t>
      </w:r>
    </w:p>
    <w:p>
      <w:pPr>
        <w:pStyle w:val="BodyText"/>
      </w:pPr>
      <w:r>
        <w:drawing>
          <wp:inline>
            <wp:extent cx="4581729" cy="2290864"/>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9"/>
                    <a:stretch>
                      <a:fillRect/>
                    </a:stretch>
                  </pic:blipFill>
                  <pic:spPr>
                    <a:xfrm>
                      <a:off x="0" y="0"/>
                      <a:ext cx="4581729" cy="2290864"/>
                    </a:xfrm>
                    <a:prstGeom prst="rect">
                      <a:avLst/>
                    </a:prstGeom>
                  </pic:spPr>
                </pic:pic>
              </a:graphicData>
            </a:graphic>
          </wp:inline>
        </w:drawing>
      </w:r>
    </w:p>
    <w:p>
      <w:pPr>
        <w:pStyle w:val="BodyText"/>
      </w:pPr>
      <w:r>
        <w:t xml:space="preserve">You can use the multi value picker based on the following use cases in addition to the use cases described for the value picker. The most valuable use of the multi value picker is using it with a reference data type and a </w:t>
      </w:r>
      <w:r>
        <w:t>VCF Operations orchestrator</w:t>
      </w:r>
      <w:r>
        <w:t xml:space="preserve"> reference.</w:t>
      </w:r>
    </w:p>
    <w:p>
      <w:pPr>
        <w:pStyle w:val="BodyText"/>
        <w:numPr>
          <w:numId w:val="104"/>
        </w:numPr>
      </w:pPr>
      <w:r>
        <w:t>Multi value picker with a complex data type and constant value source.</w:t>
      </w:r>
    </w:p>
    <w:p>
      <w:pPr>
        <w:pStyle w:val="BodyText"/>
        <w:ind w:left="480"/>
      </w:pPr>
      <w:r>
        <w:t>Use this method when you want the requesting user to select one or more values from a predefined static list of values. Similar to the data grid, this method provides search results in a list based on the defined constant values and labels.</w:t>
      </w:r>
    </w:p>
    <w:p>
      <w:pPr>
        <w:pStyle w:val="BodyText"/>
        <w:numPr>
          <w:numId w:val="104"/>
        </w:numPr>
      </w:pPr>
      <w:r>
        <w:t>Multi value picker with a complex data type and an external source.</w:t>
      </w:r>
    </w:p>
    <w:p>
      <w:pPr>
        <w:pStyle w:val="BodyText"/>
        <w:ind w:left="480"/>
      </w:pPr>
      <w:r>
        <w:t xml:space="preserve">Use this method when you want the requesting user to select one or more values from a list of values based on a </w:t>
      </w:r>
      <w:r>
        <w:t>VCF Operations orchestrator</w:t>
      </w:r>
      <w:r>
        <w:t xml:space="preserve"> action. You can use this method with </w:t>
      </w:r>
      <w:r>
        <w:t>VCF Operations orchestrator</w:t>
      </w:r>
      <w:r>
        <w:t xml:space="preserve"> composite types.</w:t>
      </w:r>
    </w:p>
    <w:p>
      <w:pPr>
        <w:pStyle w:val="BodyText"/>
        <w:numPr>
          <w:numId w:val="104"/>
        </w:numPr>
      </w:pPr>
      <w:r>
        <w:t xml:space="preserve">Multi value picker with a reference data type and a </w:t>
      </w:r>
      <w:r>
        <w:t>VCF Operations orchestrator</w:t>
      </w:r>
      <w:r>
        <w:t xml:space="preserve"> reference type. Use this method when you want the requesting user to search the </w:t>
      </w:r>
      <w:r>
        <w:t>VCF Operations orchestrator</w:t>
      </w:r>
      <w:r>
        <w:t xml:space="preserve"> inventory for a specific object with the configured reference type. For example, the reference type is VC:Datastore and you want the users to select the datastore from the retrieved list. Or, if you have a workflow filter configured, you can use Workflow as the reference. To be retrieved, the filter must return values in a property array, not a string array. An example of a workflow filter is provided in the next section. In this example, the filtering is done in the UI when the user enters a search term.</w:t>
      </w:r>
    </w:p>
    <w:p>
      <w:pPr>
        <w:pStyle w:val="BodyText"/>
        <w:numPr>
          <w:numId w:val="104"/>
        </w:numPr>
      </w:pPr>
      <w:r>
        <w:t xml:space="preserve">Multi value picker with a reference data type, a </w:t>
      </w:r>
      <w:r>
        <w:t>VCF Operations orchestrator</w:t>
      </w:r>
      <w:r>
        <w:t xml:space="preserve"> reference type, and an external source.</w:t>
      </w:r>
    </w:p>
    <w:p>
      <w:pPr>
        <w:pStyle w:val="BodyText"/>
        <w:ind w:left="480"/>
      </w:pPr>
      <w:r>
        <w:t xml:space="preserve">Use this method when you want the requesting user to select from results that are first filtered by the reference type and then based on a </w:t>
      </w:r>
      <w:r>
        <w:t>VCF Operations orchestrator</w:t>
      </w:r>
      <w:r>
        <w:t xml:space="preserve"> action. This combination more thoroughly refines the results and populates the request form more quickly. Just as the reference type results must return a property array, so must the external source action. In this example, the filtering is done in </w:t>
      </w:r>
      <w:r>
        <w:t>VCF Operations orchestrator</w:t>
      </w:r>
      <w:r>
        <w:t xml:space="preserve"> and might improve the speed with which the list is populated, particularly if you have a large number of </w:t>
      </w:r>
      <w:r>
        <w:t>VCF Operations orchestrator</w:t>
      </w:r>
      <w:r>
        <w:t xml:space="preserve"> actions.</w:t>
      </w:r>
    </w:p>
    <w:p>
      <w:pPr>
        <w:pStyle w:val="SectionHeading5"/>
      </w:pPr>
      <w:r>
        <w:t>Limit the VCF Operations orchestrator results for a multi value picker element results list</w:t>
      </w:r>
    </w:p>
    <w:p>
      <w:pPr>
        <w:pStyle w:val="BodyText"/>
      </w:pPr>
      <w:r>
        <w:t>To limit the number of actions returned when the user searches for an action, you can create a filter action and bind the filter results to the search term.</w:t>
      </w:r>
    </w:p>
    <w:p>
      <w:pPr>
        <w:pStyle w:val="BodyText"/>
        <w:numPr>
          <w:numId w:val="105"/>
        </w:numPr>
      </w:pPr>
      <w:r>
        <w:t xml:space="preserve">In </w:t>
      </w:r>
      <w:r>
        <w:t>VCF Operations orchestrator</w:t>
      </w:r>
      <w:r>
        <w:t xml:space="preserve">, create an action named </w:t>
      </w:r>
      <w:r>
        <w:t>filterWorkflow</w:t>
      </w:r>
      <w:r>
        <w:t>.</w:t>
      </w:r>
    </w:p>
    <w:p>
      <w:pPr>
        <w:pStyle w:val="BodyText"/>
        <w:numPr>
          <w:ilvl w:val="1"/>
          <w:numId w:val="105"/>
        </w:numPr>
      </w:pPr>
      <w:r>
        <w:t xml:space="preserve">Select </w:t>
      </w:r>
      <w:r>
        <w:rPr>
          <w:rStyle w:val="InlineUI"/>
        </w:rPr>
        <w:t>Library</w:t>
      </w:r>
      <w:r>
        <w:rPr>
          <w:rStyle w:val="InlineUI"/>
        </w:rPr>
        <w:t xml:space="preserve"> &gt; </w:t>
      </w:r>
      <w:r>
        <w:rPr>
          <w:rStyle w:val="InlineUI"/>
        </w:rPr>
        <w:t>Actions</w:t>
      </w:r>
      <w:r>
        <w:t xml:space="preserve">, and click </w:t>
      </w:r>
      <w:r>
        <w:rPr>
          <w:rStyle w:val="InlineUI"/>
        </w:rPr>
        <w:t>New Action</w:t>
      </w:r>
      <w:r>
        <w:t>.</w:t>
      </w:r>
    </w:p>
    <w:p>
      <w:pPr>
        <w:pStyle w:val="BodyText"/>
        <w:numPr>
          <w:ilvl w:val="1"/>
          <w:numId w:val="105"/>
        </w:numPr>
      </w:pPr>
      <w:r>
        <w:t xml:space="preserve">On the </w:t>
      </w:r>
      <w:r>
        <w:rPr>
          <w:rStyle w:val="InlineUI"/>
        </w:rPr>
        <w:t>General</w:t>
      </w:r>
      <w:r>
        <w:t xml:space="preserve"> tab, enter or select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3"/>
        <w:gridCol w:w="288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filterWorkflow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Module</w:t>
            </w:r>
          </w:p>
        </w:tc>
        <w:tc>
          <w:tcPr>
            <w:tcBorders>
              <w:left w:val="nil"/>
              <w:right w:val="nil"/>
            </w:tcBorders>
          </w:tcPr>
          <w:p>
            <w:pPr>
              <w:pStyle w:val="TableBodyText"/>
            </w:pPr>
            <w:r>
              <w:t>com.vmware.library.workflow</w:t>
            </w:r>
          </w:p>
        </w:tc>
      </w:tr>
    </w:tbl>
    <w:p>
      <w:pPr>
        <w:pStyle w:val="BodyText"/>
        <w:numPr>
          <w:ilvl w:val="1"/>
          <w:numId w:val="105"/>
        </w:numPr>
        <w:spacing w:before="240"/>
      </w:pPr>
      <w:r>
        <w:t xml:space="preserve">Click the </w:t>
      </w:r>
      <w:r>
        <w:rPr>
          <w:rStyle w:val="InlineUI"/>
        </w:rPr>
        <w:t>Script</w:t>
      </w:r>
      <w:r>
        <w:t xml:space="preserve"> tab and add the following script.</w:t>
      </w:r>
    </w:p>
    <w:p>
      <w:pPr>
        <w:pStyle w:val="CodeBlock"/>
        <w:ind w:left="960"/>
      </w:pPr>
      <w:r>
        <w:t>var workflows = System.getModule("com.vmware.library.workflow").getAllWorkflows();
var result = [];
for(var i = 0; i &lt; workflows.length; i++) {
    if(workflows[i].name.indexOf(searchTerm) !== -1) {
        result.push(workflows[i]);
    }
}
return result;
</w:t>
      </w:r>
    </w:p>
    <w:p>
      <w:pPr>
        <w:pStyle w:val="BodyText"/>
        <w:numPr>
          <w:ilvl w:val="1"/>
          <w:numId w:val="105"/>
        </w:numPr>
      </w:pPr>
      <w:r>
        <w:t>Configure the following properties.</w:t>
      </w:r>
    </w:p>
    <w:p>
      <w:pPr>
        <w:pStyle w:val="BodyText"/>
        <w:ind w:left="960"/>
      </w:pPr>
      <w:r>
        <w:drawing>
          <wp:anchor simplePos="0" relativeHeight="251661312" behindDoc="0" locked="0" layoutInCell="0" allowOverlap="0">
            <wp:simplePos x="0" y="0"/>
            <wp:positionH relativeFrom="column">
              <wp:align>center</wp:align>
            </wp:positionH>
            <wp:positionV relativeFrom="paragraph">
              <wp:align>bottom</wp:align>
            </wp:positionV>
            <wp:extent cx="5494461" cy="2622356"/>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20"/>
                    <a:stretch>
                      <a:fillRect/>
                    </a:stretch>
                  </pic:blipFill>
                  <pic:spPr>
                    <a:xfrm>
                      <a:off x="0" y="0"/>
                      <a:ext cx="5494461" cy="2622356"/>
                    </a:xfrm>
                    <a:prstGeom prst="rect">
                      <a:avLst/>
                    </a:prstGeom>
                  </pic:spPr>
                </pic:pic>
              </a:graphicData>
            </a:graphic>
          </wp:anchor>
        </w:drawing>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3"/>
        <w:gridCol w:w="728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Properties 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Return type</w:t>
            </w:r>
          </w:p>
        </w:tc>
        <w:tc>
          <w:tcPr>
            <w:tcBorders>
              <w:left w:val="nil"/>
              <w:right w:val="nil"/>
            </w:tcBorders>
          </w:tcPr>
          <w:p>
            <w:pPr>
              <w:pStyle w:val="TableBodyText"/>
            </w:pPr>
            <w:r>
              <w:t xml:space="preserve">Enter </w:t>
            </w:r>
            <w:r>
              <w:t>Workflow</w:t>
            </w:r>
            <w:r>
              <w:t xml:space="preserve"> and select </w:t>
            </w:r>
            <w:r>
              <w:rPr>
                <w:rStyle w:val="InlineUI"/>
              </w:rPr>
              <w:t>Array</w:t>
            </w:r>
            <w:r>
              <w:t>.</w:t>
            </w:r>
          </w:p>
          <w:p>
            <w:pPr>
              <w:pStyle w:val="TableBodyText"/>
            </w:pPr>
            <w:r>
              <w:t>You can use any of the returned types when you run the search. The selected reference type in the custom form must match it.</w:t>
            </w:r>
          </w:p>
          <w:p>
            <w:pPr>
              <w:pStyle w:val="TableBodyText"/>
            </w:pPr>
            <w:r>
              <w:t>If this procedure, continue to use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Inputs</w:t>
            </w:r>
          </w:p>
        </w:tc>
        <w:tc>
          <w:tcPr>
            <w:tcBorders>
              <w:left w:val="nil"/>
              <w:right w:val="nil"/>
            </w:tcBorders>
          </w:tcPr>
          <w:p>
            <w:pPr>
              <w:pStyle w:val="TableBodyText"/>
            </w:pPr>
            <w:r>
              <w:t xml:space="preserve">Enter </w:t>
            </w:r>
            <w:r>
              <w:t>searchTerm</w:t>
            </w:r>
            <w:r>
              <w:t>.</w:t>
            </w:r>
          </w:p>
          <w:p>
            <w:pPr>
              <w:pStyle w:val="TableBodyText"/>
            </w:pPr>
            <w:r>
              <w:t xml:space="preserve">Notice that the input </w:t>
            </w:r>
            <w:r>
              <w:t>searchTerm</w:t>
            </w:r>
            <w:r>
              <w:t xml:space="preserve"> matches the string used in the script.</w:t>
            </w:r>
          </w:p>
        </w:tc>
      </w:tr>
    </w:tbl>
    <w:p>
      <w:pPr>
        <w:pStyle w:val="BodyText"/>
        <w:numPr>
          <w:ilvl w:val="1"/>
          <w:numId w:val="105"/>
        </w:numPr>
        <w:spacing w:before="240"/>
      </w:pPr>
      <w:r>
        <w:t xml:space="preserve">Click </w:t>
      </w:r>
      <w:r>
        <w:rPr>
          <w:rStyle w:val="InlineUI"/>
        </w:rPr>
        <w:t>Create</w:t>
      </w:r>
      <w:r>
        <w:t>.</w:t>
      </w:r>
    </w:p>
    <w:p>
      <w:pPr>
        <w:pStyle w:val="BodyText"/>
        <w:numPr>
          <w:numId w:val="105"/>
        </w:numPr>
      </w:pPr>
      <w:r>
        <w:t>Configure the multi value picker properties in the custom form designer.</w:t>
      </w:r>
    </w:p>
    <w:p>
      <w:pPr>
        <w:pStyle w:val="BodyText"/>
        <w:ind w:left="480"/>
      </w:pPr>
      <w:r>
        <w:drawing>
          <wp:anchor simplePos="0" relativeHeight="251662336" behindDoc="0" locked="0" layoutInCell="0" allowOverlap="0">
            <wp:simplePos x="0" y="0"/>
            <wp:positionH relativeFrom="column">
              <wp:align>center</wp:align>
            </wp:positionH>
            <wp:positionV relativeFrom="paragraph">
              <wp:align>bottom</wp:align>
            </wp:positionV>
            <wp:extent cx="4709568" cy="3238780"/>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21"/>
                    <a:stretch>
                      <a:fillRect/>
                    </a:stretch>
                  </pic:blipFill>
                  <pic:spPr>
                    <a:xfrm>
                      <a:off x="0" y="0"/>
                      <a:ext cx="4709568" cy="3238780"/>
                    </a:xfrm>
                    <a:prstGeom prst="rect">
                      <a:avLst/>
                    </a:prstGeom>
                  </pic:spPr>
                </pic:pic>
              </a:graphicData>
            </a:graphic>
          </wp:anchor>
        </w:drawing>
      </w:r>
    </w:p>
    <w:p>
      <w:pPr>
        <w:pStyle w:val="BodyText"/>
        <w:numPr>
          <w:ilvl w:val="1"/>
          <w:numId w:val="105"/>
        </w:numPr>
      </w:pPr>
      <w:r>
        <w:t>Add or select the multi value picker element in the design canvas.</w:t>
      </w:r>
    </w:p>
    <w:p>
      <w:pPr>
        <w:pStyle w:val="BodyText"/>
        <w:numPr>
          <w:ilvl w:val="1"/>
          <w:numId w:val="105"/>
        </w:numPr>
      </w:pPr>
      <w:r>
        <w:t xml:space="preserve">In the Properties pane, click </w:t>
      </w:r>
      <w:r>
        <w:rPr>
          <w:rStyle w:val="InlineUI"/>
        </w:rPr>
        <w:t>Appearance</w:t>
      </w:r>
      <w:r>
        <w:t xml:space="preserve"> and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7"/>
        <w:gridCol w:w="751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Data type</w:t>
            </w:r>
          </w:p>
        </w:tc>
        <w:tc>
          <w:tcPr>
            <w:tcBorders>
              <w:left w:val="nil"/>
              <w:right w:val="nil"/>
            </w:tcBorders>
          </w:tcPr>
          <w:p>
            <w:pPr>
              <w:pStyle w:val="TableBodyText"/>
            </w:pPr>
            <w:r>
              <w:t>Reference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Reference type</w:t>
            </w:r>
          </w:p>
        </w:tc>
        <w:tc>
          <w:tcPr>
            <w:tcBorders>
              <w:left w:val="nil"/>
              <w:right w:val="nil"/>
            </w:tcBorders>
          </w:tcPr>
          <w:p>
            <w:pPr>
              <w:pStyle w:val="TableBodyText"/>
            </w:pPr>
            <w:r>
              <w:t xml:space="preserve">Enter </w:t>
            </w:r>
            <w:r>
              <w:t>Workflow</w:t>
            </w:r>
            <w:r>
              <w:t>.</w:t>
            </w:r>
          </w:p>
          <w:p>
            <w:pPr>
              <w:pStyle w:val="TableBodyText"/>
            </w:pPr>
            <w:r>
              <w:t xml:space="preserve">Remember, this value is the return type selected for the </w:t>
            </w:r>
            <w:r>
              <w:t>filterWorkflow</w:t>
            </w:r>
            <w:r>
              <w:t xml:space="preserve"> action in </w:t>
            </w:r>
            <w:r>
              <w:t>VCF Operations orchestrator</w:t>
            </w:r>
            <w:r>
              <w:t xml:space="preserve"> and it must be an array.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type</w:t>
            </w:r>
          </w:p>
        </w:tc>
        <w:tc>
          <w:tcPr>
            <w:tcBorders>
              <w:left w:val="nil"/>
              <w:right w:val="nil"/>
            </w:tcBorders>
          </w:tcPr>
          <w:p>
            <w:pPr>
              <w:pStyle w:val="TableBodyText"/>
            </w:pPr>
            <w:r>
              <w:t>Multi Value Picker</w:t>
            </w:r>
          </w:p>
        </w:tc>
      </w:tr>
    </w:tbl>
    <w:p>
      <w:pPr>
        <w:pStyle w:val="BodyText"/>
        <w:numPr>
          <w:ilvl w:val="1"/>
          <w:numId w:val="105"/>
        </w:numPr>
        <w:spacing w:before="240"/>
      </w:pPr>
      <w:r>
        <w:t xml:space="preserve">Click the </w:t>
      </w:r>
      <w:r>
        <w:rPr>
          <w:rStyle w:val="InlineUI"/>
        </w:rPr>
        <w:t>Values</w:t>
      </w:r>
      <w:r>
        <w:t xml:space="preserve"> tab and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25"/>
        <w:gridCol w:w="573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Value options &gt; Value source</w:t>
            </w:r>
          </w:p>
        </w:tc>
        <w:tc>
          <w:tcPr>
            <w:tcBorders>
              <w:left w:val="nil"/>
              <w:right w:val="nil"/>
            </w:tcBorders>
          </w:tcPr>
          <w:p>
            <w:pPr>
              <w:pStyle w:val="TableBodyText"/>
            </w:pPr>
            <w:r>
              <w:t>External source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action</w:t>
            </w:r>
          </w:p>
        </w:tc>
        <w:tc>
          <w:tcPr>
            <w:tcBorders>
              <w:left w:val="nil"/>
              <w:right w:val="nil"/>
            </w:tcBorders>
          </w:tcPr>
          <w:p>
            <w:pPr>
              <w:pStyle w:val="TableBodyText"/>
            </w:pPr>
            <w:r>
              <w:t xml:space="preserve">Select the filter action. In this example, select </w:t>
            </w:r>
            <w:r>
              <w:t>filterWorkflows</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 inputs searchTerm</w:t>
            </w:r>
          </w:p>
        </w:tc>
        <w:tc>
          <w:tcPr>
            <w:tcBorders>
              <w:left w:val="nil"/>
              <w:right w:val="nil"/>
            </w:tcBorders>
          </w:tcPr>
          <w:p>
            <w:pPr>
              <w:pStyle w:val="TableBodyText"/>
            </w:pPr>
            <w:r>
              <w:t xml:space="preserve">Select </w:t>
            </w:r>
            <w:r>
              <w:t>Field</w:t>
            </w:r>
            <w:r>
              <w:t xml:space="preserve"> and </w:t>
            </w:r>
            <w:r>
              <w:t>Search term</w:t>
            </w:r>
            <w:r>
              <w:t>.</w:t>
            </w:r>
          </w:p>
        </w:tc>
      </w:tr>
    </w:tbl>
    <w:p>
      <w:pPr>
        <w:pStyle w:val="BodyText"/>
        <w:numPr>
          <w:numId w:val="105"/>
        </w:numPr>
        <w:spacing w:before="240"/>
      </w:pPr>
      <w:r>
        <w:t>Test the filter by requesting the catalog item.</w:t>
      </w:r>
    </w:p>
    <w:p>
      <w:pPr>
        <w:pStyle w:val="BodyText"/>
        <w:ind w:left="480"/>
      </w:pPr>
      <w:r>
        <w:t>You must ensure that the filter returns the expected values in the multi value picker list, and that the catalog item deploys correctly.</w:t>
      </w:r>
    </w:p>
    <w:p>
      <w:pPr>
        <w:pStyle w:val="Heading3"/>
      </w:pPr>
      <w:bookmarkStart w:id="155" w:name="_Toc256000706"/>
      <w:r>
        <w:t>VCF Automation blueprint designs that prepare for day 2 changes</w:t>
      </w:r>
      <w:bookmarkEnd w:id="155"/>
    </w:p>
    <w:p>
      <w:pPr>
        <w:pStyle w:val="BodyText"/>
      </w:pPr>
      <w:r>
        <w:t xml:space="preserve">In addition to the day 2 actions already associated with </w:t>
      </w:r>
      <w:r>
        <w:t>VCF Automation</w:t>
      </w:r>
      <w:r>
        <w:t xml:space="preserve"> resource types, you have design options that let you prepare in advance for custom updates that users might need to make.</w:t>
      </w:r>
    </w:p>
    <w:p>
      <w:pPr>
        <w:pStyle w:val="BodyText"/>
        <w:pBdr>
          <w:top w:val="single" w:sz="8" w:space="2" w:color="D3D3D3"/>
        </w:pBdr>
      </w:pPr>
      <w:r>
        <w:rPr>
          <w:rStyle w:val="NoteLeadercaution"/>
        </w:rPr>
        <w:t>Caution</w:t>
        <w:tab/>
      </w:r>
      <w:r>
        <w:t>To change a deployment, you can edit its blueprint and reapply it, or you can use day 2 actions. However, in most cases you should avoid mixing the two approaches.</w:t>
      </w:r>
    </w:p>
    <w:p>
      <w:pPr>
        <w:pStyle w:val="BodyText"/>
      </w:pPr>
      <w:r>
        <w:t>Lifecycle day 2 changes such as power on/off are usually safe, but others require caution, such as when adding disks.</w:t>
      </w:r>
    </w:p>
    <w:p>
      <w:pPr>
        <w:pStyle w:val="BodyText"/>
        <w:pBdr>
          <w:bottom w:val="single" w:sz="8" w:space="2" w:color="D3D3D3"/>
        </w:pBdr>
      </w:pPr>
      <w:r>
        <w:t>For example, if you add disks with a day 2 action, and then take a mixed approach by reapplying the blueprint, the blueprint could overwrite the day 2 change, which might remove disks and cause data loss.</w:t>
      </w:r>
    </w:p>
    <w:p>
      <w:pPr>
        <w:pStyle w:val="BodyText"/>
      </w:pPr>
      <w:r>
        <w:t xml:space="preserve">Day 2 preparation can involve either direct use of blueprint code, or the </w:t>
      </w:r>
      <w:r>
        <w:t>VCF Automation</w:t>
      </w:r>
      <w:r>
        <w:t xml:space="preserve"> blueprint designer.</w:t>
      </w:r>
    </w:p>
    <w:p>
      <w:pPr>
        <w:pStyle w:val="BodyText"/>
        <w:numPr>
          <w:numId w:val="106"/>
        </w:numPr>
      </w:pPr>
      <w:r>
        <w:t>You can use inputs in blueprint code so that, when you update the deployment or deployed resource, the interface prompts for fresh values.</w:t>
      </w:r>
    </w:p>
    <w:p>
      <w:pPr>
        <w:pStyle w:val="BodyText"/>
        <w:numPr>
          <w:numId w:val="106"/>
        </w:numPr>
      </w:pPr>
      <w:r>
        <w:t xml:space="preserve">You can use </w:t>
      </w:r>
      <w:r>
        <w:t>VCF Automation</w:t>
      </w:r>
      <w:r>
        <w:t xml:space="preserve"> to design a custom action based on a </w:t>
      </w:r>
      <w:r>
        <w:t>VCF Operations orchestrator</w:t>
      </w:r>
      <w:r>
        <w:t xml:space="preserve"> workflow. Running the custom action results in the workflow or action making changes to the deployment or deployed resource.</w:t>
      </w:r>
    </w:p>
    <w:p>
      <w:pPr>
        <w:pStyle w:val="BodyText"/>
      </w:pPr>
      <w:r>
        <w:t>For custom day 2 resource actions you can use the schema for deployment resource types to specify criteria for your resource action. For example, you can use the deployment name property to define which deployments can use the create resource action.</w:t>
      </w:r>
    </w:p>
    <w:p>
      <w:pPr>
        <w:pStyle w:val="BodyText"/>
        <w:pBdr>
          <w:top w:val="single" w:sz="8" w:space="2" w:color="D3D3D3"/>
          <w:bottom w:val="single" w:sz="8" w:space="2" w:color="D3D3D3"/>
        </w:pBdr>
      </w:pPr>
      <w:r>
        <w:rPr>
          <w:rStyle w:val="NoteLeaderimportant"/>
        </w:rPr>
        <w:t>Important</w:t>
        <w:tab/>
      </w:r>
      <w:r>
        <w:t>Bindings don't work for CCI.Supervisor.Resource objects. You can still create a day 2 operation, but the resource should be selected again as in input.</w:t>
      </w:r>
    </w:p>
    <w:p>
      <w:pPr>
        <w:pStyle w:val="Heading3"/>
      </w:pPr>
      <w:bookmarkStart w:id="156" w:name="_Toc256000707"/>
      <w:r>
        <w:t>Publish a Blueprint to the Catalog in VCF Automation</w:t>
      </w:r>
      <w:bookmarkEnd w:id="156"/>
    </w:p>
    <w:p>
      <w:pPr>
        <w:pStyle w:val="BodyText"/>
      </w:pPr>
      <w:r>
        <w:t xml:space="preserve">As an organization administrator, you publish blueprints to the </w:t>
      </w:r>
      <w:r>
        <w:t>VCF Automation</w:t>
      </w:r>
      <w:r>
        <w:t xml:space="preserve"> catalog for project users to request them and provision resources.</w:t>
      </w:r>
    </w:p>
    <w:p>
      <w:pPr>
        <w:pStyle w:val="BodyText"/>
      </w:pPr>
      <w:r>
        <w:rPr>
          <w:rStyle w:val="Strong"/>
        </w:rPr>
        <w:t>Procedure</w:t>
      </w:r>
    </w:p>
    <w:p>
      <w:pPr>
        <w:pStyle w:val="BodyText"/>
        <w:numPr>
          <w:numId w:val="107"/>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Blueprint Design</w:t>
      </w:r>
      <w:r>
        <w:rPr>
          <w:rStyle w:val="InlineUI"/>
        </w:rPr>
        <w:t xml:space="preserve"> &gt; </w:t>
      </w:r>
      <w:r>
        <w:rPr>
          <w:rStyle w:val="InlineUI"/>
        </w:rPr>
        <w:t>Blueprints</w:t>
      </w:r>
      <w:r>
        <w:t>.</w:t>
      </w:r>
    </w:p>
    <w:p>
      <w:pPr>
        <w:pStyle w:val="BodyText"/>
        <w:numPr>
          <w:numId w:val="107"/>
        </w:numPr>
      </w:pPr>
      <w:r>
        <w:t>Open the blueprint you want to publish.</w:t>
      </w:r>
    </w:p>
    <w:p>
      <w:pPr>
        <w:pStyle w:val="BodyText"/>
        <w:numPr>
          <w:numId w:val="107"/>
        </w:numPr>
      </w:pPr>
      <w:r>
        <w:t xml:space="preserve">On the blueprint design canvas, click </w:t>
      </w:r>
      <w:r>
        <w:rPr>
          <w:rStyle w:val="InlineUI"/>
        </w:rPr>
        <w:t>Version</w:t>
      </w:r>
      <w:r>
        <w:t xml:space="preserve"> and then select </w:t>
      </w:r>
      <w:r>
        <w:rPr>
          <w:rStyle w:val="InlineUI"/>
        </w:rPr>
        <w:t>Publish this version to the catalog</w:t>
      </w:r>
      <w:r>
        <w:t>.</w:t>
      </w:r>
    </w:p>
    <w:p>
      <w:pPr>
        <w:pStyle w:val="BodyText"/>
        <w:numPr>
          <w:numId w:val="107"/>
        </w:numPr>
      </w:pPr>
      <w:r>
        <w:t>Change the blueprint name to something that will be meaningful to your applications team.</w:t>
      </w:r>
    </w:p>
    <w:p>
      <w:pPr>
        <w:pStyle w:val="BodyText"/>
        <w:numPr>
          <w:numId w:val="107"/>
        </w:numPr>
      </w:pPr>
      <w:r>
        <w:t>Add a custom icon.</w:t>
      </w:r>
    </w:p>
    <w:p>
      <w:pPr>
        <w:pStyle w:val="BodyText"/>
        <w:numPr>
          <w:numId w:val="107"/>
        </w:numPr>
      </w:pPr>
      <w:r>
        <w:t>Select a project with which you want to share the blueprint.</w:t>
      </w:r>
    </w:p>
    <w:p>
      <w:pPr>
        <w:pStyle w:val="BodyText"/>
        <w:numPr>
          <w:numId w:val="107"/>
        </w:numPr>
      </w:pPr>
      <w:r>
        <w:t>Select which blueprint version you want to publish.</w:t>
      </w:r>
    </w:p>
    <w:p>
      <w:pPr>
        <w:pStyle w:val="BodyText"/>
        <w:numPr>
          <w:numId w:val="107"/>
        </w:numPr>
      </w:pPr>
      <w:r>
        <w:t xml:space="preserve">Click </w:t>
      </w:r>
      <w:r>
        <w:rPr>
          <w:rStyle w:val="InlineUI"/>
        </w:rPr>
        <w:t>Publish</w:t>
      </w:r>
      <w:r>
        <w:t>.</w:t>
      </w:r>
    </w:p>
    <w:p>
      <w:pPr>
        <w:pStyle w:val="Heading3"/>
      </w:pPr>
      <w:bookmarkStart w:id="157" w:name="_Toc256000708"/>
      <w:r>
        <w:t>Sample Blueprints in VCF Automation</w:t>
      </w:r>
      <w:bookmarkEnd w:id="157"/>
    </w:p>
    <w:p>
      <w:pPr>
        <w:pStyle w:val="BodyText"/>
      </w:pPr>
      <w:r>
        <w:t xml:space="preserve">Blueprints in </w:t>
      </w:r>
      <w:r>
        <w:t>VCF Automation</w:t>
      </w:r>
      <w:r>
        <w:t xml:space="preserve"> can be almost limitless in combination and application. Often, an example of successful code is your best starting point for further development.</w:t>
      </w:r>
    </w:p>
    <w:p>
      <w:pPr>
        <w:pStyle w:val="BodyText"/>
      </w:pPr>
      <w:r>
        <w:t>Use the following blueprint examples as a guideline. Make substitutions in the blueprint samples to apply your own settings in terms of resource types, values, and so on.</w:t>
      </w:r>
    </w:p>
    <w:p>
      <w:pPr>
        <w:pStyle w:val="SectionHeading4"/>
      </w:pPr>
      <w:bookmarkStart w:id="158" w:name="_Toc256000709"/>
      <w:r>
        <w:t>Blueprint with a Simple VM</w:t>
      </w:r>
      <w:bookmarkEnd w:id="158"/>
    </w:p>
    <w:p>
      <w:pPr>
        <w:pStyle w:val="CodeBlock"/>
      </w:pPr>
      <w:r>
        <w:t>formatVersion: 2
inputs:
  vm-name:
    type: string
resources:
  CCI_Supervisor_Namespace_1:
    type: CCI.Supervisor.Namespace
    properties:
      name: ns02-k58f3
      existing: true
  CCI_Supervisor_Resource_1:
    type: CCI.Supervisor.Resource
    properties:
      context: ${resource.CCI_Supervisor_Namespace_1.id}
      manifest:
        apiVersion: vmoperator.vmware.com/v1alpha3
        kind: VirtualMachine
        metadata:
          name: ${input.vm-name}
          labels:
            vm-selector: ${input.vm-name}
        spec:
          className: best-effort-xsmall
          imageName: vmi-d3529fcf6a96cba68
          storageClass: wcpglobal-storage-profile
          powerState: PoweredOn</w:t>
      </w:r>
    </w:p>
    <w:p>
      <w:pPr>
        <w:pStyle w:val="SectionHeading4"/>
      </w:pPr>
      <w:bookmarkStart w:id="159" w:name="_Toc256000710"/>
      <w:r>
        <w:t>Blueprint with Multiple VMs</w:t>
      </w:r>
      <w:bookmarkEnd w:id="159"/>
    </w:p>
    <w:p>
      <w:pPr>
        <w:pStyle w:val="CodeBlock"/>
      </w:pPr>
      <w:r>
        <w:t>formatVersion: 2
inputs:
  vm-name:
    type: string
resources:
  CCI_Supervisor_Namespace_1:
    type: CCI.Supervisor.Namespace
    properties:
      name: test-ns-md-03-v67ch
      existing: true
  CCI_Supervisor_Resource_1:
    type: CCI.Supervisor.Resource
    properties:
      count: 2
      context: ${resource.CCI_Supervisor_Namespace_1.id}
      manifest:
        apiVersion: vmoperator.vmware.com/v1alpha3
        kind: VirtualMachine
        metadata:
          name: ${input.vm-name}
          labels:
            vm-selector: ${input.vm-name}
        spec:
          className: best-effort-xsmall
          imageName: vmi-e171c7cf3fdb69c4f
          storageClass: wcpglobal-storage-profile
          powerState: PoweredOn</w:t>
      </w:r>
    </w:p>
    <w:p>
      <w:pPr>
        <w:pStyle w:val="SectionHeading4"/>
      </w:pPr>
      <w:bookmarkStart w:id="160" w:name="_Toc256000711"/>
      <w:r>
        <w:t>Blueprint with a VM inside a Kubernetes Cluster</w:t>
      </w:r>
      <w:bookmarkEnd w:id="160"/>
    </w:p>
    <w:p>
      <w:pPr>
        <w:pStyle w:val="CodeBlock"/>
      </w:pPr>
      <w:r>
        <w:t>formatVersion: 1
inputs: {}
resources:
  CCI_Supervisor_Namespace_1:
    type: CCI.Supervisor.Namespace
    properties:
      name: ns-mr6r6
      existing: true
  Kubernetes_Cluster_1:
    type: CCI.Supervisor.Resource
    properties:
      context: ${resource.CCI_Supervisor_Namespace_1.id}
      manifest:
        apiVersion: cluster.x-k8s.io/v1beta1
        kind: Cluster
        metadata:
          name: k-cluster-9k4i-${env.shortDeploymentId}
          namespace: ns-mr6r6
        spec:
          clusterNetwork:
            pods:
              cidrBlocks:
                - 192.168.156.0/20
            services:
              cidrBlocks:
                - 10.96.0.0/12
            serviceDomain: cluster.local
          topology:
            class: builtin-generic-v3.3.0
            version: v1.32.0---vmware.6-fips-vkr.2
            variables:
              - name: vmClass
                value: best-effort-xsmall
              - name: storageClass
                value: wcpglobal-storage-profile
            controlPlane:
              replicas: 1
              metadata:
                annotations:
                  run.tanzu.vmware.com/resolve-os-image: os-name=photon, content-library=cl-369d95257749dd297
            workers:
              machineDeployments:
                - class: node-pool
                  name: kubernetes-cluster-9k4i-np-cep4
                  replicas: 1
                  metadata:
                    annotations:
                      run.tanzu.vmware.com/resolve-os-image: os-name=photon, content-library=cl-369d95257749dd297
  Virtual_Machine_1:
    type: CCI.Supervisor.Resource
    properties:
      context: ${resource.Kubernetes_Cluster_1.id}
      manifest:
        apiVersion: vmoperator.vmware.com/v1alpha3
        kind: VirtualMachine
        metadata:
          name: virtual-machine-1-${env.shortDeploymentId}
        spec:
          className: best-effort-small
          imageName: vmi-00544472f3ab8ba74
          powerState: PoweredOn
          storageClass: wcpglobal-storage-profile
      wait:
        conditions:
          - type: VirtualMachineCreated
            status: 'True'</w:t>
      </w:r>
    </w:p>
    <w:p>
      <w:pPr>
        <w:pStyle w:val="Heading2"/>
      </w:pPr>
      <w:bookmarkStart w:id="161" w:name="Bd1bee06e1c3246f68d7a77855dfbad5c"/>
      <w:bookmarkStart w:id="162" w:name="_Toc256000712"/>
      <w:r>
        <w:t>Publishing Workflows to the VCF Automation Catalog</w:t>
      </w:r>
      <w:bookmarkEnd w:id="162"/>
      <w:bookmarkEnd w:id="161"/>
    </w:p>
    <w:p>
      <w:pPr>
        <w:pStyle w:val="BodyText"/>
      </w:pPr>
      <w:r>
        <w:t>ADD INTRO</w:t>
      </w:r>
    </w:p>
    <w:p>
      <w:pPr>
        <w:pStyle w:val="Heading3"/>
      </w:pPr>
      <w:bookmarkStart w:id="163" w:name="_Toc256000713"/>
      <w:r>
        <w:t>Publish a VCF Operations orchestrator Workflow to the Catalog in an Organization in VCF Automation</w:t>
      </w:r>
      <w:bookmarkEnd w:id="163"/>
    </w:p>
    <w:p>
      <w:pPr>
        <w:pStyle w:val="BodyText"/>
      </w:pPr>
      <w:r>
        <w:t xml:space="preserve">As an organization administrator in </w:t>
      </w:r>
      <w:r>
        <w:t>VCF Automation</w:t>
      </w:r>
      <w:r>
        <w:t xml:space="preserve">, you can publish a </w:t>
      </w:r>
      <w:r>
        <w:t>VCF Operations orchestrator</w:t>
      </w:r>
      <w:r>
        <w:t xml:space="preserve"> workflow as a catalog item to project users in your organization.</w:t>
      </w:r>
    </w:p>
    <w:p>
      <w:pPr>
        <w:pStyle w:val="BodyText"/>
      </w:pPr>
      <w:r>
        <w:t xml:space="preserve">For more information about </w:t>
      </w:r>
      <w:r>
        <w:t>VCF Operations orchestrator</w:t>
      </w:r>
      <w:r>
        <w:t xml:space="preserve"> workflows, see </w:t>
      </w:r>
      <w:r>
        <w:t>Managing Workflows</w:t>
      </w:r>
      <w:r>
        <w:t>.</w:t>
      </w:r>
    </w:p>
    <w:p>
      <w:pPr>
        <w:pStyle w:val="BodyText"/>
      </w:pPr>
      <w:r>
        <w:rPr>
          <w:rStyle w:val="Strong"/>
        </w:rPr>
        <w:t>Prerequisites</w:t>
      </w:r>
    </w:p>
    <w:p>
      <w:pPr>
        <w:pStyle w:val="BodyText"/>
        <w:numPr>
          <w:numId w:val="108"/>
        </w:numPr>
      </w:pPr>
      <w:r>
        <w:t xml:space="preserve">Verify that your provider administrator has created a </w:t>
      </w:r>
      <w:r>
        <w:t>VCF Operations orchestrator</w:t>
      </w:r>
      <w:r>
        <w:t xml:space="preserve"> integration for your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B9a25f25d763b4303af569c36ce82699e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Integrate VCF Automation with VCF Operations orchestrator</w:t>
      </w:r>
      <w:r>
        <w:fldChar w:fldCharType="end"/>
      </w:r>
      <w:r>
        <w:t>.</w:t>
      </w:r>
    </w:p>
    <w:p>
      <w:pPr>
        <w:pStyle w:val="BodyText"/>
        <w:numPr>
          <w:numId w:val="108"/>
        </w:numPr>
      </w:pPr>
      <w:r>
        <w:t xml:space="preserve">Verify that you have the necessary permissions to access the </w:t>
      </w:r>
      <w:r>
        <w:t>VCF Operations orchestrator</w:t>
      </w:r>
      <w:r>
        <w:t xml:space="preserve"> integration.</w:t>
      </w:r>
    </w:p>
    <w:p>
      <w:pPr>
        <w:pStyle w:val="BodyText"/>
      </w:pPr>
      <w:r>
        <w:t xml:space="preserve">When your provider administrator created a </w:t>
      </w:r>
      <w:r>
        <w:t>VCF Operations orchestrator</w:t>
      </w:r>
      <w:r>
        <w:t xml:space="preserve"> integration for your organization and assigned you the necessary rights to manage </w:t>
      </w:r>
      <w:r>
        <w:t>VCF Operations orchestrator</w:t>
      </w:r>
      <w:r>
        <w:t xml:space="preserve"> content, you see the Orchestrate tab in the </w:t>
      </w:r>
      <w:r>
        <w:t>VCF Automation</w:t>
      </w:r>
      <w:r>
        <w:t xml:space="preserve"> organization portal, you can access the </w:t>
      </w:r>
      <w:r>
        <w:t>VCF Operations orchestrator</w:t>
      </w:r>
      <w:r>
        <w:t xml:space="preserve"> integration on the Integrations page, and you can see the workflows listed on the Content Hub page.</w:t>
      </w:r>
    </w:p>
    <w:p>
      <w:pPr>
        <w:pStyle w:val="BodyText"/>
      </w:pPr>
      <w:r>
        <w:rPr>
          <w:rStyle w:val="Strong"/>
        </w:rPr>
        <w:t>Procedure</w:t>
      </w:r>
    </w:p>
    <w:p>
      <w:pPr>
        <w:pStyle w:val="BodyText"/>
        <w:numPr>
          <w:numId w:val="109"/>
        </w:numPr>
      </w:pPr>
      <w:r>
        <w:t xml:space="preserve">Log in to the </w:t>
      </w:r>
      <w:r>
        <w:t>VCF Automation</w:t>
      </w:r>
      <w:r>
        <w:t xml:space="preserve"> organization portal as an organization administrator.</w:t>
      </w:r>
    </w:p>
    <w:p>
      <w:pPr>
        <w:pStyle w:val="BodyText"/>
        <w:numPr>
          <w:numId w:val="109"/>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Workflows</w:t>
      </w:r>
      <w:r>
        <w:t>.</w:t>
      </w:r>
    </w:p>
    <w:p>
      <w:pPr>
        <w:pStyle w:val="BodyText"/>
        <w:numPr>
          <w:numId w:val="109"/>
        </w:numPr>
      </w:pPr>
      <w:r>
        <w:t xml:space="preserve">Select the workflow you want to publish and click </w:t>
      </w:r>
      <w:r>
        <w:rPr>
          <w:rStyle w:val="InlineUI"/>
        </w:rPr>
        <w:t>Publish to Catalog</w:t>
      </w:r>
      <w:r>
        <w:t>.</w:t>
      </w:r>
    </w:p>
    <w:p>
      <w:pPr>
        <w:pStyle w:val="BodyText"/>
        <w:numPr>
          <w:numId w:val="109"/>
        </w:numPr>
      </w:pPr>
      <w:r>
        <w:t>Change the default workflow name to something that will be meaningful to your applications team.</w:t>
      </w:r>
    </w:p>
    <w:p>
      <w:pPr>
        <w:pStyle w:val="BodyText"/>
        <w:numPr>
          <w:numId w:val="109"/>
        </w:numPr>
      </w:pPr>
      <w:r>
        <w:t>Add a description and an icon for the catalog item.</w:t>
      </w:r>
    </w:p>
    <w:p>
      <w:pPr>
        <w:pStyle w:val="BodyText"/>
        <w:numPr>
          <w:numId w:val="109"/>
        </w:numPr>
      </w:pPr>
      <w:r>
        <w:t>Select a project in the organization.</w:t>
      </w:r>
    </w:p>
    <w:p>
      <w:pPr>
        <w:pStyle w:val="BodyText"/>
        <w:numPr>
          <w:numId w:val="109"/>
        </w:numPr>
      </w:pPr>
      <w:r>
        <w:t>Select if you want to share the catalog item with other projects in the organization.</w:t>
      </w:r>
    </w:p>
    <w:p>
      <w:pPr>
        <w:pStyle w:val="BodyText"/>
        <w:numPr>
          <w:numId w:val="109"/>
        </w:numPr>
      </w:pPr>
      <w:r>
        <w:t xml:space="preserve">Click </w:t>
      </w:r>
      <w:r>
        <w:rPr>
          <w:rStyle w:val="InlineUI"/>
        </w:rPr>
        <w:t>Publish</w:t>
      </w:r>
      <w:r>
        <w:t>.</w:t>
      </w:r>
    </w:p>
    <w:p>
      <w:pPr>
        <w:pStyle w:val="Heading3"/>
      </w:pPr>
      <w:bookmarkStart w:id="164" w:name="_Toc256000714"/>
      <w:r>
        <w:t>Publish a VCF Operations orchestrator Workflow to the Catalog in a Provider Consumption Organization in VCF Automation</w:t>
      </w:r>
      <w:bookmarkEnd w:id="164"/>
    </w:p>
    <w:p>
      <w:pPr>
        <w:pStyle w:val="BodyText"/>
      </w:pPr>
      <w:r>
        <w:t xml:space="preserve">As a provider administrator who has enabled a Provider Consumption organization (PCO) in the </w:t>
      </w:r>
      <w:r>
        <w:t>VCF Automation</w:t>
      </w:r>
      <w:r>
        <w:t xml:space="preserve"> Provider Management Portal, you can publish </w:t>
      </w:r>
      <w:r>
        <w:t>VCF Operations orchestrator</w:t>
      </w:r>
      <w:r>
        <w:t xml:space="preserve"> workflows as catalog items to organizations that you created. Administrators in those organizations can then make the catalog items available to their project users.</w:t>
      </w:r>
    </w:p>
    <w:p>
      <w:pPr>
        <w:pStyle w:val="BodyText"/>
      </w:pPr>
      <w:r>
        <w:t xml:space="preserve">A Provider Consumption organization (PCO) is a type of </w:t>
      </w:r>
      <w:r>
        <w:t>VCF Automation</w:t>
      </w:r>
      <w:r>
        <w:t xml:space="preserve"> organization that the provider administrator uses to share content across multiple All Apps organizations that they manage. See </w:t>
      </w:r>
      <w:r>
        <w:t>Create a Provider Consumption Organization</w:t>
      </w:r>
      <w:r>
        <w:t>.</w:t>
      </w:r>
    </w:p>
    <w:p>
      <w:pPr>
        <w:pStyle w:val="BodyText"/>
      </w:pPr>
      <w:r>
        <w:t>You can also publish workflows for projects in the PCO.</w:t>
      </w:r>
    </w:p>
    <w:p>
      <w:pPr>
        <w:pStyle w:val="BodyText"/>
      </w:pPr>
      <w:r>
        <w:t xml:space="preserve">Because the PCO uses an embedded </w:t>
      </w:r>
      <w:r>
        <w:t>VCF Operations orchestrator</w:t>
      </w:r>
      <w:r>
        <w:t xml:space="preserve"> instance, the workflows are run on that instance.</w:t>
      </w:r>
    </w:p>
    <w:p>
      <w:pPr>
        <w:pStyle w:val="BodyText"/>
      </w:pPr>
      <w:r>
        <w:t xml:space="preserve">For more information about </w:t>
      </w:r>
      <w:r>
        <w:t>VCF Operations orchestrator</w:t>
      </w:r>
      <w:r>
        <w:t xml:space="preserve"> workflows, see </w:t>
      </w:r>
      <w:r>
        <w:t>Managing Workflows</w:t>
      </w:r>
      <w:r>
        <w:t>.</w:t>
      </w:r>
    </w:p>
    <w:p>
      <w:pPr>
        <w:pStyle w:val="BodyText"/>
      </w:pPr>
      <w:r>
        <w:rPr>
          <w:rStyle w:val="Strong"/>
        </w:rPr>
        <w:t>Procedure</w:t>
      </w:r>
    </w:p>
    <w:p>
      <w:pPr>
        <w:pStyle w:val="BodyText"/>
        <w:numPr>
          <w:numId w:val="110"/>
        </w:numPr>
      </w:pPr>
      <w:r>
        <w:t>Log in to the Provider Consumption organization portal as a provider administrator.</w:t>
      </w:r>
    </w:p>
    <w:p>
      <w:pPr>
        <w:pStyle w:val="BodyText"/>
        <w:numPr>
          <w:numId w:val="110"/>
        </w:numPr>
      </w:pPr>
      <w:r>
        <w:t xml:space="preserve">Select </w:t>
      </w:r>
      <w:r>
        <w:rPr>
          <w:rStyle w:val="InlineUI"/>
        </w:rPr>
        <w:t>Build &amp; Deploy</w:t>
      </w:r>
      <w:r>
        <w:rPr>
          <w:rStyle w:val="InlineUI"/>
        </w:rPr>
        <w:t xml:space="preserve"> &gt; </w:t>
      </w:r>
      <w:r>
        <w:rPr>
          <w:rStyle w:val="InlineUI"/>
        </w:rPr>
        <w:t>Content Hub</w:t>
      </w:r>
      <w:r>
        <w:rPr>
          <w:rStyle w:val="InlineUI"/>
        </w:rPr>
        <w:t xml:space="preserve"> &gt; </w:t>
      </w:r>
      <w:r>
        <w:rPr>
          <w:rStyle w:val="InlineUI"/>
        </w:rPr>
        <w:t>Workflows</w:t>
      </w:r>
      <w:r>
        <w:t>.</w:t>
      </w:r>
    </w:p>
    <w:p>
      <w:pPr>
        <w:pStyle w:val="BodyText"/>
        <w:numPr>
          <w:numId w:val="110"/>
        </w:numPr>
      </w:pPr>
      <w:r>
        <w:t xml:space="preserve">Select the workflow you want to publish and click </w:t>
      </w:r>
      <w:r>
        <w:rPr>
          <w:rStyle w:val="InlineUI"/>
        </w:rPr>
        <w:t>Publish to Catalog</w:t>
      </w:r>
      <w:r>
        <w:t>.</w:t>
      </w:r>
    </w:p>
    <w:p>
      <w:pPr>
        <w:pStyle w:val="BodyText"/>
        <w:numPr>
          <w:numId w:val="110"/>
        </w:numPr>
      </w:pPr>
      <w:r>
        <w:t>Change the default workflow name to something that will be meaningful to your applications team.</w:t>
      </w:r>
    </w:p>
    <w:p>
      <w:pPr>
        <w:pStyle w:val="BodyText"/>
        <w:numPr>
          <w:numId w:val="110"/>
        </w:numPr>
      </w:pPr>
      <w:r>
        <w:t>Add an icon.</w:t>
      </w:r>
    </w:p>
    <w:p>
      <w:pPr>
        <w:pStyle w:val="BodyText"/>
        <w:numPr>
          <w:numId w:val="110"/>
        </w:numPr>
      </w:pPr>
      <w:r>
        <w:t>Select a project in the PCO.</w:t>
      </w:r>
    </w:p>
    <w:p>
      <w:pPr>
        <w:pStyle w:val="BodyText"/>
        <w:numPr>
          <w:numId w:val="110"/>
        </w:numPr>
      </w:pPr>
      <w:r>
        <w:t>Select how you want to publish the workflow.</w:t>
      </w:r>
    </w:p>
    <w:p>
      <w:pPr>
        <w:pStyle w:val="BodyText"/>
        <w:ind w:left="480"/>
      </w:pPr>
      <w:r>
        <w:t xml:space="preserve">To publish the workflow to other organizations, select </w:t>
      </w:r>
      <w:r>
        <w:rPr>
          <w:rStyle w:val="InlineUI"/>
        </w:rPr>
        <w:t>Allow other organizations to have access to the catalog item</w:t>
      </w:r>
      <w:r>
        <w:t>.</w:t>
      </w:r>
    </w:p>
    <w:p>
      <w:pPr>
        <w:pStyle w:val="BodyText"/>
        <w:numPr>
          <w:numId w:val="110"/>
        </w:numPr>
      </w:pPr>
      <w:r>
        <w:t xml:space="preserve">Click </w:t>
      </w:r>
      <w:r>
        <w:rPr>
          <w:rStyle w:val="InlineUI"/>
        </w:rPr>
        <w:t>Publish</w:t>
      </w:r>
      <w:r>
        <w:t>.</w:t>
      </w:r>
    </w:p>
    <w:p>
      <w:pPr>
        <w:pStyle w:val="Heading2"/>
      </w:pPr>
      <w:bookmarkStart w:id="165" w:name="B2e8369569ee142468ee0f100e2d7fd76"/>
      <w:bookmarkStart w:id="166" w:name="_Toc256000715"/>
      <w:r>
        <w:t>Managing Event Subscriptions in VCF Automation</w:t>
      </w:r>
      <w:bookmarkEnd w:id="166"/>
      <w:bookmarkEnd w:id="165"/>
    </w:p>
    <w:p>
      <w:pPr>
        <w:pStyle w:val="BodyText"/>
      </w:pPr>
      <w:r>
        <w:t xml:space="preserve">You can extend your application lifecycles by using </w:t>
      </w:r>
      <w:r>
        <w:t>VCF Operations orchestrator</w:t>
      </w:r>
      <w:r>
        <w:t xml:space="preserve"> workflows with event subscriptions.</w:t>
      </w:r>
    </w:p>
    <w:p>
      <w:pPr>
        <w:pStyle w:val="BodyText"/>
      </w:pPr>
      <w:r>
        <w:t>When a triggering event occurs in your environment, the subscription is initiated and the specified workflow is run. You can view system events on the event log. Subscriptions are project-specific, meaning they are linked to blueprints and deployments through the specified project.</w:t>
      </w:r>
    </w:p>
    <w:p>
      <w:pPr>
        <w:pStyle w:val="BodyText"/>
      </w:pPr>
      <w:r>
        <w:t xml:space="preserve">Provider administrators can use an MQTT client to subscribe to messages about Provider Management events and tasks. See </w:t>
      </w:r>
      <w:r>
        <w:t>Subscribe to Events, Tasks, and Metrics by Using an MQTT Client</w:t>
      </w:r>
      <w:r>
        <w:t>.</w:t>
      </w:r>
    </w:p>
    <w:p>
      <w:pPr>
        <w:pStyle w:val="SectionHeading3"/>
      </w:pPr>
      <w:bookmarkStart w:id="167" w:name="_Toc256000716"/>
      <w:r>
        <w:t>Blocking event topics</w:t>
      </w:r>
      <w:bookmarkEnd w:id="167"/>
    </w:p>
    <w:p>
      <w:pPr>
        <w:pStyle w:val="BodyText"/>
      </w:pPr>
      <w:r>
        <w:t>Some event topics support blocking events. The behavior of a subscription depends on whether the topic supports these event types and how you configure the subscription.</w:t>
      </w:r>
    </w:p>
    <w:p>
      <w:pPr>
        <w:pStyle w:val="BodyText"/>
      </w:pPr>
      <w:r>
        <w:t>Event subscriptions can use two broad types of event topics: non-blocking and blocking event topics. The event topic type defines the behavior of the event subscription.</w:t>
      </w:r>
    </w:p>
    <w:p>
      <w:pPr>
        <w:pStyle w:val="ditaDT"/>
      </w:pPr>
      <w:r>
        <w:t>Non-blocking event topics</w:t>
      </w:r>
    </w:p>
    <w:p>
      <w:pPr>
        <w:pStyle w:val="ditaDD"/>
      </w:pPr>
      <w:r>
        <w:t>Non-blocking event topics only allow you to create non-blocking subscriptions. Non-blocking subscriptions are triggered asynchronously and you cannot rely on the order that the subscriptions are triggered in.</w:t>
      </w:r>
    </w:p>
    <w:p>
      <w:pPr>
        <w:pStyle w:val="ditaDT"/>
      </w:pPr>
      <w:r>
        <w:t>Blocking event topics</w:t>
      </w:r>
    </w:p>
    <w:p>
      <w:pPr>
        <w:pStyle w:val="ditaDD"/>
      </w:pPr>
      <w:r>
        <w:t>Some event topics support blocking. If a subscription is marked as blocking, all messages that meet the set conditions are not received by any other subscriptions with matching conditions until the runnable item of the blocking subscription is run.</w:t>
      </w:r>
    </w:p>
    <w:p>
      <w:pPr>
        <w:pStyle w:val="ditaDD"/>
      </w:pPr>
      <w:r>
        <w:t>Blocking subscriptions run in priority order. The highest priority value is 0 (zero). If you have more than one blocking subscription for the same event topic with the same priority level, the subscriptions run in a reverse alphabetical order based on the name of the subscription. After all blocking subscriptions are processed, the message is sent to all the non-blocking subscriptions at the same time. Because the blocking subscriptions run synchronously, the changed event payload includes the updated event when the subsequent subscriptions are notified.</w:t>
      </w:r>
    </w:p>
    <w:p>
      <w:pPr>
        <w:pStyle w:val="ditaDD"/>
      </w:pPr>
      <w:r>
        <w:t>You can use blocking event topics to manage multiple subscriptions that are dependent on each other.</w:t>
      </w:r>
    </w:p>
    <w:p>
      <w:pPr>
        <w:pStyle w:val="ditaDD"/>
      </w:pPr>
      <w:r>
        <w:t>For example, you can have two provisioning workflow subscriptions where the second subscription depends on the results of the first subscription. The first subscription changes a property during provisioning, and the second subscription records the new property, such as a machine name, in a file system. The ChangeProperty subscription is prioritized as 0 and the RecordProperty is prioritized as 1 because the second subscription uses the results of the first subscription. When a machine is provisioned, the ChangeProperty subscription begins running. Because the RecordProperty subscription conditions are based on a post-provisioning condition, an event triggers the RecordProperty subscription. However, because the ChangeProperty workflow is a blocking workflow, the event is not received until it is finished. When the machine name is changed and the first workflow subscription is finished, the second workflow subscription runs and records the machine name in the file system.</w:t>
      </w:r>
    </w:p>
    <w:p>
      <w:pPr>
        <w:pStyle w:val="ditaDD"/>
      </w:pPr>
      <w:r>
        <w:t>For blocking event topics, you can add a recovery runnable item to the subscription. The recovery runnable item in a subscription runs if the primary runnable item fails. For example, you can create a workflow subscription where the primary runnable item is a workflow that creates records in a CMDB system such as ServiceNow. Even if the workflow subscription fails, some records might be created in the CMDB system. In this scenario, a recovery runnable item can be used to clean up the records left in the CMDB system by the failed runnable item.</w:t>
      </w:r>
    </w:p>
    <w:p>
      <w:pPr>
        <w:pStyle w:val="ditaDD"/>
      </w:pPr>
      <w:r>
        <w:t xml:space="preserve">For use cases that include multiple subscriptions that are dependent on each other, you can add a </w:t>
      </w:r>
      <w:r>
        <w:rPr>
          <w:rStyle w:val="InlineCode"/>
        </w:rPr>
        <w:t>ebs.recover.continuationproperty</w:t>
      </w:r>
      <w:r>
        <w:t xml:space="preserve"> to the recovery runnable item. With this property, you can direct if the system must continue with the next subscription in your chain, if the current subscription fails.</w:t>
      </w:r>
    </w:p>
    <w:p>
      <w:pPr>
        <w:pStyle w:val="SectionHeading3"/>
      </w:pPr>
      <w:bookmarkStart w:id="168" w:name="_Toc256000717"/>
      <w:r>
        <w:t>Event Log</w:t>
      </w:r>
      <w:bookmarkEnd w:id="168"/>
    </w:p>
    <w:p>
      <w:pPr>
        <w:pStyle w:val="BodyText"/>
      </w:pPr>
      <w:r>
        <w:t xml:space="preserve">The </w:t>
      </w:r>
      <w:r>
        <w:rPr>
          <w:rStyle w:val="InlineUI"/>
        </w:rPr>
        <w:t>Event Log</w:t>
      </w:r>
      <w:r>
        <w:t xml:space="preserve"> tab on the </w:t>
      </w:r>
      <w:r>
        <w:rPr>
          <w:rStyle w:val="InlineUI"/>
        </w:rPr>
        <w:t>Event Subscriptions</w:t>
      </w:r>
      <w:r>
        <w:t xml:space="preserve"> page displays a list of all events that have occurred within your environment.</w:t>
      </w:r>
    </w:p>
    <w:p>
      <w:pPr>
        <w:pStyle w:val="BodyText"/>
      </w:pPr>
      <w:r>
        <w:t xml:space="preserve">You can view the event logs on the </w:t>
      </w:r>
      <w:r>
        <w:rPr>
          <w:rStyle w:val="InlineUI"/>
        </w:rPr>
        <w:t>Events</w:t>
      </w:r>
      <w:r>
        <w:t xml:space="preserve"> tab. You can also filter the list of events by one or more properties. To view additional details of an individual event, select the event's ID.</w:t>
      </w:r>
    </w:p>
    <w:p>
      <w:pPr>
        <w:pStyle w:val="Heading3"/>
      </w:pPr>
      <w:bookmarkStart w:id="169" w:name="_Toc256000718"/>
      <w:r>
        <w:t>Event Topics Provided with VCF Automation</w:t>
      </w:r>
      <w:bookmarkEnd w:id="169"/>
    </w:p>
    <w:p>
      <w:pPr>
        <w:pStyle w:val="BodyText"/>
      </w:pPr>
      <w:r>
        <w:t>VCF Automation</w:t>
      </w:r>
      <w:r>
        <w:t xml:space="preserve"> includes predefined event topics.</w:t>
      </w:r>
    </w:p>
    <w:p>
      <w:pPr>
        <w:pStyle w:val="BodyText"/>
      </w:pPr>
      <w:r>
        <w:t xml:space="preserve">You can see the list of all the events that get generated in the system and you can subscribe to those events. You can trigger different workflows for different events. You can subscribe to VM Service events for operations on VMs. For example, if an event is generated after a VM is successfully created, you can subscribe to that event and trigger a </w:t>
      </w:r>
      <w:r>
        <w:t>VCF Operations orchestrator</w:t>
      </w:r>
      <w:r>
        <w:t xml:space="preserve"> workflow that takes the VM and registers it in CMDB.</w:t>
      </w:r>
    </w:p>
    <w:p>
      <w:pPr>
        <w:pStyle w:val="SectionHeading4"/>
      </w:pPr>
    </w:p>
    <w:p>
      <w:pPr>
        <w:pStyle w:val="BodyText"/>
      </w:pPr>
      <w:r>
        <w:t xml:space="preserve">Event topics are the categories that group similar events together. When assigned to a subscription, event topics define which event triggers the subscription. The following event topics are provided by default with </w:t>
      </w:r>
      <w:r>
        <w:t>VCF Automation</w:t>
      </w:r>
      <w:r>
        <w:t xml:space="preserve">. All topics can be used to add or update custom properties or tags of the resource. If a </w:t>
      </w:r>
      <w:r>
        <w:t>VCF Operations orchestrator</w:t>
      </w:r>
      <w:r>
        <w:t xml:space="preserve"> workflow fails, the corresponding task fails as well.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4"/>
        <w:gridCol w:w="1262"/>
        <w:gridCol w:w="65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Event Topic</w:t>
            </w:r>
          </w:p>
        </w:tc>
        <w:tc>
          <w:tcPr>
            <w:tcBorders>
              <w:left w:val="nil"/>
              <w:right w:val="nil"/>
            </w:tcBorders>
            <w:shd w:val="clear" w:color="auto" w:fill="E1E1E1"/>
            <w:tcMar>
              <w:top w:w="60" w:type="dxa"/>
              <w:bottom w:w="60" w:type="dxa"/>
            </w:tcMar>
          </w:tcPr>
          <w:p>
            <w:pPr>
              <w:pStyle w:val="TableHeaderText"/>
            </w:pPr>
            <w:r>
              <w:t>Blockable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Approval Events</w:t>
            </w:r>
          </w:p>
        </w:tc>
        <w:tc>
          <w:tcPr>
            <w:tcBorders>
              <w:left w:val="nil"/>
              <w:right w:val="nil"/>
            </w:tcBorders>
          </w:tcPr>
          <w:p>
            <w:pPr>
              <w:pStyle w:val="TableBodyText"/>
            </w:pPr>
            <w:r>
              <w:t>Yes</w:t>
            </w:r>
          </w:p>
        </w:tc>
        <w:tc>
          <w:tcPr>
            <w:tcBorders>
              <w:left w:val="nil"/>
              <w:right w:val="nil"/>
            </w:tcBorders>
          </w:tcPr>
          <w:p>
            <w:pPr>
              <w:pStyle w:val="TableBodyText"/>
            </w:pPr>
            <w:r>
              <w:t>Issued when an action that requires an approval is triggered.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configuration</w:t>
            </w:r>
          </w:p>
        </w:tc>
        <w:tc>
          <w:tcPr>
            <w:tcBorders>
              <w:left w:val="nil"/>
              <w:right w:val="nil"/>
            </w:tcBorders>
          </w:tcPr>
          <w:p>
            <w:pPr>
              <w:pStyle w:val="TableBodyText"/>
            </w:pPr>
            <w:r>
              <w:t>No</w:t>
            </w:r>
          </w:p>
        </w:tc>
        <w:tc>
          <w:tcPr>
            <w:tcBorders>
              <w:left w:val="nil"/>
              <w:right w:val="nil"/>
            </w:tcBorders>
          </w:tcPr>
          <w:p>
            <w:pPr>
              <w:pStyle w:val="TableBodyText"/>
            </w:pPr>
            <w:r>
              <w:t>Issued when a blueprint configuration event, such as the creation or deletion of a blueprint, occurs. This event topic can be useful for notifying external systems of such events.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version configuration</w:t>
            </w:r>
          </w:p>
        </w:tc>
        <w:tc>
          <w:tcPr>
            <w:tcBorders>
              <w:left w:val="nil"/>
              <w:right w:val="nil"/>
            </w:tcBorders>
          </w:tcPr>
          <w:p>
            <w:pPr>
              <w:pStyle w:val="TableBodyText"/>
            </w:pPr>
            <w:r>
              <w:t>No</w:t>
            </w:r>
          </w:p>
        </w:tc>
        <w:tc>
          <w:tcPr>
            <w:tcBorders>
              <w:left w:val="nil"/>
              <w:right w:val="nil"/>
            </w:tcBorders>
          </w:tcPr>
          <w:p>
            <w:pPr>
              <w:pStyle w:val="TableBodyText"/>
            </w:pPr>
            <w:r>
              <w:t>Issued when a new blueprint versioning event occurs, such as the creation, release, de-release, or restoration of a version. This event topic can be useful with integrations of third-party version control systems.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post provision</w:t>
            </w:r>
          </w:p>
        </w:tc>
        <w:tc>
          <w:tcPr>
            <w:tcBorders>
              <w:left w:val="nil"/>
              <w:right w:val="nil"/>
            </w:tcBorders>
          </w:tcPr>
          <w:p>
            <w:pPr>
              <w:pStyle w:val="TableBodyText"/>
            </w:pPr>
            <w:r>
              <w:t>Yes</w:t>
            </w:r>
          </w:p>
        </w:tc>
        <w:tc>
          <w:tcPr>
            <w:tcBorders>
              <w:left w:val="nil"/>
              <w:right w:val="nil"/>
            </w:tcBorders>
          </w:tcPr>
          <w:p>
            <w:pPr>
              <w:pStyle w:val="TableBodyText"/>
            </w:pPr>
            <w:r>
              <w:t>Issued for post 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pre provision</w:t>
            </w:r>
          </w:p>
        </w:tc>
        <w:tc>
          <w:tcPr>
            <w:tcBorders>
              <w:left w:val="nil"/>
              <w:right w:val="nil"/>
            </w:tcBorders>
          </w:tcPr>
          <w:p>
            <w:pPr>
              <w:pStyle w:val="TableBodyText"/>
            </w:pPr>
            <w:r>
              <w:t>Yes</w:t>
            </w:r>
          </w:p>
        </w:tc>
        <w:tc>
          <w:tcPr>
            <w:tcBorders>
              <w:left w:val="nil"/>
              <w:right w:val="nil"/>
            </w:tcBorders>
          </w:tcPr>
          <w:p>
            <w:pPr>
              <w:pStyle w:val="TableBodyText"/>
            </w:pPr>
            <w:r>
              <w:t>Issued for pre-provisioning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blueprint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onboarded</w:t>
            </w:r>
          </w:p>
        </w:tc>
        <w:tc>
          <w:tcPr>
            <w:tcBorders>
              <w:left w:val="nil"/>
              <w:right w:val="nil"/>
            </w:tcBorders>
          </w:tcPr>
          <w:p>
            <w:pPr>
              <w:pStyle w:val="TableBodyText"/>
            </w:pPr>
            <w:r>
              <w:t>No</w:t>
            </w:r>
          </w:p>
        </w:tc>
        <w:tc>
          <w:tcPr>
            <w:tcBorders>
              <w:left w:val="nil"/>
              <w:right w:val="nil"/>
            </w:tcBorders>
          </w:tcPr>
          <w:p>
            <w:pPr>
              <w:pStyle w:val="TableBodyText"/>
            </w:pPr>
            <w:r>
              <w:t>Issued when a new deployment is onboarded.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blueprint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resource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resource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completed</w:t>
            </w:r>
          </w:p>
        </w:tc>
        <w:tc>
          <w:tcPr>
            <w:tcBorders>
              <w:left w:val="nil"/>
              <w:right w:val="nil"/>
            </w:tcBorders>
          </w:tcPr>
          <w:p>
            <w:pPr>
              <w:pStyle w:val="TableBodyText"/>
            </w:pPr>
            <w:r>
              <w:t>Yes</w:t>
            </w:r>
          </w:p>
        </w:tc>
        <w:tc>
          <w:tcPr>
            <w:tcBorders>
              <w:left w:val="nil"/>
              <w:right w:val="nil"/>
            </w:tcBorders>
          </w:tcPr>
          <w:p>
            <w:pPr>
              <w:pStyle w:val="TableBodyText"/>
            </w:pPr>
            <w:r>
              <w:t>Issued after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requested</w:t>
            </w:r>
          </w:p>
        </w:tc>
        <w:tc>
          <w:tcPr>
            <w:tcBorders>
              <w:left w:val="nil"/>
              <w:right w:val="nil"/>
            </w:tcBorders>
          </w:tcPr>
          <w:p>
            <w:pPr>
              <w:pStyle w:val="TableBodyText"/>
            </w:pPr>
            <w:r>
              <w:t>Yes</w:t>
            </w:r>
          </w:p>
        </w:tc>
        <w:tc>
          <w:tcPr>
            <w:tcBorders>
              <w:left w:val="nil"/>
              <w:right w:val="nil"/>
            </w:tcBorders>
          </w:tcPr>
          <w:p>
            <w:pPr>
              <w:pStyle w:val="TableBodyText"/>
            </w:pPr>
            <w:r>
              <w:t>Issued before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IaaS resource event</w:t>
            </w:r>
          </w:p>
        </w:tc>
        <w:tc>
          <w:tcPr>
            <w:tcBorders>
              <w:left w:val="nil"/>
              <w:right w:val="nil"/>
            </w:tcBorders>
          </w:tcPr>
          <w:p>
            <w:pPr>
              <w:pStyle w:val="TableBodyText"/>
            </w:pPr>
            <w:r>
              <w:t>No</w:t>
            </w:r>
          </w:p>
        </w:tc>
        <w:tc>
          <w:tcPr>
            <w:tcBorders>
              <w:left w:val="nil"/>
              <w:right w:val="nil"/>
            </w:tcBorders>
          </w:tcPr>
          <w:p>
            <w:pPr>
              <w:pStyle w:val="TableBodyText"/>
            </w:pPr>
            <w:r>
              <w:t>Issued when a VM is created, updated, or deleted.</w:t>
            </w:r>
          </w:p>
          <w:p>
            <w:pPr>
              <w:pStyle w:val="TableBodyText"/>
            </w:pPr>
            <w:r>
              <w:t>This event topic is usable for VMs provisioned either from the catalog or the VM Service in the services console.</w:t>
            </w:r>
          </w:p>
          <w:p>
            <w:pPr>
              <w:pStyle w:val="TableBodyText"/>
            </w:pPr>
            <w:r>
              <w:t>Events for VMs are filtered using the following filter.</w:t>
            </w:r>
          </w:p>
          <w:p>
            <w:pPr>
              <w:pStyle w:val="TableBodyText"/>
            </w:pPr>
            <w:r>
              <w:t>event.data.object.involvedObject.kind == 'VirtualMachine' &amp;&amp; event.data.object.reason == 'CreateSuccess' // CreateFailure UpdateFailure UpdateSuccess DeleteSuccess DeleteFailure</w:t>
            </w:r>
          </w:p>
          <w:p>
            <w:pPr>
              <w:pStyle w:val="TableBodyText"/>
            </w:pPr>
            <w:r>
              <w:t>The payload of the event contains additional information about whether a VM was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Project Lifecycle Event Topic</w:t>
            </w:r>
          </w:p>
        </w:tc>
        <w:tc>
          <w:tcPr>
            <w:tcBorders>
              <w:left w:val="nil"/>
              <w:right w:val="nil"/>
            </w:tcBorders>
          </w:tcPr>
          <w:p>
            <w:pPr>
              <w:pStyle w:val="TableBodyText"/>
            </w:pPr>
            <w:r>
              <w:t>No</w:t>
            </w:r>
          </w:p>
        </w:tc>
        <w:tc>
          <w:tcPr>
            <w:tcBorders>
              <w:left w:val="nil"/>
              <w:right w:val="nil"/>
            </w:tcBorders>
          </w:tcPr>
          <w:p>
            <w:pPr>
              <w:pStyle w:val="TableBodyText"/>
            </w:pPr>
            <w:r>
              <w:t>Issued when a project is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Provider resource action cud</w:t>
            </w:r>
          </w:p>
        </w:tc>
        <w:tc>
          <w:tcPr>
            <w:tcBorders>
              <w:left w:val="nil"/>
              <w:right w:val="nil"/>
            </w:tcBorders>
          </w:tcPr>
          <w:p>
            <w:pPr>
              <w:pStyle w:val="TableBodyText"/>
            </w:pPr>
            <w:r>
              <w:t>No</w:t>
            </w:r>
          </w:p>
        </w:tc>
        <w:tc>
          <w:tcPr>
            <w:tcBorders>
              <w:left w:val="nil"/>
              <w:right w:val="nil"/>
            </w:tcBorders>
          </w:tcPr>
          <w:p>
            <w:pPr>
              <w:pStyle w:val="TableBodyText"/>
            </w:pPr>
            <w:r>
              <w:t>Issued when a resource action is created, updated, or deleted.</w:t>
            </w:r>
          </w:p>
        </w:tc>
      </w:tr>
    </w:tbl>
    <w:p>
      <w:pPr>
        <w:pStyle w:val="Heading3"/>
        <w:spacing w:before="320"/>
      </w:pPr>
      <w:bookmarkStart w:id="170" w:name="_Toc256000720"/>
      <w:r>
        <w:t>Create an Event Subscription in VCF Automation</w:t>
      </w:r>
      <w:bookmarkEnd w:id="170"/>
    </w:p>
    <w:p>
      <w:pPr>
        <w:pStyle w:val="BodyText"/>
      </w:pPr>
      <w:r>
        <w:t xml:space="preserve">By using a </w:t>
      </w:r>
      <w:r>
        <w:t>VCF Operations orchestrator</w:t>
      </w:r>
      <w:r>
        <w:t xml:space="preserve"> integration, you can create subscriptions to extend your applications.</w:t>
      </w:r>
    </w:p>
    <w:p>
      <w:pPr>
        <w:pStyle w:val="BodyText"/>
      </w:pPr>
      <w:r>
        <w:t xml:space="preserve">Event subscriptions allow you to extend your applications by triggering workflows or actions at specific life-cycle events. You can also apply filters to your subscriptions to set Boolean conditions for the specified event. For example, the event and workflow only triggers if the Boolean expression is </w:t>
      </w:r>
      <w:r>
        <w:rPr>
          <w:rStyle w:val="InlineCode"/>
        </w:rPr>
        <w:t>'true'</w:t>
      </w:r>
      <w:r>
        <w:t>. This is helpful for scenarios where you want to control when events or workflows are triggered.</w:t>
      </w:r>
    </w:p>
    <w:p>
      <w:pPr>
        <w:pStyle w:val="BodyText"/>
      </w:pPr>
      <w:r>
        <w:rPr>
          <w:rStyle w:val="Strong"/>
        </w:rPr>
        <w:t>Prerequisites</w:t>
      </w:r>
    </w:p>
    <w:p>
      <w:pPr>
        <w:pStyle w:val="BodyText"/>
        <w:numPr>
          <w:numId w:val="111"/>
        </w:numPr>
      </w:pPr>
      <w:r>
        <w:t>Verify that you have the organization administrator user role.</w:t>
      </w:r>
    </w:p>
    <w:p>
      <w:pPr>
        <w:pStyle w:val="BodyText"/>
        <w:numPr>
          <w:numId w:val="111"/>
        </w:numPr>
      </w:pPr>
      <w:r>
        <w:t xml:space="preserve">Verify that you have a </w:t>
      </w:r>
      <w:r>
        <w:t>VCF Operations orchestrator</w:t>
      </w:r>
      <w:r>
        <w:t xml:space="preserve"> integration.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B9a25f25d763b4303af569c36ce82699e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Integrate VCF Automation with VCF Operations orchestrator</w:t>
      </w:r>
      <w:r>
        <w:fldChar w:fldCharType="end"/>
      </w:r>
      <w:r>
        <w:t xml:space="preserve"> .</w:t>
      </w:r>
    </w:p>
    <w:p>
      <w:pPr>
        <w:pStyle w:val="BodyText"/>
      </w:pPr>
      <w:r>
        <w:rPr>
          <w:rStyle w:val="Strong"/>
        </w:rPr>
        <w:t>Procedure</w:t>
      </w:r>
    </w:p>
    <w:p>
      <w:pPr>
        <w:pStyle w:val="BodyText"/>
        <w:numPr>
          <w:numId w:val="112"/>
        </w:numPr>
      </w:pPr>
      <w:r>
        <w:t xml:space="preserve">Select </w:t>
      </w:r>
      <w:r>
        <w:rPr>
          <w:rStyle w:val="InlineUI"/>
        </w:rPr>
        <w:t>Build &amp; Deploy</w:t>
      </w:r>
      <w:r>
        <w:rPr>
          <w:rStyle w:val="InlineUI"/>
        </w:rPr>
        <w:t xml:space="preserve"> &gt; </w:t>
      </w:r>
      <w:r>
        <w:rPr>
          <w:rStyle w:val="InlineUI"/>
        </w:rPr>
        <w:t>Subscriptions</w:t>
      </w:r>
      <w:r>
        <w:rPr>
          <w:rStyle w:val="InlineUI"/>
        </w:rPr>
        <w:t xml:space="preserve"> &gt; </w:t>
      </w:r>
      <w:r>
        <w:rPr>
          <w:rStyle w:val="InlineUI"/>
        </w:rPr>
        <w:t>New</w:t>
      </w:r>
      <w:r>
        <w:t>.</w:t>
      </w:r>
    </w:p>
    <w:p>
      <w:pPr>
        <w:pStyle w:val="BodyText"/>
        <w:numPr>
          <w:numId w:val="112"/>
        </w:numPr>
      </w:pPr>
      <w:r>
        <w:t>Enter the details of your subscription.</w:t>
      </w:r>
    </w:p>
    <w:p>
      <w:pPr>
        <w:pStyle w:val="BodyText"/>
        <w:numPr>
          <w:numId w:val="112"/>
        </w:numPr>
      </w:pPr>
      <w:r>
        <w:t xml:space="preserve">Under </w:t>
      </w:r>
      <w:r>
        <w:rPr>
          <w:rStyle w:val="InlineUI"/>
        </w:rPr>
        <w:t>Status</w:t>
      </w:r>
      <w:r>
        <w:t>, verify that the subscription is enabled.</w:t>
      </w:r>
    </w:p>
    <w:p>
      <w:pPr>
        <w:pStyle w:val="BodyText"/>
        <w:numPr>
          <w:numId w:val="112"/>
        </w:numPr>
      </w:pPr>
      <w:r>
        <w:t>Select an event topic.</w:t>
      </w:r>
    </w:p>
    <w:p>
      <w:pPr>
        <w:pStyle w:val="BodyText"/>
        <w:numPr>
          <w:numId w:val="112"/>
        </w:numPr>
      </w:pPr>
      <w:r>
        <w:t>Set conditions for the event topic.</w:t>
      </w:r>
    </w:p>
    <w:p>
      <w:pPr>
        <w:pStyle w:val="BodyText"/>
        <w:ind w:left="480"/>
      </w:pPr>
      <w:r>
        <w:t xml:space="preserve">Conditions can be created by using a JavaScript syntax expression. This expression can include Boolean operators, such as </w:t>
      </w:r>
      <w:r>
        <w:rPr>
          <w:rStyle w:val="InlineCode"/>
        </w:rPr>
        <w:t>"&amp;&amp;" (AND)</w:t>
      </w:r>
      <w:r>
        <w:t xml:space="preserve">, </w:t>
      </w:r>
      <w:r>
        <w:rPr>
          <w:rStyle w:val="InlineCode"/>
        </w:rPr>
        <w:t>"||" (OR)</w:t>
      </w:r>
      <w:r>
        <w:t xml:space="preserve">, </w:t>
      </w:r>
      <w:r>
        <w:rPr>
          <w:rStyle w:val="InlineCode"/>
        </w:rPr>
        <w:t>"^" (XOR)</w:t>
      </w:r>
      <w:r>
        <w:t xml:space="preserve">, and </w:t>
      </w:r>
      <w:r>
        <w:rPr>
          <w:rStyle w:val="InlineCode"/>
        </w:rPr>
        <w:t>"!" (NOT)</w:t>
      </w:r>
      <w:r>
        <w:t xml:space="preserve">. You can also use arithmetic operators, such as </w:t>
      </w:r>
      <w:r>
        <w:rPr>
          <w:rStyle w:val="InlineCode"/>
        </w:rPr>
        <w:t>“==" (equal to)</w:t>
      </w:r>
      <w:r>
        <w:t xml:space="preserve">, </w:t>
      </w:r>
      <w:r>
        <w:rPr>
          <w:rStyle w:val="InlineCode"/>
        </w:rPr>
        <w:t>"!=" (not equal to)</w:t>
      </w:r>
      <w:r>
        <w:t xml:space="preserve">, </w:t>
      </w:r>
      <w:r>
        <w:rPr>
          <w:rStyle w:val="InlineCode"/>
        </w:rPr>
        <w:t>"&gt;=" (greater than or equal)</w:t>
      </w:r>
      <w:r>
        <w:t xml:space="preserve">, </w:t>
      </w:r>
      <w:r>
        <w:rPr>
          <w:rStyle w:val="InlineCode"/>
        </w:rPr>
        <w:t>"&lt;=" (less than or equal)</w:t>
      </w:r>
      <w:r>
        <w:t xml:space="preserve">, </w:t>
      </w:r>
      <w:r>
        <w:rPr>
          <w:rStyle w:val="InlineCode"/>
        </w:rPr>
        <w:t>"&gt;" (greater than)</w:t>
      </w:r>
      <w:r>
        <w:t xml:space="preserve">, and </w:t>
      </w:r>
      <w:r>
        <w:rPr>
          <w:rStyle w:val="InlineCode"/>
        </w:rPr>
        <w:t>"&lt;" (lesser than)</w:t>
      </w:r>
      <w:r>
        <w:t xml:space="preserve">. More complex Boolean expressions can be built out of simpler expressions. To access the event payload according to the specified topic parameters, use 'event.data' or any of the event header properties: </w:t>
      </w:r>
      <w:r>
        <w:rPr>
          <w:rStyle w:val="InlineCode"/>
        </w:rPr>
        <w:t>sourceType</w:t>
      </w:r>
      <w:r>
        <w:t xml:space="preserve">, </w:t>
      </w:r>
      <w:r>
        <w:rPr>
          <w:rStyle w:val="InlineCode"/>
        </w:rPr>
        <w:t>sourceIdentity</w:t>
      </w:r>
      <w:r>
        <w:t xml:space="preserve">, </w:t>
      </w:r>
      <w:r>
        <w:rPr>
          <w:rStyle w:val="InlineCode"/>
        </w:rPr>
        <w:t>timeStamp</w:t>
      </w:r>
      <w:r>
        <w:t xml:space="preserve">, </w:t>
      </w:r>
      <w:r>
        <w:rPr>
          <w:rStyle w:val="InlineCode"/>
        </w:rPr>
        <w:t>eventType</w:t>
      </w:r>
      <w:r>
        <w:t xml:space="preserve">, </w:t>
      </w:r>
      <w:r>
        <w:rPr>
          <w:rStyle w:val="InlineCode"/>
        </w:rPr>
        <w:t>eventTopicId</w:t>
      </w:r>
      <w:r>
        <w:t xml:space="preserve">, </w:t>
      </w:r>
      <w:r>
        <w:rPr>
          <w:rStyle w:val="InlineCode"/>
        </w:rPr>
        <w:t>correlationType</w:t>
      </w:r>
      <w:r>
        <w:t xml:space="preserve">, </w:t>
      </w:r>
      <w:r>
        <w:rPr>
          <w:rStyle w:val="InlineCode"/>
        </w:rPr>
        <w:t>correlationId</w:t>
      </w:r>
      <w:r>
        <w:t xml:space="preserve">, </w:t>
      </w:r>
      <w:r>
        <w:rPr>
          <w:rStyle w:val="InlineCode"/>
        </w:rPr>
        <w:t>description</w:t>
      </w:r>
      <w:r>
        <w:t xml:space="preserve">, </w:t>
      </w:r>
      <w:r>
        <w:rPr>
          <w:rStyle w:val="InlineCode"/>
        </w:rPr>
        <w:t>targetType</w:t>
      </w:r>
      <w:r>
        <w:t xml:space="preserve">, </w:t>
      </w:r>
      <w:r>
        <w:rPr>
          <w:rStyle w:val="InlineCode"/>
        </w:rPr>
        <w:t>targetId</w:t>
      </w:r>
      <w:r>
        <w:t xml:space="preserve">, </w:t>
      </w:r>
      <w:r>
        <w:rPr>
          <w:rStyle w:val="InlineCode"/>
        </w:rPr>
        <w:t>userName</w:t>
      </w:r>
      <w:r>
        <w:t xml:space="preserve">, and </w:t>
      </w:r>
      <w:r>
        <w:rPr>
          <w:rStyle w:val="InlineCode"/>
        </w:rPr>
        <w:t>orgId</w:t>
      </w:r>
      <w:r>
        <w:t>.</w:t>
      </w:r>
    </w:p>
    <w:p>
      <w:pPr>
        <w:pStyle w:val="BodyText"/>
        <w:numPr>
          <w:numId w:val="112"/>
        </w:numPr>
      </w:pPr>
      <w:r>
        <w:t>Select a runnable workflow for your subscription.</w:t>
      </w:r>
    </w:p>
    <w:p>
      <w:pPr>
        <w:pStyle w:val="BodyText"/>
        <w:numPr>
          <w:numId w:val="112"/>
        </w:numPr>
      </w:pPr>
      <w:r>
        <w:t>If applicable, configure the blocking behavior for the event topic.</w:t>
      </w:r>
    </w:p>
    <w:p>
      <w:pPr>
        <w:pStyle w:val="BodyText"/>
        <w:numPr>
          <w:numId w:val="112"/>
        </w:numPr>
      </w:pPr>
      <w:r>
        <w:t xml:space="preserve">To define the project scope of the subscription, deselect </w:t>
      </w:r>
      <w:r>
        <w:rPr>
          <w:rStyle w:val="InlineUI"/>
        </w:rPr>
        <w:t>Any Project</w:t>
      </w:r>
      <w:r>
        <w:t xml:space="preserve"> and click </w:t>
      </w:r>
      <w:r>
        <w:rPr>
          <w:rStyle w:val="InlineUI"/>
        </w:rPr>
        <w:t>Add Projects</w:t>
      </w:r>
      <w:r>
        <w:t>.</w:t>
      </w:r>
    </w:p>
    <w:p>
      <w:pPr>
        <w:pStyle w:val="BodyText"/>
        <w:numPr>
          <w:numId w:val="112"/>
        </w:numPr>
      </w:pPr>
      <w:r>
        <w:t xml:space="preserve">Click </w:t>
      </w:r>
      <w:r>
        <w:rPr>
          <w:rStyle w:val="InlineUI"/>
        </w:rPr>
        <w:t>Save</w:t>
      </w:r>
      <w:r>
        <w:t>.</w:t>
      </w:r>
    </w:p>
    <w:p>
      <w:pPr>
        <w:pStyle w:val="BodyText"/>
      </w:pPr>
      <w:r>
        <w:rPr>
          <w:rStyle w:val="Strong"/>
        </w:rPr>
        <w:t>Results</w:t>
      </w:r>
    </w:p>
    <w:p>
      <w:pPr>
        <w:pStyle w:val="BodyText"/>
      </w:pPr>
      <w:r>
        <w:t xml:space="preserve">Your subscription is created. When an event, categorized by the selected event topic occurs, the linked </w:t>
      </w:r>
      <w:r>
        <w:t>VCF Operations orchestrator</w:t>
      </w:r>
      <w:r>
        <w:t xml:space="preserve"> workflow action is initiated and all subscribers are notified.</w:t>
      </w:r>
    </w:p>
    <w:p>
      <w:pPr>
        <w:pStyle w:val="BodyText"/>
      </w:pPr>
      <w:r>
        <w:rPr>
          <w:rStyle w:val="Strong"/>
        </w:rPr>
        <w:t>What to do next</w:t>
      </w:r>
    </w:p>
    <w:p>
      <w:pPr>
        <w:pStyle w:val="BodyText"/>
      </w:pPr>
      <w:r>
        <w:t xml:space="preserve">After creating your subscription, you can create or deploy a blueprint to link and use the subscription. You can verify the status of the workflow run and monitor runs and workflow status on the </w:t>
      </w:r>
      <w:r>
        <w:rPr>
          <w:rStyle w:val="InlineUI"/>
        </w:rPr>
        <w:t>Orchestrate</w:t>
      </w:r>
      <w:r>
        <w:t xml:space="preserve"> tab.</w:t>
      </w:r>
    </w:p>
    <w:p>
      <w:pPr>
        <w:pStyle w:val="Heading3"/>
      </w:pPr>
      <w:bookmarkStart w:id="171" w:name="B776a3c2afd5246e2a07d4fd4ab8cfe0b"/>
      <w:bookmarkStart w:id="172" w:name="_Toc256000721"/>
      <w:r>
        <w:t>Create an Event Subscription to Manage Deployment Expiry in VCF Automation</w:t>
      </w:r>
      <w:bookmarkEnd w:id="172"/>
      <w:bookmarkEnd w:id="171"/>
    </w:p>
    <w:p>
      <w:pPr>
        <w:pStyle w:val="BodyText"/>
      </w:pPr>
      <w:r>
        <w:t xml:space="preserve">You can manage expired deployments and their resources by using the </w:t>
      </w:r>
      <w:r>
        <w:rPr>
          <w:rStyle w:val="InlineCode"/>
        </w:rPr>
        <w:t>Expire</w:t>
      </w:r>
      <w:r>
        <w:t xml:space="preserve"> action alongside existing event topics.</w:t>
      </w:r>
    </w:p>
    <w:p>
      <w:pPr>
        <w:pStyle w:val="BodyText"/>
      </w:pPr>
      <w:r>
        <w:t xml:space="preserve">After a deployment lease in your environment expires, you can use event topics to perform tasks, such as stopping the back up or monitoring of any deployment resources. To perform these day 2 operations, the </w:t>
      </w:r>
      <w:r>
        <w:t>VCF Automation</w:t>
      </w:r>
      <w:r>
        <w:t xml:space="preserve"> API uses a system-level </w:t>
      </w:r>
      <w:r>
        <w:rPr>
          <w:rStyle w:val="InlineCode"/>
        </w:rPr>
        <w:t>Expire</w:t>
      </w:r>
      <w:r>
        <w:t xml:space="preserve"> action. This action is triggered automatically by the system whenever a deployment lease in your organization expires. The </w:t>
      </w:r>
      <w:r>
        <w:rPr>
          <w:rStyle w:val="InlineCode"/>
        </w:rPr>
        <w:t>Expire</w:t>
      </w:r>
      <w:r>
        <w:t xml:space="preserve"> action trigger precedes the power off event for any resources associated with that deployment.</w:t>
      </w:r>
    </w:p>
    <w:p>
      <w:pPr>
        <w:pStyle w:val="BodyText"/>
      </w:pPr>
      <w:r>
        <w:t xml:space="preserve">The Expire action is included in the payload of existing event topics, such as </w:t>
      </w:r>
      <w:r>
        <w:rPr>
          <w:rStyle w:val="InlineCode"/>
        </w:rPr>
        <w:t>Deployment action requested</w:t>
      </w:r>
      <w:r>
        <w:t xml:space="preserve"> and </w:t>
      </w:r>
      <w:r>
        <w:rPr>
          <w:rStyle w:val="InlineCode"/>
        </w:rPr>
        <w:t>Deployment action completed</w:t>
      </w:r>
      <w:r>
        <w:t xml:space="preserve">, and uses the </w:t>
      </w:r>
      <w:r>
        <w:rPr>
          <w:rStyle w:val="InlineCode"/>
        </w:rPr>
        <w:t>deploymentid</w:t>
      </w:r>
      <w:r>
        <w:t xml:space="preserve"> parameter to perform pre-expiry and post-expiry tasks associated with the deployment resources.</w:t>
      </w:r>
    </w:p>
    <w:p>
      <w:pPr>
        <w:pStyle w:val="BodyText"/>
      </w:pPr>
      <w:r>
        <w:t xml:space="preserve">Because Expire is a deployment-level action, you must subscribe to event topics related to deployment actions, like </w:t>
      </w:r>
      <w:r>
        <w:rPr>
          <w:rStyle w:val="InlineCode"/>
        </w:rPr>
        <w:t>Deployment action requested</w:t>
      </w:r>
      <w:r>
        <w:t xml:space="preserve"> or </w:t>
      </w:r>
      <w:r>
        <w:rPr>
          <w:rStyle w:val="InlineCode"/>
        </w:rPr>
        <w:t>Deployment action completed</w:t>
      </w:r>
      <w:r>
        <w:t>.</w:t>
      </w:r>
    </w:p>
    <w:p>
      <w:pPr>
        <w:pStyle w:val="BodyText"/>
      </w:pPr>
      <w:r>
        <w:t>The Expire action is triggered approximately 10 to 15 minutes after your deployment lease expires. The system does not trigger lease expiry events prior to the actual lease expiry. The Expire action is a system-level action and users cannot trigger the events associated with it manually.</w:t>
      </w:r>
    </w:p>
    <w:p>
      <w:pPr>
        <w:pStyle w:val="BodyText"/>
      </w:pPr>
      <w:r>
        <w:t xml:space="preserve">For the current use case, you are using the </w:t>
      </w:r>
      <w:r>
        <w:rPr>
          <w:rStyle w:val="InlineCode"/>
        </w:rPr>
        <w:t>Deployment action requested</w:t>
      </w:r>
      <w:r>
        <w:t xml:space="preserve"> event topic along with the Expire action to back up a virtual machine in your deployment as a template. For this case, the back up is performed by using a </w:t>
      </w:r>
      <w:r>
        <w:t>VCF Operations orchestrator</w:t>
      </w:r>
      <w:r>
        <w:t xml:space="preserve"> workflow but the same task can also be performed by using an extensibility action as the runnable item of the subscription.</w:t>
      </w:r>
    </w:p>
    <w:p>
      <w:pPr>
        <w:pStyle w:val="BodyText"/>
      </w:pPr>
      <w:r>
        <w:rPr>
          <w:rStyle w:val="Strong"/>
        </w:rPr>
        <w:t>Procedure</w:t>
      </w:r>
    </w:p>
    <w:p>
      <w:pPr>
        <w:pStyle w:val="BodyText"/>
        <w:numPr>
          <w:numId w:val="113"/>
        </w:numPr>
      </w:pPr>
      <w:r>
        <w:t xml:space="preserve">Select </w:t>
      </w:r>
      <w:r>
        <w:rPr>
          <w:rStyle w:val="InlineUI"/>
        </w:rPr>
        <w:t>Build &amp; Deploy</w:t>
      </w:r>
      <w:r>
        <w:rPr>
          <w:rStyle w:val="InlineUI"/>
        </w:rPr>
        <w:t xml:space="preserve"> &gt; </w:t>
      </w:r>
      <w:r>
        <w:rPr>
          <w:rStyle w:val="InlineUI"/>
        </w:rPr>
        <w:t>Subscriptions</w:t>
      </w:r>
      <w:r>
        <w:rPr>
          <w:rStyle w:val="InlineUI"/>
        </w:rPr>
        <w:t xml:space="preserve"> &gt; </w:t>
      </w:r>
      <w:r>
        <w:rPr>
          <w:rStyle w:val="InlineUI"/>
        </w:rPr>
        <w:t>New</w:t>
      </w:r>
      <w:r>
        <w:t>.</w:t>
      </w:r>
    </w:p>
    <w:p>
      <w:pPr>
        <w:pStyle w:val="BodyText"/>
        <w:numPr>
          <w:numId w:val="113"/>
        </w:numPr>
      </w:pPr>
      <w:r>
        <w:t>Enter a name for the subscription.</w:t>
      </w:r>
    </w:p>
    <w:p>
      <w:pPr>
        <w:pStyle w:val="BodyText"/>
        <w:numPr>
          <w:numId w:val="113"/>
        </w:numPr>
      </w:pPr>
      <w:r>
        <w:t xml:space="preserve">Under </w:t>
      </w:r>
      <w:r>
        <w:rPr>
          <w:rStyle w:val="InlineUI"/>
        </w:rPr>
        <w:t>Status</w:t>
      </w:r>
      <w:r>
        <w:t>, verify that the subscription is enabled.</w:t>
      </w:r>
    </w:p>
    <w:p>
      <w:pPr>
        <w:pStyle w:val="BodyText"/>
        <w:numPr>
          <w:numId w:val="113"/>
        </w:numPr>
      </w:pPr>
      <w:r>
        <w:t xml:space="preserve">Under </w:t>
      </w:r>
      <w:r>
        <w:rPr>
          <w:rStyle w:val="InlineUI"/>
        </w:rPr>
        <w:t>Event Topic</w:t>
      </w:r>
      <w:r>
        <w:t xml:space="preserve">, select the </w:t>
      </w:r>
      <w:r>
        <w:rPr>
          <w:rStyle w:val="InlineUI"/>
        </w:rPr>
        <w:t>Deployment action requested</w:t>
      </w:r>
      <w:r>
        <w:t xml:space="preserve"> event topic.</w:t>
      </w:r>
    </w:p>
    <w:p>
      <w:pPr>
        <w:pStyle w:val="BodyText"/>
        <w:numPr>
          <w:numId w:val="113"/>
        </w:numPr>
      </w:pPr>
      <w:r>
        <w:t xml:space="preserve">Toggle on the </w:t>
      </w:r>
      <w:r>
        <w:rPr>
          <w:rStyle w:val="InlineUI"/>
        </w:rPr>
        <w:t>Condition</w:t>
      </w:r>
      <w:r>
        <w:t xml:space="preserve"> option and add a filter for the expiry action.</w:t>
      </w:r>
    </w:p>
    <w:p>
      <w:pPr>
        <w:pStyle w:val="CodeBlock"/>
        <w:ind w:left="480"/>
      </w:pPr>
      <w:r>
        <w:t>event.data.actionName == 'Expire'</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Deployment action requested</w:t>
      </w:r>
      <w:r>
        <w:t xml:space="preserve"> event topic can be triggered by different deployment day 2 operations, such as changing the deployment lease duration. Adding the lease expiry action filter guarantees that the subscription is triggered only for expiry events.</w:t>
      </w:r>
    </w:p>
    <w:p>
      <w:pPr>
        <w:pStyle w:val="BodyText"/>
        <w:numPr>
          <w:numId w:val="113"/>
        </w:numPr>
      </w:pPr>
      <w:r>
        <w:t xml:space="preserve">Under </w:t>
      </w:r>
      <w:r>
        <w:rPr>
          <w:rStyle w:val="InlineUI"/>
        </w:rPr>
        <w:t>Workflow</w:t>
      </w:r>
      <w:r>
        <w:t xml:space="preserve">, add the </w:t>
      </w:r>
      <w:r>
        <w:t>VCF Operations orchestrator</w:t>
      </w:r>
      <w:r>
        <w:t xml:space="preserve"> workflow.</w:t>
      </w:r>
    </w:p>
    <w:p>
      <w:pPr>
        <w:pStyle w:val="BodyText"/>
        <w:ind w:left="480"/>
      </w:pPr>
      <w:r>
        <w:t xml:space="preserve">The schema of this sample workflow includes a scriptable task and a workflow element which includes the </w:t>
      </w:r>
      <w:r>
        <w:rPr>
          <w:rStyle w:val="InlineCode"/>
        </w:rPr>
        <w:t>Clone virtual machine, no customization</w:t>
      </w:r>
      <w:r>
        <w:t xml:space="preserve"> workflow which comes preconfigured with </w:t>
      </w:r>
      <w:r>
        <w:t>VCF Operations orchestrator</w:t>
      </w:r>
      <w:r>
        <w:t>. The scriptable task element includes the following sample script:</w:t>
      </w:r>
    </w:p>
    <w:p>
      <w:pPr>
        <w:pStyle w:val="CodeBlock"/>
        <w:ind w:left="480"/>
      </w:pPr>
      <w:r>
        <w:t>System.log("Lease expiry action triggered to clone a VM...")
System.log("Deployment Id is: " + inputProperties.deploymentId);
inputHeaders = new Properties();
deploymentId = inputProperties.deploymentId;
pathUriVariable = "/deployment/api/deployments/" +deploymentId +"/resources"; 
var restClient = vRAHost.createRestClient();
var request = restClient.createRequest("GET", pathUriVariable, null);
var keys = inputHeaders.keys;
for(var key in keys){
    request.setHeader(keys[key], inputHeaders.get(keys[key]));
}
var response = restClient.execute(request);
System.log("Content as string: " + response.contentAsString);
var content = response.contentAsString;
var obj = JSON.parse(content);
var object = new Properties(obj);
var contentJson = object.content;
for (var i = 0; i &lt; contentJson.length; i++) {
    var resources = contentJson[i];
    var resourceProperties = resources.properties;
    System.log("Resource name is: " + resourceProperties.resourceName)
    resourceName = resourceProperties.resourceName;
}
var query = "xpath:name='" + resourceName + "'"; 
      var vms=Server.findAllForType("VC:VirtualMachine", query); 
      vcVM=vms[0]; 
      System.log("VM input is: " + vcVM);
      dataStoreOutput = datastore
      template= true;
      name="test-vm-name"
</w:t>
      </w:r>
    </w:p>
    <w:p>
      <w:pPr>
        <w:pStyle w:val="BodyText"/>
        <w:numPr>
          <w:numId w:val="113"/>
        </w:numPr>
      </w:pPr>
      <w:r>
        <w:t>Decide whether to set the subscription as blocking or non-blocking.</w:t>
      </w:r>
    </w:p>
    <w:p>
      <w:pPr>
        <w:pStyle w:val="BodyText"/>
        <w:pBdr>
          <w:top w:val="single" w:sz="8" w:space="2" w:color="D3D3D3"/>
          <w:bottom w:val="single" w:sz="8" w:space="2" w:color="D3D3D3"/>
        </w:pBdr>
        <w:ind w:left="480"/>
      </w:pPr>
      <w:r>
        <w:rPr>
          <w:rStyle w:val="NoteLeadernote"/>
        </w:rPr>
        <w:t>Note</w:t>
        <w:tab/>
      </w:r>
      <w:r>
        <w:t>Making the subscription blocking means that the power off event for the deployment resources is triggered only after the runnable item, in this case the lease expiry workflow, finishes its run successfully. Making the subscription non-blocking means that power off event is triggered for the deployment resources regardless of the status of the workflow run.</w:t>
      </w:r>
    </w:p>
    <w:p>
      <w:pPr>
        <w:pStyle w:val="BodyText"/>
        <w:numPr>
          <w:numId w:val="113"/>
        </w:numPr>
      </w:pPr>
      <w:r>
        <w:t xml:space="preserve">To finish editing the subscription, click </w:t>
      </w:r>
      <w:r>
        <w:rPr>
          <w:rStyle w:val="InlineUI"/>
        </w:rPr>
        <w:t>Save</w:t>
      </w:r>
      <w:r>
        <w:t>.</w:t>
      </w:r>
    </w:p>
    <w:p>
      <w:pPr>
        <w:pStyle w:val="BodyText"/>
      </w:pPr>
      <w:r>
        <w:rPr>
          <w:rStyle w:val="Strong"/>
        </w:rPr>
        <w:t>What to do next</w:t>
      </w:r>
    </w:p>
    <w:p>
      <w:pPr>
        <w:pStyle w:val="BodyText"/>
      </w:pPr>
      <w:r>
        <w:t>After the subscription is triggered by the lease expiry event and the workflow run is successful, navigate to vSphere and validate that your virtual machine is converted to a blueprint.</w:t>
      </w:r>
    </w:p>
    <w:p>
      <w:pPr>
        <w:pStyle w:val="Heading2"/>
      </w:pPr>
      <w:bookmarkStart w:id="173" w:name="_Toc256000722"/>
      <w:r>
        <w:t>Managing Custom Resources in VCF Automation Blueprints</w:t>
      </w:r>
      <w:bookmarkEnd w:id="173"/>
    </w:p>
    <w:p>
      <w:pPr>
        <w:pStyle w:val="BodyText"/>
      </w:pPr>
      <w:r>
        <w:t xml:space="preserve">When you create a blueprint in </w:t>
      </w:r>
      <w:r>
        <w:t>VCF Automation</w:t>
      </w:r>
      <w:r>
        <w:t>, the resource type palette includes a number of default resource types. You might have use cases where you want to create blueprints based on an expanded list of resource types. You can create custom resource types, add them to the design canvas, and create blueprints that support your design and deployment needs.</w:t>
      </w:r>
    </w:p>
    <w:p>
      <w:pPr>
        <w:pStyle w:val="BodyText"/>
        <w:pBdr>
          <w:top w:val="single" w:sz="8" w:space="2" w:color="D3D3D3"/>
          <w:bottom w:val="single" w:sz="8" w:space="2" w:color="D3D3D3"/>
        </w:pBdr>
      </w:pPr>
      <w:r>
        <w:rPr>
          <w:rStyle w:val="NoteLeaderimportant"/>
        </w:rPr>
        <w:t>Important</w:t>
        <w:tab/>
      </w:r>
      <w:r>
        <w:t xml:space="preserve">Before you begin, ensure that a </w:t>
      </w:r>
      <w:r>
        <w:t>VCF Operations orchestrator</w:t>
      </w:r>
      <w:r>
        <w:t xml:space="preserve"> instance is associated with your organization.</w:t>
      </w:r>
    </w:p>
    <w:p>
      <w:pPr>
        <w:pStyle w:val="BodyText"/>
      </w:pPr>
      <w:r>
        <w:t>As an organization administrator, you have two ways to create custom resources.</w:t>
      </w:r>
    </w:p>
    <w:p>
      <w:pPr>
        <w:pStyle w:val="BodyText"/>
        <w:numPr>
          <w:numId w:val="114"/>
        </w:numPr>
      </w:pPr>
      <w:r>
        <w:t>VCF Operations orchestrator</w:t>
      </w:r>
      <w:r>
        <w:rPr>
          <w:rStyle w:val="InlineUI"/>
        </w:rPr>
        <w:t xml:space="preserve"> inventory type.</w:t>
      </w:r>
      <w:r>
        <w:t xml:space="preserve"> You can create custom resources based on existing </w:t>
      </w:r>
      <w:r>
        <w:t>VCF Operations orchestrator</w:t>
      </w:r>
      <w:r>
        <w:t xml:space="preserve"> inventory objects, with or without leveraging the Dynamic Types plug-in for </w:t>
      </w:r>
      <w:r>
        <w:t>VCF Operations orchestrator</w:t>
      </w:r>
      <w:r>
        <w:t xml:space="preserve">. Dynamic type is required if the desired resource does not exist out-of-the-box in </w:t>
      </w:r>
      <w:r>
        <w:t>VCF Operations orchestrator</w:t>
      </w:r>
      <w:r>
        <w:t xml:space="preserve"> as a SDK inventory object type. You can expose any </w:t>
      </w:r>
      <w:r>
        <w:t>VCF Operations orchestrator</w:t>
      </w:r>
      <w:r>
        <w:t xml:space="preserve"> resource type, be it native, provided by a plug-in in </w:t>
      </w:r>
      <w:r>
        <w:t>VCF Operations orchestrator</w:t>
      </w:r>
      <w:r>
        <w:t>, or created using the Dynamic Types plug-in.</w:t>
      </w:r>
    </w:p>
    <w:p>
      <w:pPr>
        <w:pStyle w:val="BodyText"/>
        <w:numPr>
          <w:numId w:val="114"/>
        </w:numPr>
      </w:pPr>
      <w:r>
        <w:rPr>
          <w:rStyle w:val="InlineUI"/>
        </w:rPr>
        <w:t>New schema</w:t>
      </w:r>
      <w:r>
        <w:t xml:space="preserve">. You can define custom resource types that are based on workflows with any kind of input and output. Every input and output becomes part of the schema and its value is shown in the deployment. Because this custom resource type is based on your own custom outputs instead of </w:t>
      </w:r>
      <w:r>
        <w:t>VCF Operations orchestrator</w:t>
      </w:r>
      <w:r>
        <w:t xml:space="preserve"> inventory objects, you must provide a READ workflow in addition to the Create and Delete workflows. You also define what inputs that workflow has.</w:t>
      </w:r>
    </w:p>
    <w:p>
      <w:pPr>
        <w:pStyle w:val="BodyText"/>
        <w:ind w:left="480"/>
      </w:pPr>
      <w:r>
        <w:t>For the Read and Delete workflows, you can map the inputs and outputs to schema properties. This is necessary because the schema property names might not match the input/outputs of the Read and Delete workflows.</w:t>
      </w:r>
    </w:p>
    <w:p>
      <w:pPr>
        <w:pStyle w:val="SectionHeading3"/>
      </w:pPr>
      <w:bookmarkStart w:id="174" w:name="_Toc256000723"/>
      <w:r>
        <w:t>Custom resource name and resource type</w:t>
      </w:r>
      <w:bookmarkEnd w:id="174"/>
    </w:p>
    <w:p>
      <w:pPr>
        <w:pStyle w:val="BodyText"/>
      </w:pPr>
      <w:r>
        <w:t>The custom resource name identifies your custom resource inside the blueprint resource type palette.</w:t>
      </w:r>
    </w:p>
    <w:p>
      <w:pPr>
        <w:pStyle w:val="BodyText"/>
      </w:pPr>
      <w:r>
        <w:t xml:space="preserve">The resource type of a custom resource must begin with </w:t>
      </w:r>
      <w:r>
        <w:rPr>
          <w:rStyle w:val="InlineCode"/>
        </w:rPr>
        <w:t>Custom.</w:t>
      </w:r>
      <w:r>
        <w:t xml:space="preserve"> and each resource type must be unique. Although the inclusion of </w:t>
      </w:r>
      <w:r>
        <w:rPr>
          <w:rStyle w:val="InlineCode"/>
        </w:rPr>
        <w:t>Custom.</w:t>
      </w:r>
      <w:r>
        <w:t xml:space="preserve"> is not validated in the text box, the string is automatically added if you remove it.</w:t>
      </w:r>
    </w:p>
    <w:p>
      <w:pPr>
        <w:pStyle w:val="BodyText"/>
      </w:pPr>
      <w:r>
        <w:t>To add custom resources to blueprints, you must activate the custom resource. You can make the custom resource available to blueprints associated with a single project or make it available to all projects.</w:t>
      </w:r>
    </w:p>
    <w:p>
      <w:pPr>
        <w:pStyle w:val="SectionHeading3"/>
      </w:pPr>
      <w:bookmarkStart w:id="175" w:name="_Toc256000724"/>
      <w:r>
        <w:t>Life cycle actions for custom resources</w:t>
      </w:r>
      <w:bookmarkEnd w:id="175"/>
    </w:p>
    <w:p>
      <w:pPr>
        <w:pStyle w:val="BodyText"/>
      </w:pPr>
      <w:r>
        <w:t>You define the following life cycle actions for your custom resources:</w:t>
      </w:r>
    </w:p>
    <w:p>
      <w:pPr>
        <w:pStyle w:val="BodyText"/>
        <w:numPr>
          <w:numId w:val="115"/>
        </w:numPr>
      </w:pPr>
      <w:r>
        <w:t>Create</w:t>
      </w:r>
      <w:r>
        <w:t>: this action is called when a deployment is started.</w:t>
      </w:r>
    </w:p>
    <w:p>
      <w:pPr>
        <w:pStyle w:val="BodyText"/>
        <w:numPr>
          <w:numId w:val="115"/>
        </w:numPr>
      </w:pPr>
      <w:r>
        <w:t>Read</w:t>
      </w:r>
      <w:r>
        <w:t>: this action is used to retrieve the latest state of the deployed resource. The READ workflow is run every few minutes to get the latest status of every provisioned custom resource. You also define what inputs that workflow has, for example, you can just pass the resource ID as an input. The Read action is required only for new schema-based custom resources.</w:t>
      </w:r>
    </w:p>
    <w:p>
      <w:pPr>
        <w:pStyle w:val="BodyText"/>
        <w:numPr>
          <w:numId w:val="115"/>
        </w:numPr>
      </w:pPr>
      <w:r>
        <w:t>Destroy</w:t>
      </w:r>
      <w:r>
        <w:t>: this action is called when a deployment is deleted.</w:t>
      </w:r>
    </w:p>
    <w:p>
      <w:pPr>
        <w:pStyle w:val="BodyText"/>
        <w:pBdr>
          <w:top w:val="single" w:sz="8" w:space="2" w:color="D3D3D3"/>
          <w:bottom w:val="single" w:sz="8" w:space="2" w:color="D3D3D3"/>
        </w:pBdr>
      </w:pPr>
      <w:r>
        <w:rPr>
          <w:rStyle w:val="NoteLeadernote"/>
        </w:rPr>
        <w:t>Note</w:t>
        <w:tab/>
      </w:r>
      <w:r>
        <w:t xml:space="preserve">You can edit the </w:t>
      </w:r>
      <w:r>
        <w:t>VCF Operations orchestrator</w:t>
      </w:r>
      <w:r>
        <w:t xml:space="preserve"> workflow associated with your life cycle actions by clicking the </w:t>
      </w:r>
      <w:r>
        <w:rPr>
          <w:rStyle w:val="InlineUI"/>
        </w:rPr>
        <w:t>Change</w:t>
      </w:r>
      <w:r>
        <w:t xml:space="preserve"> option for the action.</w:t>
      </w:r>
    </w:p>
    <w:p>
      <w:pPr>
        <w:pStyle w:val="SectionHeading3"/>
      </w:pPr>
      <w:bookmarkStart w:id="176" w:name="_Toc256000725"/>
      <w:r>
        <w:t>VCF Operations orchestrator custom resources</w:t>
      </w:r>
      <w:bookmarkEnd w:id="176"/>
    </w:p>
    <w:p>
      <w:pPr>
        <w:pStyle w:val="BodyText"/>
      </w:pPr>
      <w:r>
        <w:t xml:space="preserve">Each </w:t>
      </w:r>
      <w:r>
        <w:t>VCF Operations orchestrator</w:t>
      </w:r>
      <w:r>
        <w:t xml:space="preserve"> custom resource is based on a SDK inventory type and is created by a </w:t>
      </w:r>
      <w:r>
        <w:t>VCF Operations orchestrator</w:t>
      </w:r>
      <w:r>
        <w:t xml:space="preserve"> workflow that has an output which is an instance of your desired SDK type. Primitive types, such as </w:t>
      </w:r>
      <w:r>
        <w:rPr>
          <w:rStyle w:val="InlineCode"/>
        </w:rPr>
        <w:t>Properties</w:t>
      </w:r>
      <w:r>
        <w:t xml:space="preserve">, </w:t>
      </w:r>
      <w:r>
        <w:rPr>
          <w:rStyle w:val="InlineCode"/>
        </w:rPr>
        <w:t>Date</w:t>
      </w:r>
      <w:r>
        <w:t xml:space="preserve">, </w:t>
      </w:r>
      <w:r>
        <w:rPr>
          <w:rStyle w:val="InlineCode"/>
        </w:rPr>
        <w:t>string</w:t>
      </w:r>
      <w:r>
        <w:t xml:space="preserve">, and </w:t>
      </w:r>
      <w:r>
        <w:rPr>
          <w:rStyle w:val="InlineCode"/>
        </w:rPr>
        <w:t>number</w:t>
      </w:r>
      <w:r>
        <w:t xml:space="preserve"> are not supported for the creation of custom resource types.</w:t>
      </w:r>
    </w:p>
    <w:p>
      <w:pPr>
        <w:pStyle w:val="BodyText"/>
        <w:pBdr>
          <w:top w:val="single" w:sz="8" w:space="2" w:color="D3D3D3"/>
          <w:bottom w:val="single" w:sz="8" w:space="2" w:color="D3D3D3"/>
        </w:pBdr>
      </w:pPr>
      <w:r>
        <w:rPr>
          <w:rStyle w:val="NoteLeadernote"/>
        </w:rPr>
        <w:t>Note</w:t>
        <w:tab/>
      </w:r>
      <w:r>
        <w:t xml:space="preserve">SDK object types can be differentiated from other </w:t>
      </w:r>
      <w:r>
        <w:t>VCF Operations orchestrator</w:t>
      </w:r>
      <w:r>
        <w:t xml:space="preserve"> property types by the colon (":") used to separate the plug-in name and the type name.</w:t>
      </w:r>
    </w:p>
    <w:p>
      <w:pPr>
        <w:pStyle w:val="BodyText"/>
      </w:pPr>
      <w:r>
        <w:t xml:space="preserve">You can use the built-in workflows in </w:t>
      </w:r>
      <w:r>
        <w:t>VCF Operations orchestrator</w:t>
      </w:r>
      <w:r>
        <w:t xml:space="preserve">, or you can create your own. You can create custom resources by clicking on the </w:t>
      </w:r>
      <w:r>
        <w:rPr>
          <w:rStyle w:val="InlineUI"/>
        </w:rPr>
        <w:t>Resource Definition</w:t>
      </w:r>
      <w:r>
        <w:t xml:space="preserve"> option in the custom resource editor and selecting </w:t>
      </w:r>
      <w:r>
        <w:rPr>
          <w:rStyle w:val="InlineUI"/>
        </w:rPr>
        <w:t>Orchestrator inventory type</w:t>
      </w:r>
      <w:r>
        <w:t>.</w:t>
      </w:r>
    </w:p>
    <w:p>
      <w:pPr>
        <w:pStyle w:val="SectionHeading3"/>
      </w:pPr>
      <w:bookmarkStart w:id="177" w:name="_Toc256000726"/>
      <w:r>
        <w:t>New schema</w:t>
      </w:r>
      <w:bookmarkEnd w:id="177"/>
    </w:p>
    <w:p>
      <w:pPr>
        <w:pStyle w:val="BodyText"/>
      </w:pPr>
      <w:r>
        <w:t>As an alternative to dynamic types, you can also create custom resource types that are based on workflows with any kind of input and output. Every input and output becomes part of the schema and its value is shown in the deployment. Because this custom resource type is based on your own custom outputs instead of inventory objects, you must provide a READ workflow in addition to the CREATE and DELETE workflows. The READ workflow is run every few minutes to get the latest status of every provisioned custom resource. You also define what inputs that workflow has, it is not necessarily the entire resource, e.g. could just pass the ID as an input</w:t>
      </w:r>
    </w:p>
    <w:p>
      <w:pPr>
        <w:pStyle w:val="BodyText"/>
      </w:pPr>
      <w:r>
        <w:t>When selecting READ and DELETE workflows during CRT creation, you can map inputs and outputs to schema properties. This is necessary because it is possible for the schema property names not to match the input/outputs of the READ/DELETE workflow</w:t>
      </w:r>
    </w:p>
    <w:p>
      <w:pPr>
        <w:pStyle w:val="BodyText"/>
      </w:pPr>
      <w:r>
        <w:t>Need orch workflows you created as a prereq</w:t>
      </w:r>
    </w:p>
    <w:p>
      <w:pPr>
        <w:pStyle w:val="BodyText"/>
      </w:pPr>
      <w:r>
        <w:t>Output of the workflow is the same as the</w:t>
      </w:r>
    </w:p>
    <w:p>
      <w:pPr>
        <w:pStyle w:val="BodyText"/>
      </w:pPr>
      <w:r>
        <w:t>Valid output - existing output</w:t>
      </w:r>
    </w:p>
    <w:p>
      <w:pPr>
        <w:pStyle w:val="SectionHeading3"/>
      </w:pPr>
      <w:bookmarkStart w:id="178" w:name="_Toc256000727"/>
      <w:r>
        <w:t>VCF Operations orchestrator custom resource inventory type</w:t>
      </w:r>
      <w:bookmarkEnd w:id="178"/>
    </w:p>
    <w:p>
      <w:pPr>
        <w:pStyle w:val="BodyText"/>
      </w:pPr>
      <w:r>
        <w:t>The inventory type property defines the type of your custom resource.</w:t>
      </w:r>
    </w:p>
    <w:p>
      <w:pPr>
        <w:pStyle w:val="BodyText"/>
      </w:pPr>
      <w:r>
        <w:t>When you define your custom resource types, you can define the scope of the availability of the select external type. The selected external type can be:</w:t>
      </w:r>
    </w:p>
    <w:p>
      <w:pPr>
        <w:pStyle w:val="BodyText"/>
        <w:numPr>
          <w:numId w:val="116"/>
        </w:numPr>
      </w:pPr>
      <w:r>
        <w:t>Shared across projects.</w:t>
      </w:r>
    </w:p>
    <w:p>
      <w:pPr>
        <w:pStyle w:val="BodyText"/>
        <w:numPr>
          <w:numId w:val="116"/>
        </w:numPr>
      </w:pPr>
      <w:r>
        <w:t>Available only for the selected project.</w:t>
      </w:r>
    </w:p>
    <w:p>
      <w:pPr>
        <w:pStyle w:val="BodyText"/>
      </w:pPr>
      <w:r>
        <w:t xml:space="preserve">When you select a Create workflow in your custom resource type, the inventory type drop-down appears underneath it. The drop-down includes inventory type properties, that are selected from the output parameters of the </w:t>
      </w:r>
      <w:r>
        <w:t>VCF Operations orchestrator</w:t>
      </w:r>
      <w:r>
        <w:t xml:space="preserve"> workflow. The selected workflow output properties included in the drop-down must be non-array SDK object types such as </w:t>
      </w:r>
      <w:r>
        <w:rPr>
          <w:rStyle w:val="InlineCode"/>
        </w:rPr>
        <w:t>VC:VirtualMachine</w:t>
      </w:r>
      <w:r>
        <w:t>.</w:t>
      </w:r>
    </w:p>
    <w:p>
      <w:pPr>
        <w:pStyle w:val="BodyText"/>
        <w:pBdr>
          <w:top w:val="single" w:sz="8" w:space="2" w:color="D3D3D3"/>
          <w:bottom w:val="single" w:sz="8" w:space="2" w:color="D3D3D3"/>
        </w:pBdr>
      </w:pPr>
      <w:r>
        <w:rPr>
          <w:rStyle w:val="NoteLeadernote"/>
        </w:rPr>
        <w:t>Note</w:t>
        <w:tab/>
      </w:r>
      <w:r>
        <w:t xml:space="preserve">When creating custom workflows that use the dynamic type plug-in, verify that their variables are defined by using the </w:t>
      </w:r>
      <w:r>
        <w:rPr>
          <w:rStyle w:val="InlineCode"/>
        </w:rPr>
        <w:t>DynamicTypesManager.getObject()</w:t>
      </w:r>
      <w:r>
        <w:t xml:space="preserve"> method.</w:t>
      </w:r>
    </w:p>
    <w:p>
      <w:pPr>
        <w:pStyle w:val="BodyText"/>
      </w:pPr>
      <w:r>
        <w:t xml:space="preserve">You can only have one custom resource type with a specific inventory type value per defined scope. For example, if you create a custom resource in your project that uses </w:t>
      </w:r>
      <w:r>
        <w:rPr>
          <w:rStyle w:val="InlineCode"/>
        </w:rPr>
        <w:t>VC:VirtualMachine</w:t>
      </w:r>
      <w:r>
        <w:t xml:space="preserve"> as an inventory type, you cannot create another custom resource for the same project that uses the same inventory type. You also cannot create two shared custom resources that use the same inventory type.</w:t>
      </w:r>
    </w:p>
    <w:p>
      <w:pPr>
        <w:pStyle w:val="SectionHeading3"/>
      </w:pPr>
      <w:bookmarkStart w:id="179" w:name="_Toc256000728"/>
      <w:r>
        <w:t>VCF Operations orchestrator life cycle action validation</w:t>
      </w:r>
      <w:bookmarkEnd w:id="179"/>
    </w:p>
    <w:p>
      <w:pPr>
        <w:pStyle w:val="BodyText"/>
      </w:pPr>
      <w:r>
        <w:t xml:space="preserve">When you add Create, Destroy, and Read workflows as life cycle actions to your custom resource, </w:t>
      </w:r>
      <w:r>
        <w:t>VCF Operations orchestrator</w:t>
      </w:r>
      <w:r>
        <w:t xml:space="preserve"> validates that the selected workflows have correct input and output property definitions.</w:t>
      </w:r>
    </w:p>
    <w:p>
      <w:pPr>
        <w:pStyle w:val="BodyText"/>
        <w:numPr>
          <w:numId w:val="117"/>
        </w:numPr>
      </w:pPr>
      <w:r>
        <w:t xml:space="preserve">The </w:t>
      </w:r>
      <w:r>
        <w:rPr>
          <w:rStyle w:val="InlineCode"/>
        </w:rPr>
        <w:t>Create</w:t>
      </w:r>
      <w:r>
        <w:t xml:space="preserve"> workflow must have an output parameter that is an SDK object type, such as </w:t>
      </w:r>
      <w:r>
        <w:rPr>
          <w:rStyle w:val="InlineCode"/>
        </w:rPr>
        <w:t>SSH:Host</w:t>
      </w:r>
      <w:r>
        <w:t xml:space="preserve"> or </w:t>
      </w:r>
      <w:r>
        <w:rPr>
          <w:rStyle w:val="InlineCode"/>
        </w:rPr>
        <w:t>SQL:Database</w:t>
      </w:r>
      <w:r>
        <w:t>. If the selected workflow does not pass the validation, you cannot add Read or Destroy workflows, or save your changes to the custom resource. The Create workflow you select should output the desired type. For the old CR types(based on the Inventory), it is possible to create a deployment with CR by executing the create wf used in the CR as a Catalog item</w:t>
      </w:r>
    </w:p>
    <w:p>
      <w:pPr>
        <w:pStyle w:val="BodyText"/>
        <w:numPr>
          <w:numId w:val="117"/>
        </w:numPr>
      </w:pPr>
      <w:r>
        <w:t xml:space="preserve">The </w:t>
      </w:r>
      <w:r>
        <w:rPr>
          <w:rStyle w:val="InlineCode"/>
        </w:rPr>
        <w:t>Destroy</w:t>
      </w:r>
      <w:r>
        <w:t xml:space="preserve"> workflow must have an input parameter that is an SDK object type that matches the inventory type of the custom resource.</w:t>
      </w:r>
    </w:p>
    <w:p>
      <w:pPr>
        <w:pStyle w:val="BodyText"/>
        <w:numPr>
          <w:numId w:val="117"/>
        </w:numPr>
      </w:pPr>
      <w:r>
        <w:t xml:space="preserve">The </w:t>
      </w:r>
      <w:r>
        <w:rPr>
          <w:rStyle w:val="InlineCode"/>
        </w:rPr>
        <w:t>Read</w:t>
      </w:r>
      <w:r>
        <w:t xml:space="preserve"> workflow must have both an input and output parameter that is an SDK object type that matches the inventory type of the custom resource.</w:t>
      </w:r>
    </w:p>
    <w:p>
      <w:pPr>
        <w:pStyle w:val="SectionHeading3"/>
      </w:pPr>
      <w:bookmarkStart w:id="180" w:name="_Toc256000729"/>
      <w:r>
        <w:t>Custom resource property schema</w:t>
      </w:r>
      <w:bookmarkEnd w:id="180"/>
    </w:p>
    <w:p>
      <w:pPr>
        <w:pStyle w:val="BodyText"/>
      </w:pPr>
      <w:r>
        <w:t xml:space="preserve">You can edit and view the custom resource properties schema by selecting the </w:t>
      </w:r>
      <w:r>
        <w:rPr>
          <w:rStyle w:val="InlineUI"/>
        </w:rPr>
        <w:t>Schema Properties</w:t>
      </w:r>
      <w:r>
        <w:t xml:space="preserve"> tab. The schema includes the name, data type, property type, and, if it is available, the description of a given property. The schema also defines if a specific property is required or optional in the blueprint.</w:t>
      </w:r>
    </w:p>
    <w:p>
      <w:pPr>
        <w:pStyle w:val="BodyText"/>
      </w:pPr>
      <w:r>
        <w:t xml:space="preserve">When you add </w:t>
      </w:r>
      <w:r>
        <w:t>VCF Operations orchestrator</w:t>
      </w:r>
      <w:r>
        <w:t xml:space="preserve"> workflows to your custom resource, their input and output parameters are added as properties.</w:t>
      </w:r>
    </w:p>
    <w:p>
      <w:pPr>
        <w:pStyle w:val="BodyText"/>
      </w:pPr>
      <w:r>
        <w:t xml:space="preserve">From this tab, you can also modify and format the properties of your </w:t>
      </w:r>
      <w:r>
        <w:t>VCF Operations orchestrator</w:t>
      </w:r>
      <w:r>
        <w:t>-based custom resources. For example, you can change the display name of a given property, add constraints, or make it read- or write-only for the deployment.</w:t>
      </w:r>
    </w:p>
    <w:p>
      <w:pPr>
        <w:pStyle w:val="BodyText"/>
        <w:pBdr>
          <w:top w:val="single" w:sz="8" w:space="2" w:color="D3D3D3"/>
          <w:bottom w:val="single" w:sz="8" w:space="2" w:color="D3D3D3"/>
        </w:pBdr>
      </w:pPr>
      <w:r>
        <w:rPr>
          <w:rStyle w:val="NoteLeadernote"/>
        </w:rPr>
        <w:t>Note</w:t>
        <w:tab/>
      </w:r>
      <w:r>
        <w:t>When adding constraints to either the item section of array fields or properties section of objects fields in the properties schema, verify that you have validated these constraints as incorrectly applied constraints can cause issues with the custom resource. For example, when adding a maximum constraint to a numbers array, you must verify that this constraint does not break the property's default value.</w:t>
      </w:r>
    </w:p>
    <w:p>
      <w:pPr>
        <w:pStyle w:val="BodyText"/>
      </w:pPr>
      <w:r>
        <w:t xml:space="preserve">You can edit the property schema for custom resources by navigating to the </w:t>
      </w:r>
      <w:r>
        <w:rPr>
          <w:rStyle w:val="InlineUI"/>
        </w:rPr>
        <w:t>Schema Properties</w:t>
      </w:r>
      <w:r>
        <w:t xml:space="preserve"> tab and using either the </w:t>
      </w:r>
      <w:r>
        <w:rPr>
          <w:rStyle w:val="InlineUI"/>
        </w:rPr>
        <w:t>Code</w:t>
      </w:r>
      <w:r>
        <w:t xml:space="preserve"> or </w:t>
      </w:r>
      <w:r>
        <w:rPr>
          <w:rStyle w:val="InlineUI"/>
        </w:rPr>
        <w:t>Form</w:t>
      </w:r>
      <w:r>
        <w:t xml:space="preserve"> tab.</w:t>
      </w:r>
    </w:p>
    <w:p>
      <w:pPr>
        <w:pStyle w:val="BodyText"/>
        <w:numPr>
          <w:numId w:val="118"/>
        </w:numPr>
      </w:pPr>
      <w:r>
        <w:rPr>
          <w:rStyle w:val="InlineUI"/>
        </w:rPr>
        <w:t>Code</w:t>
      </w:r>
      <w:r>
        <w:t>: Edit the property schema by using YAML content. When selecting this option, the property schema is defined by using the JSON Schema.</w:t>
      </w:r>
    </w:p>
    <w:p>
      <w:pPr>
        <w:pStyle w:val="BodyText"/>
        <w:numPr>
          <w:numId w:val="118"/>
        </w:numPr>
      </w:pPr>
      <w:r>
        <w:rPr>
          <w:rStyle w:val="InlineUI"/>
        </w:rPr>
        <w:t>Form</w:t>
      </w:r>
      <w:r>
        <w:t xml:space="preserve">: Hide non-required and non-computed properties from the schema by clicking </w:t>
      </w:r>
      <w:r>
        <w:rPr>
          <w:rStyle w:val="InlineUI"/>
        </w:rPr>
        <w:t>Remove Property</w:t>
      </w:r>
      <w:r>
        <w:t>.</w:t>
      </w:r>
    </w:p>
    <w:p>
      <w:pPr>
        <w:pStyle w:val="SectionHeading3"/>
      </w:pPr>
      <w:bookmarkStart w:id="181" w:name="_Toc256000730"/>
      <w:r>
        <w:t>Day 2 Operation Custom Request Forms</w:t>
      </w:r>
      <w:bookmarkEnd w:id="181"/>
    </w:p>
    <w:p>
      <w:pPr>
        <w:pStyle w:val="BodyText"/>
      </w:pPr>
      <w:r>
        <w:t>You can streamline the request form of the day 2 operations included in your custom resource by adding and modifying different types of resource properties.</w:t>
      </w:r>
    </w:p>
    <w:p>
      <w:pPr>
        <w:pStyle w:val="BodyText"/>
      </w:pPr>
      <w:r>
        <w:t xml:space="preserve">For example, you can bind the value of an input parameter in your request form to an external source, such as a </w:t>
      </w:r>
      <w:r>
        <w:t>VCF Operations orchestrator</w:t>
      </w:r>
      <w:r>
        <w:t xml:space="preserve"> action that retrieves a deployment name or project name. You can also bind the value of a specific input parameter to the computed value of two other text boxes included in the same request form.</w:t>
      </w:r>
    </w:p>
    <w:p>
      <w:pPr>
        <w:pStyle w:val="BodyText"/>
        <w:pBdr>
          <w:top w:val="single" w:sz="8" w:space="2" w:color="D3D3D3"/>
          <w:bottom w:val="single" w:sz="8" w:space="2" w:color="D3D3D3"/>
        </w:pBdr>
      </w:pPr>
      <w:r>
        <w:rPr>
          <w:rStyle w:val="NoteLeadernote"/>
        </w:rPr>
        <w:t>Note</w:t>
        <w:tab/>
      </w:r>
      <w:r>
        <w:t xml:space="preserve">This functionality is available for both custom resources and resource actions. You can customize the value of the input properties of your request form from the </w:t>
      </w:r>
      <w:r>
        <w:rPr>
          <w:rStyle w:val="InlineUI"/>
        </w:rPr>
        <w:t>Values</w:t>
      </w:r>
      <w:r>
        <w:t xml:space="preserve"> tab of the </w:t>
      </w:r>
      <w:r>
        <w:rPr>
          <w:rStyle w:val="InlineUI"/>
        </w:rPr>
        <w:t>Request Parameters</w:t>
      </w:r>
      <w:r>
        <w:t xml:space="preserve"> page of the custom resource or resource action editor.</w:t>
      </w:r>
    </w:p>
    <w:p>
      <w:pPr>
        <w:pStyle w:val="SectionHeading3"/>
      </w:pPr>
      <w:bookmarkStart w:id="182" w:name="_Toc256000731"/>
      <w:r>
        <w:t>Day 2 Operation Request Form Validation</w:t>
      </w:r>
      <w:bookmarkEnd w:id="182"/>
    </w:p>
    <w:p>
      <w:pPr>
        <w:pStyle w:val="BodyText"/>
      </w:pPr>
      <w:r>
        <w:t xml:space="preserve">You can validate the request form of your day 2 operations by adding an external validation. By using an external validation, you prevent the user from submitting the request form until the validation parameters are satisfied. You can add external validation from the </w:t>
      </w:r>
      <w:r>
        <w:rPr>
          <w:rStyle w:val="InlineUI"/>
        </w:rPr>
        <w:t>Validations</w:t>
      </w:r>
      <w:r>
        <w:t xml:space="preserve"> tab of the </w:t>
      </w:r>
      <w:r>
        <w:rPr>
          <w:rStyle w:val="InlineUI"/>
        </w:rPr>
        <w:t>Request Parameters</w:t>
      </w:r>
      <w:r>
        <w:t xml:space="preserve"> page of the custom resource or resource action editor. After selecting the tab, you can drag an </w:t>
      </w:r>
      <w:r>
        <w:rPr>
          <w:rStyle w:val="InlineUI"/>
        </w:rPr>
        <w:t>Orchestrator validation</w:t>
      </w:r>
      <w:r>
        <w:t xml:space="preserve"> element to the canvas and add a </w:t>
      </w:r>
      <w:r>
        <w:t>VCF Operations orchestrator</w:t>
      </w:r>
      <w:r>
        <w:t xml:space="preserve"> action that you want to use for validation.</w:t>
      </w:r>
    </w:p>
    <w:p>
      <w:pPr>
        <w:pStyle w:val="BodyText"/>
      </w:pPr>
      <w:r>
        <w:t xml:space="preserve">For example, you can create a custom resource that includes a day 2 operation for changing a user password. For such a use case, you can add a </w:t>
      </w:r>
      <w:r>
        <w:t>VCF Operations orchestrator</w:t>
      </w:r>
      <w:r>
        <w:t xml:space="preserve"> action with </w:t>
      </w:r>
      <w:r>
        <w:rPr>
          <w:rStyle w:val="InlineCode"/>
        </w:rPr>
        <w:t>newPassword</w:t>
      </w:r>
      <w:r>
        <w:t xml:space="preserve"> and </w:t>
      </w:r>
      <w:r>
        <w:rPr>
          <w:rStyle w:val="InlineCode"/>
        </w:rPr>
        <w:t>confirmPassword</w:t>
      </w:r>
      <w:r>
        <w:t xml:space="preserve"> input parameters that use the </w:t>
      </w:r>
      <w:r>
        <w:rPr>
          <w:rStyle w:val="InlineCode"/>
        </w:rPr>
        <w:t>SecureString</w:t>
      </w:r>
      <w:r>
        <w:t xml:space="preserve"> type.</w:t>
      </w:r>
    </w:p>
    <w:p>
      <w:pPr>
        <w:pStyle w:val="BodyText"/>
        <w:pBdr>
          <w:top w:val="single" w:sz="8" w:space="2" w:color="D3D3D3"/>
          <w:bottom w:val="single" w:sz="8" w:space="2" w:color="D3D3D3"/>
        </w:pBdr>
      </w:pPr>
      <w:r>
        <w:rPr>
          <w:rStyle w:val="NoteLeadernote"/>
        </w:rPr>
        <w:t>Note</w:t>
        <w:tab/>
      </w:r>
      <w:r>
        <w:t>This is a sample script for validating a user password. For your own use case, you can decide to use a different script.</w:t>
      </w:r>
    </w:p>
    <w:p>
      <w:pPr>
        <w:pStyle w:val="CodeBlock"/>
      </w:pPr>
      <w:r>
        <w:t>if (newPassword != confirmPassword) {
    return 'passwords are different';
}
if (newPassword.lenght &lt; 7) {
    return 'password must be at least 10 symbols';
}
return null;</w:t>
      </w:r>
    </w:p>
    <w:p>
      <w:pPr>
        <w:pStyle w:val="Heading2"/>
      </w:pPr>
      <w:bookmarkStart w:id="183" w:name="Bb776d62f234c4634a752083e7cb6a9d5"/>
      <w:bookmarkStart w:id="184" w:name="_Toc256000732"/>
      <w:r>
        <w:t>Managing Policies in VCF Automation</w:t>
      </w:r>
      <w:bookmarkEnd w:id="184"/>
      <w:bookmarkEnd w:id="183"/>
    </w:p>
    <w:p>
      <w:pPr>
        <w:pStyle w:val="BodyText"/>
      </w:pPr>
      <w:r>
        <w:t xml:space="preserve">Governance is one of the key aspects of building a cloud-like experience for an organization. In the </w:t>
      </w:r>
      <w:r>
        <w:t>VCF Automation</w:t>
      </w:r>
      <w:r>
        <w:t xml:space="preserve"> organization portal, application teams can use the self-service catalog and the services console to provision resources depending on their project needs and permissions. As an organization administrator, you can impose guardrails around those provisioning requests. You use </w:t>
      </w:r>
      <w:r>
        <w:t>VCF Automation</w:t>
      </w:r>
      <w:r>
        <w:t xml:space="preserve"> policies to enforce the governance through approval workflows and policy templates. Each </w:t>
      </w:r>
      <w:r>
        <w:t>VCF Automation</w:t>
      </w:r>
      <w:r>
        <w:t xml:space="preserve"> policy is a set of rules or parameters that are applied to </w:t>
      </w:r>
      <w:r>
        <w:t>VCF Automation</w:t>
      </w:r>
      <w:r>
        <w:t xml:space="preserve"> projects to govern deployment requests from application teams, freeing the organization administrator for other tasks.</w:t>
      </w:r>
    </w:p>
    <w:p>
      <w:pPr>
        <w:pStyle w:val="SectionHeading3"/>
      </w:pPr>
      <w:bookmarkStart w:id="185" w:name="_Toc256000733"/>
      <w:r>
        <w:t>Policy Types</w:t>
      </w:r>
      <w:bookmarkEnd w:id="185"/>
    </w:p>
    <w:p>
      <w:pPr>
        <w:pStyle w:val="BodyText"/>
      </w:pPr>
      <w:r>
        <w:t xml:space="preserve">There are two general categories of policies you can create in </w:t>
      </w:r>
      <w:r>
        <w:t>VCF Automation</w:t>
      </w:r>
      <w:r>
        <w:t>:</w:t>
      </w:r>
    </w:p>
    <w:p>
      <w:pPr>
        <w:pStyle w:val="BodyText"/>
        <w:numPr>
          <w:numId w:val="119"/>
        </w:numPr>
      </w:pPr>
      <w:r>
        <w:t>Policies that can be applied to catalog requests.</w:t>
      </w:r>
    </w:p>
    <w:p>
      <w:pPr>
        <w:pStyle w:val="BodyText"/>
        <w:numPr>
          <w:ilvl w:val="1"/>
          <w:numId w:val="119"/>
        </w:numPr>
      </w:pPr>
      <w:r>
        <w:t xml:space="preserve">Approval Policy. Approval Policy adds a layer of governance before the requested resources can be deployed, approvers need to provide their acceptance Approval policies control who must approve resource deployment before the request is provisioned. If an approval policy is configured, approvers can view the list under the </w:t>
      </w:r>
      <w:r>
        <w:rPr>
          <w:rStyle w:val="InlineUI"/>
        </w:rPr>
        <w:t>Inbox</w:t>
      </w:r>
      <w:r>
        <w:t xml:space="preserve"> section for pending requests for their approval.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B3a291e033b9f40e68938b437714d9fb7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Approval Policies in VCF Automation</w:t>
      </w:r>
      <w:r>
        <w:fldChar w:fldCharType="end"/>
      </w:r>
      <w:r>
        <w:t>.</w:t>
      </w:r>
    </w:p>
    <w:p>
      <w:pPr>
        <w:pStyle w:val="BodyText"/>
        <w:numPr>
          <w:ilvl w:val="1"/>
          <w:numId w:val="119"/>
        </w:numPr>
      </w:pPr>
      <w:r>
        <w:t xml:space="preserve">Day 2 Action Policy. Day 2 Action policies control what group of users can run the selected actions on deployed resources.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B12cf39e402284d36ba13746746652f1a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Day 2 Action Policies in VCF Automation</w:t>
      </w:r>
      <w:r>
        <w:fldChar w:fldCharType="end"/>
      </w:r>
      <w:r>
        <w:t>.</w:t>
      </w:r>
    </w:p>
    <w:p>
      <w:pPr>
        <w:pStyle w:val="BodyText"/>
        <w:numPr>
          <w:ilvl w:val="1"/>
          <w:numId w:val="119"/>
        </w:numPr>
      </w:pPr>
      <w:r>
        <w:t xml:space="preserve">Lease Policy. Lease policies define the maximum amount of time a deployment can exist. When a deployment expires, it is destroyed and its resources are reclaimed. Lease Policy reduces the need for the organization administrator to intervene manually to reclaim resources, allowing administrators to specify when they want deployed resources to expire.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Be5329f0ef4b342a48e0fff0126fe55ef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Lease Policies in VCF Automation</w:t>
      </w:r>
      <w:r>
        <w:fldChar w:fldCharType="end"/>
      </w:r>
      <w:r>
        <w:t>.</w:t>
      </w:r>
    </w:p>
    <w:p>
      <w:pPr>
        <w:pStyle w:val="BodyText"/>
        <w:numPr>
          <w:numId w:val="119"/>
        </w:numPr>
      </w:pPr>
      <w:r>
        <w:t>Policies can be applied to IaaS Services requests.</w:t>
      </w:r>
    </w:p>
    <w:p>
      <w:pPr>
        <w:pStyle w:val="BodyText"/>
        <w:numPr>
          <w:ilvl w:val="1"/>
          <w:numId w:val="119"/>
        </w:numPr>
      </w:pPr>
      <w:r>
        <w:t xml:space="preserve">IaaS Resource Policy. To govern application teams' requests to provision IaaS services, like Virtual Machine, Kubernetes Cluster, organization administrators can configure IaaS Resource policies to have granular control on the type of provisioned resources and their configurations. IaaS Resource policies offer policy- as-code capability to enforce custom constraints on IaaS resources, beyond the built-in policy templates. Modifying the policy template would need knowledge Common Expression Language (CEL) is used in the Kubernetes API.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Bc4affca5880c4ecb9e950d485af40d78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IaaS Resource Policies in VCF Automation</w:t>
      </w:r>
      <w:r>
        <w:fldChar w:fldCharType="end"/>
      </w:r>
      <w:r>
        <w:t>.</w:t>
      </w:r>
    </w:p>
    <w:p>
      <w:pPr>
        <w:pStyle w:val="SectionHeading3"/>
      </w:pPr>
      <w:bookmarkStart w:id="186" w:name="_Toc256000734"/>
      <w:r>
        <w:t>Policy Scope and Criteria</w:t>
      </w:r>
      <w:bookmarkEnd w:id="186"/>
    </w:p>
    <w:p>
      <w:pPr>
        <w:pStyle w:val="BodyText"/>
      </w:pPr>
      <w:r>
        <w:t>VCF Automation</w:t>
      </w:r>
      <w:r>
        <w:t xml:space="preserve"> policies can be scoped to the entire organization or a selection of projects in the organization. Organization administrators can further refine the policy scope by defining policy criteria. For example, to apply a policy to all the deployments except the deployments named pipeline test, add criteria and construct an expression similar to </w:t>
      </w:r>
      <w:r>
        <w:rPr>
          <w:rStyle w:val="InlineCode"/>
        </w:rPr>
        <w:t>name not equal to pipeline test</w:t>
      </w:r>
      <w:r>
        <w:t xml:space="preserve">. Policy criteria can be based on project name, namespace name, namespace class, and so on. For details on constructing policy criteria,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B89f087cf2afb4b489d576910fd1e9a13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Deployment Criteria in Policies in VCF Automation</w:t>
      </w:r>
      <w:r>
        <w:fldChar w:fldCharType="end"/>
      </w:r>
      <w:r>
        <w:t>.</w:t>
      </w:r>
    </w:p>
    <w:p>
      <w:pPr>
        <w:pStyle w:val="BodyText"/>
      </w:pPr>
      <w:r>
        <w:t>Organization administrators can configure multiple policies for resources, projects, or namespaces. First, policies are evaluated, ranked, and, where applicable, merged to produce an effective policy.</w:t>
      </w:r>
    </w:p>
    <w:p>
      <w:pPr>
        <w:pStyle w:val="BodyText"/>
      </w:pPr>
      <w:r>
        <w:t xml:space="preserve">On the </w:t>
      </w:r>
      <w:r>
        <w:rPr>
          <w:rStyle w:val="InlineUI"/>
        </w:rPr>
        <w:t>Policies</w:t>
      </w:r>
      <w:r>
        <w:t xml:space="preserve"> page, organization administrators can create new policies, delete any policy which is no longer required, view a list of policies defined in the organization, view policy assignments and an enforcement list.</w:t>
      </w:r>
      <w:r>
        <w:t>Policy Definition.</w:t>
      </w:r>
    </w:p>
    <w:p>
      <w:pPr>
        <w:pStyle w:val="BodyText"/>
        <w:numPr>
          <w:numId w:val="120"/>
        </w:numPr>
      </w:pPr>
      <w:r>
        <w:t xml:space="preserve">A list of all the policies defined for your organization. You can view policy details or delete a policy which is no longer required. To create a new policy, click </w:t>
      </w:r>
      <w:r>
        <w:rPr>
          <w:rStyle w:val="InlineUI"/>
        </w:rPr>
        <w:t>New Policy</w:t>
      </w:r>
      <w:r>
        <w:t xml:space="preserve"> and select one of the policy types.</w:t>
      </w:r>
    </w:p>
    <w:p>
      <w:pPr>
        <w:pStyle w:val="BodyText"/>
        <w:numPr>
          <w:numId w:val="120"/>
        </w:numPr>
      </w:pPr>
      <w:r>
        <w:t>On the Policy Assignment tab, you can view policies that are effectively applied to resources, namespaces, and projects, based on the defined policy criteria.</w:t>
      </w:r>
    </w:p>
    <w:p>
      <w:pPr>
        <w:pStyle w:val="BodyText"/>
        <w:numPr>
          <w:numId w:val="120"/>
        </w:numPr>
      </w:pPr>
      <w:r>
        <w:t>. Use the Policy Enforcement tab to audit when policies are applied. It lists enforcement date, policy name, and policy status.</w:t>
      </w:r>
    </w:p>
    <w:p>
      <w:pPr>
        <w:pStyle w:val="BodyText"/>
      </w:pPr>
      <w:r>
        <w:t>Any policy that you add is applied to current deployments and any new deployments.</w:t>
      </w:r>
    </w:p>
    <w:p>
      <w:pPr>
        <w:pStyle w:val="BodyText"/>
      </w:pPr>
      <w:r>
        <w:t>To get you started, use the full use cases that are provided for each policy type. The use cases guide you through the process of creating more than one policy. The use case provides contextual explanations of the choices and the desired behavior.</w:t>
      </w:r>
    </w:p>
    <w:p>
      <w:pPr>
        <w:pStyle w:val="BodyText"/>
      </w:pPr>
      <w:r>
        <w:t>The use cases are followed by more in-depth information about how multiple policies are processed.</w:t>
      </w:r>
    </w:p>
    <w:p>
      <w:pPr>
        <w:pStyle w:val="Heading3"/>
      </w:pPr>
      <w:bookmarkStart w:id="187" w:name="B3a291e033b9f40e68938b437714d9fb7"/>
      <w:bookmarkStart w:id="188" w:name="_Toc256000735"/>
      <w:r>
        <w:t>Configure Approval Policies in VCF Automation</w:t>
      </w:r>
      <w:bookmarkEnd w:id="188"/>
      <w:bookmarkEnd w:id="187"/>
    </w:p>
    <w:p>
      <w:pPr>
        <w:pStyle w:val="BodyText"/>
      </w:pPr>
      <w:r>
        <w:t>Approval policies are a level of governance that you add to exercise control over deployment and day 2 action requests before they are run. You define approval policies so that you, or others that you designate, review requests before resources are consumed or destroyed. The approval policy use cases in this procedure are an introduction that you can use as you explore your governance options.</w:t>
      </w:r>
    </w:p>
    <w:p>
      <w:pPr>
        <w:pStyle w:val="BodyText"/>
      </w:pPr>
      <w:r>
        <w:t>If you have only a small team adding and deploying catalog items, then approval policies might be less useful. But as you make the catalog available to a larger group of developers and general consumers, you can use the approval policies to ensure that someone reviews a request before the resources are consumed or changes are made to the provisioned items.</w:t>
      </w:r>
    </w:p>
    <w:p>
      <w:pPr>
        <w:pStyle w:val="BodyText"/>
      </w:pPr>
      <w:r>
        <w:t>For example, you have a catalog item that is important, but it consumes a significant amount of resources. You want one of your IT administrators to review any deployment requests to ensure that the request is needed. Another example applies to day 2 actions. Making changes to a deployment that is used by many might be devastating. You want the project administrator who manages the deployment for that team to review all changes to the deployed catalog instance.</w:t>
      </w:r>
    </w:p>
    <w:p>
      <w:pPr>
        <w:pStyle w:val="SectionHeading4"/>
      </w:pPr>
      <w:bookmarkStart w:id="189" w:name="_Toc256000736"/>
      <w:r>
        <w:t>Who works with or is affected by approval policies</w:t>
      </w:r>
      <w:bookmarkEnd w:id="189"/>
    </w:p>
    <w:p>
      <w:pPr>
        <w:pStyle w:val="BodyText"/>
        <w:numPr>
          <w:numId w:val="121"/>
        </w:numPr>
      </w:pPr>
      <w:r>
        <w:t>Organization administrator. Configures the policies.</w:t>
      </w:r>
    </w:p>
    <w:p>
      <w:pPr>
        <w:pStyle w:val="BodyText"/>
        <w:numPr>
          <w:numId w:val="121"/>
        </w:numPr>
      </w:pPr>
      <w:r>
        <w:t>Catalog consumers. Users who request catalog items or day 2 actions to which one or more policies apply.</w:t>
      </w:r>
    </w:p>
    <w:p>
      <w:pPr>
        <w:pStyle w:val="BodyText"/>
        <w:numPr>
          <w:numId w:val="121"/>
        </w:numPr>
      </w:pPr>
      <w:r>
        <w:t xml:space="preserve">Users deploying blueprints in </w:t>
      </w:r>
      <w:r>
        <w:t>VCF Automation</w:t>
      </w:r>
      <w:r>
        <w:t>. Users who request blueprints or day 2 actions to which one or more policies apply.</w:t>
      </w:r>
    </w:p>
    <w:p>
      <w:pPr>
        <w:pStyle w:val="BodyText"/>
        <w:numPr>
          <w:numId w:val="121"/>
        </w:numPr>
      </w:pPr>
      <w:r>
        <w:t>Designated approvers. Users who must review and then approve or reject a request. You can grant approver rights to selected users and user groups, or you can choose from the following approver roles.</w:t>
      </w:r>
    </w:p>
    <w:p>
      <w:pPr>
        <w:pStyle w:val="BodyText"/>
        <w:numPr>
          <w:ilvl w:val="1"/>
          <w:numId w:val="121"/>
        </w:numPr>
      </w:pPr>
      <w:r>
        <w:t>Project Administrators. Administrators of projects within the policy scope are automatically assigned as approvers. If a project does not have a dedicated administrator, the approval policy is not applied to that project.</w:t>
      </w:r>
    </w:p>
    <w:p>
      <w:pPr>
        <w:pStyle w:val="BodyText"/>
        <w:numPr>
          <w:ilvl w:val="1"/>
          <w:numId w:val="121"/>
        </w:numPr>
      </w:pPr>
      <w:r>
        <w:t>Project Auditor. Members of projects within the policy scope who are assigned the Auditor role. Auditor access rights are limited to approving and rejecting deployment requests for a project. If a project does not have a dedicated auditor, the approval policy is not applied to that project.</w:t>
      </w:r>
    </w:p>
    <w:p>
      <w:pPr>
        <w:pStyle w:val="SectionHeading4"/>
      </w:pPr>
      <w:bookmarkStart w:id="190" w:name="_Toc256000737"/>
      <w:r>
        <w:t>What happens when approval policies are enforced</w:t>
      </w:r>
      <w:bookmarkEnd w:id="190"/>
    </w:p>
    <w:p>
      <w:pPr>
        <w:pStyle w:val="BodyText"/>
      </w:pPr>
      <w:r>
        <w:t xml:space="preserve">Multiple approval policies might be enforceable. The approval policies are evaluated, and an enforced policy is applied to the request. When there are multiple valid policies, where the approvers are different people, all the approvers are added. When you have multiple policies, it is important to understand this process. For more information, see </w:t>
      </w:r>
      <w:r>
        <w:t>Approval policy goals and enforcement examples</w:t>
      </w:r>
      <w:r>
        <w:t>.</w:t>
      </w:r>
    </w:p>
    <w:p>
      <w:pPr>
        <w:pStyle w:val="BodyText"/>
        <w:numPr>
          <w:numId w:val="122"/>
        </w:numPr>
      </w:pPr>
      <w:r>
        <w:t>Approval policies are defined.</w:t>
      </w:r>
    </w:p>
    <w:p>
      <w:pPr>
        <w:pStyle w:val="BodyText"/>
        <w:numPr>
          <w:numId w:val="122"/>
        </w:numPr>
      </w:pPr>
      <w:r>
        <w:t xml:space="preserve">A user requests a catalog item or day 2 action. At request time, </w:t>
      </w:r>
      <w:r>
        <w:t>VCF Automation</w:t>
      </w:r>
      <w:r>
        <w:t xml:space="preserve"> evaluates the catalog item to see if any policies apply.</w:t>
      </w:r>
    </w:p>
    <w:p>
      <w:pPr>
        <w:pStyle w:val="BodyText"/>
        <w:numPr>
          <w:numId w:val="122"/>
        </w:numPr>
      </w:pPr>
      <w:r>
        <w:t>An approval policy is enforced.</w:t>
      </w:r>
    </w:p>
    <w:p>
      <w:pPr>
        <w:pStyle w:val="BodyText"/>
        <w:numPr>
          <w:ilvl w:val="1"/>
          <w:numId w:val="122"/>
        </w:numPr>
      </w:pPr>
      <w:r>
        <w:t>The deploy card displays the status. For example, Create - Approval Pending.</w:t>
      </w:r>
    </w:p>
    <w:p>
      <w:pPr>
        <w:pStyle w:val="BodyText"/>
        <w:numPr>
          <w:ilvl w:val="1"/>
          <w:numId w:val="122"/>
        </w:numPr>
      </w:pPr>
      <w:r>
        <w:t>An email notification is sent to the requester.</w:t>
      </w:r>
    </w:p>
    <w:p>
      <w:pPr>
        <w:pStyle w:val="BodyText"/>
        <w:numPr>
          <w:ilvl w:val="1"/>
          <w:numId w:val="122"/>
        </w:numPr>
      </w:pPr>
      <w:r>
        <w:t>An email notification is sent to the approvers.</w:t>
      </w:r>
    </w:p>
    <w:p>
      <w:pPr>
        <w:pStyle w:val="BodyText"/>
        <w:ind w:left="960"/>
      </w:pPr>
      <w:r>
        <w:t>The deployment does not begin deploying and consuming infrastructure resources, or make changes to a deployed system, until the request is approved. The requesting user is notified by email that the request is waiting for approval.</w:t>
      </w:r>
    </w:p>
    <w:p>
      <w:pPr>
        <w:pStyle w:val="BodyText"/>
        <w:numPr>
          <w:ilvl w:val="1"/>
          <w:numId w:val="122"/>
        </w:numPr>
      </w:pPr>
      <w:r>
        <w:t>The approvers respond to the request using the Approvals page.</w:t>
      </w:r>
    </w:p>
    <w:p>
      <w:pPr>
        <w:pStyle w:val="BodyText"/>
        <w:numPr>
          <w:numId w:val="122"/>
        </w:numPr>
      </w:pPr>
      <w:r>
        <w:t>The approval process is completed.</w:t>
      </w:r>
    </w:p>
    <w:p>
      <w:pPr>
        <w:pStyle w:val="BodyText"/>
        <w:numPr>
          <w:ilvl w:val="1"/>
          <w:numId w:val="122"/>
        </w:numPr>
      </w:pPr>
      <w:r>
        <w:t>If the request is rejected, the requesting user is notified and the deployment request is canceled.</w:t>
      </w:r>
    </w:p>
    <w:p>
      <w:pPr>
        <w:pStyle w:val="BodyText"/>
        <w:numPr>
          <w:ilvl w:val="1"/>
          <w:numId w:val="122"/>
        </w:numPr>
      </w:pPr>
      <w:r>
        <w:t>If the request is approved, the deployment proceeds.</w:t>
      </w:r>
    </w:p>
    <w:p>
      <w:pPr>
        <w:pStyle w:val="BodyText"/>
        <w:numPr>
          <w:ilvl w:val="1"/>
          <w:numId w:val="122"/>
        </w:numPr>
      </w:pPr>
      <w:r>
        <w:t>It is possible that the enforced policy is configured to automatically approve or reject a request if the approver does not take any action.</w:t>
      </w:r>
    </w:p>
    <w:p>
      <w:pPr>
        <w:pStyle w:val="SectionHeading4"/>
      </w:pPr>
      <w:bookmarkStart w:id="191" w:name="_Toc256000738"/>
      <w:r>
        <w:t>How can I use the deployment criteria</w:t>
      </w:r>
      <w:bookmarkEnd w:id="191"/>
    </w:p>
    <w:p>
      <w:pPr>
        <w:pStyle w:val="BodyText"/>
      </w:pPr>
      <w:r>
        <w:t xml:space="preserve">To limit what items or activities the policy applies to, you can define the deployment criteria. For more about the criteria,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B89f087cf2afb4b489d576910fd1e9a13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Deployment Criteria in Policies in VCF Automation</w:t>
      </w:r>
      <w:r>
        <w:fldChar w:fldCharType="end"/>
      </w:r>
      <w:r>
        <w:t>.</w:t>
      </w:r>
    </w:p>
    <w:p>
      <w:pPr>
        <w:pStyle w:val="SectionHeading4"/>
      </w:pPr>
      <w:bookmarkStart w:id="192" w:name="_Toc256000739"/>
      <w:r>
        <w:t>Prerequisites</w:t>
      </w:r>
      <w:bookmarkEnd w:id="192"/>
    </w:p>
    <w:p>
      <w:pPr>
        <w:pStyle w:val="BodyText"/>
        <w:numPr>
          <w:numId w:val="123"/>
        </w:numPr>
      </w:pPr>
      <w:r>
        <w:t>An approver who must have the Organization User role.</w:t>
      </w:r>
    </w:p>
    <w:p>
      <w:pPr>
        <w:pStyle w:val="BodyText"/>
        <w:ind w:left="480"/>
      </w:pPr>
      <w:r>
        <w:t>This role provides the minimum level of permissions and still allows them to approve or reject a request.</w:t>
      </w:r>
    </w:p>
    <w:p>
      <w:pPr>
        <w:pStyle w:val="BodyText"/>
        <w:numPr>
          <w:numId w:val="123"/>
        </w:numPr>
      </w:pPr>
      <w:r>
        <w:t xml:space="preserve">Verify that the email notification server is defined.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B097459994e044a2283fd07c6916893f5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Email Server in VCF Automation to Send Notifications</w:t>
      </w:r>
      <w:r>
        <w:fldChar w:fldCharType="end"/>
      </w:r>
      <w:r>
        <w:t>.</w:t>
      </w:r>
    </w:p>
    <w:p>
      <w:pPr>
        <w:pStyle w:val="SectionHeading4"/>
      </w:pPr>
      <w:bookmarkStart w:id="193" w:name="_Toc256000740"/>
      <w:r>
        <w:t>Procedure</w:t>
      </w:r>
      <w:bookmarkEnd w:id="193"/>
    </w:p>
    <w:p>
      <w:pPr>
        <w:pStyle w:val="BodyText"/>
      </w:pPr>
      <w:r>
        <w:t>As you review the approval policies use case and create your own policy, consult the signpost help on the key text boxes for more information.</w:t>
      </w:r>
    </w:p>
    <w:p>
      <w:pPr>
        <w:pStyle w:val="BodyText"/>
        <w:numPr>
          <w:numId w:val="124"/>
        </w:numPr>
      </w:pPr>
      <w:r>
        <w:t xml:space="preserve">Select </w:t>
      </w:r>
      <w:r>
        <w:rPr>
          <w:rStyle w:val="InlineUI"/>
        </w:rPr>
        <w:t>Manage &amp; Govern</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Approval Policy</w:t>
      </w:r>
      <w:r>
        <w:t>.</w:t>
      </w:r>
    </w:p>
    <w:p>
      <w:pPr>
        <w:pStyle w:val="BodyText"/>
        <w:numPr>
          <w:numId w:val="124"/>
        </w:numPr>
      </w:pPr>
      <w:r>
        <w:t>Configure Approval Policy 1.</w:t>
      </w:r>
    </w:p>
    <w:p>
      <w:pPr>
        <w:pStyle w:val="BodyText"/>
        <w:ind w:left="480"/>
      </w:pPr>
      <w:r>
        <w:t>As an administrator, you have an important catalog item that also consumes a significant amount of your resources. You want several managers to review any deployment requests to ensure that the request is really needed and that the resources exist to support it.</w:t>
      </w:r>
    </w:p>
    <w:p>
      <w:pPr>
        <w:pStyle w:val="BodyText"/>
        <w:numPr>
          <w:ilvl w:val="1"/>
          <w:numId w:val="124"/>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25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all projects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Catalog Item equals CompanyApplication</w:t>
            </w:r>
          </w:p>
        </w:tc>
      </w:tr>
    </w:tbl>
    <w:p>
      <w:pPr>
        <w:pStyle w:val="BodyText"/>
        <w:numPr>
          <w:ilvl w:val="1"/>
          <w:numId w:val="124"/>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2"/>
        <w:gridCol w:w="752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User based</w:t>
            </w:r>
            <w:r>
              <w:t>.</w:t>
            </w:r>
          </w:p>
          <w:p>
            <w:pPr>
              <w:pStyle w:val="TableBodyText"/>
            </w:pPr>
            <w:r>
              <w:t>You select the users and user groups who are the request approvers.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All</w:t>
            </w:r>
          </w:p>
          <w:p>
            <w:pPr>
              <w:pStyle w:val="TableBodyText"/>
            </w:pPr>
            <w:r>
              <w:t>You want all your IT managers to agree that the deployment request does not waste resources.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Approvers</w:t>
            </w:r>
          </w:p>
        </w:tc>
        <w:tc>
          <w:tcPr>
            <w:tcBorders>
              <w:left w:val="nil"/>
              <w:right w:val="nil"/>
            </w:tcBorders>
          </w:tcPr>
          <w:p>
            <w:pPr>
              <w:pStyle w:val="TableBodyText"/>
            </w:pPr>
            <w:r>
              <w:t>{GroupName1}@YourCompany, {ApproverName1}@YourCompany, {ApproverName2}@YourCompany</w:t>
            </w:r>
          </w:p>
          <w:p>
            <w:pPr>
              <w:pStyle w:val="TableBodyText"/>
            </w:pPr>
            <w:r>
              <w:t>The approval request is sent to all members of the user group. Only one member of the group must approve the request. If one approver rejects the request, the request is denied and the user is notified.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p>
            <w:pPr>
              <w:pStyle w:val="TableBodyText"/>
            </w:pPr>
            <w:r>
              <w:t xml:space="preserve">The request will be automatically rejected after the number of days specified under </w:t>
            </w:r>
            <w:r>
              <w:rPr>
                <w:rStyle w:val="InlineUI"/>
              </w:rPr>
              <w:t>Auto expiry trigger</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3</w:t>
            </w:r>
          </w:p>
          <w:p>
            <w:pPr>
              <w:pStyle w:val="TableBodyText"/>
            </w:pPr>
            <w:r>
              <w:t xml:space="preserve">The number of days that the approvers have to respond before the action under </w:t>
            </w:r>
            <w:r>
              <w:rPr>
                <w:rStyle w:val="InlineUI"/>
              </w:rPr>
              <w:t>Auto expiry decision</w:t>
            </w:r>
            <w:r>
              <w:t xml:space="preserve"> is triggered.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w:t>
            </w:r>
          </w:p>
          <w:p>
            <w:pPr>
              <w:pStyle w:val="TableBodyText"/>
            </w:pPr>
            <w:r>
              <w:t>You can select one or more actions that this policy applies to.</w:t>
            </w:r>
          </w:p>
        </w:tc>
      </w:tr>
    </w:tbl>
    <w:p>
      <w:pPr>
        <w:pStyle w:val="BodyText"/>
        <w:spacing w:before="240"/>
      </w:pPr>
      <w:r>
        <w:t>In this scenario, if any catalog consumer requests this catalog item, Approver 1, Approver 2, and any one member of User Group 1 must approve the request within 3 days or the request is rejected.</w:t>
      </w:r>
    </w:p>
    <w:p>
      <w:pPr>
        <w:pStyle w:val="BodyText"/>
        <w:numPr>
          <w:numId w:val="124"/>
        </w:numPr>
      </w:pPr>
      <w:r>
        <w:t>Configure Approval Policy 2.</w:t>
      </w:r>
    </w:p>
    <w:p>
      <w:pPr>
        <w:pStyle w:val="BodyText"/>
        <w:ind w:left="480"/>
      </w:pPr>
      <w:r>
        <w:t>As an administrator, you have a project where you want the project administrators to approve any changes to deployments that might have catastrophic consequences. For example, deleting the deployment.</w:t>
      </w:r>
    </w:p>
    <w:p>
      <w:pPr>
        <w:pStyle w:val="BodyText"/>
        <w:ind w:left="480"/>
      </w:pPr>
      <w:r>
        <w:t>Define when the approval policy is valid.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718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w:t>
            </w:r>
          </w:p>
          <w:p>
            <w:pPr>
              <w:pStyle w:val="TableBodyText"/>
            </w:pPr>
            <w:r>
              <w:t>The policy is applied to deployments associated with the project you selected.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124"/>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9"/>
        <w:gridCol w:w="737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Role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role</w:t>
            </w:r>
          </w:p>
        </w:tc>
        <w:tc>
          <w:tcPr>
            <w:tcBorders>
              <w:left w:val="nil"/>
              <w:right w:val="nil"/>
            </w:tcBorders>
          </w:tcPr>
          <w:p>
            <w:pPr>
              <w:pStyle w:val="TableBodyText"/>
            </w:pPr>
            <w:r>
              <w:t>Project Administrators</w:t>
            </w:r>
          </w:p>
          <w:p>
            <w:pPr>
              <w:pStyle w:val="TableBodyText"/>
            </w:pPr>
            <w:r>
              <w:t>If a project does not have a dedicated administrator, the approval policy is not applied to requests associated with that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7</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Deployment.Delete, Deployment.PowerOff, Deployment.Update, and any of the component-specific power, reboot, and delete actions.</w:t>
            </w:r>
          </w:p>
        </w:tc>
      </w:tr>
    </w:tbl>
    <w:p>
      <w:pPr>
        <w:pStyle w:val="BodyText"/>
        <w:spacing w:before="240"/>
      </w:pPr>
      <w:r>
        <w:t>In this scenario, when a member of one of the scoped projects submits a request to run the listed actions on a deployment, the request is rejected after seven days if the project administrator does not respond.</w:t>
      </w:r>
    </w:p>
    <w:p>
      <w:pPr>
        <w:pStyle w:val="BodyText"/>
        <w:numPr>
          <w:numId w:val="124"/>
        </w:numPr>
      </w:pPr>
      <w:r>
        <w:t>Configure Approval Policy 3.</w:t>
      </w:r>
    </w:p>
    <w:p>
      <w:pPr>
        <w:pStyle w:val="BodyText"/>
        <w:ind w:left="480"/>
      </w:pPr>
      <w:r>
        <w:t>As an administrator, you want to maintain a little control over resource consumption. For example, when a user requests a catalog item where the size is large, you want to evaluate and approve the request. Size is defined by the flavor mappings.</w:t>
      </w:r>
    </w:p>
    <w:p>
      <w:pPr>
        <w:pStyle w:val="BodyText"/>
        <w:numPr>
          <w:ilvl w:val="1"/>
          <w:numId w:val="124"/>
        </w:numPr>
      </w:pPr>
      <w:r>
        <w:t>Define when the approval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13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Resources has any
Flavor equals large</w:t>
            </w:r>
          </w:p>
        </w:tc>
      </w:tr>
    </w:tbl>
    <w:p>
      <w:pPr>
        <w:pStyle w:val="BodyText"/>
        <w:numPr>
          <w:ilvl w:val="1"/>
          <w:numId w:val="124"/>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9"/>
        <w:gridCol w:w="743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User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Approvers</w:t>
            </w:r>
          </w:p>
        </w:tc>
        <w:tc>
          <w:tcPr>
            <w:tcBorders>
              <w:left w:val="nil"/>
              <w:right w:val="nil"/>
            </w:tcBorders>
          </w:tcPr>
          <w:p>
            <w:pPr>
              <w:pStyle w:val="TableBodyText"/>
            </w:pPr>
            <w:r>
              <w:t>{AdminName}@YourCompany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p>
            <w:pPr>
              <w:pStyle w:val="TableBodyText"/>
            </w:pPr>
            <w:r>
              <w:t>The possible consumption of your cloud resources means that you do not want to inadvertently deploy the item without approval.</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5</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 and any applicable *.Machine.Resize actions. For example, CCI.Supervisor.Resource.VirtualMachine.Resize.</w:t>
            </w:r>
          </w:p>
        </w:tc>
      </w:tr>
    </w:tbl>
    <w:p>
      <w:pPr>
        <w:pStyle w:val="BodyText"/>
        <w:spacing w:before="240"/>
      </w:pPr>
      <w:r>
        <w:t>In this scenario, when any user submits a request for a large deployment or to resize a deployment to large, the request is rejected after 5 days if the cloud administrator does not respond.</w:t>
      </w:r>
    </w:p>
    <w:p>
      <w:pPr>
        <w:pStyle w:val="SectionHeading4"/>
      </w:pPr>
      <w:bookmarkStart w:id="194" w:name="_Toc256000741"/>
      <w:r>
        <w:t>What to do next</w:t>
      </w:r>
      <w:bookmarkEnd w:id="194"/>
    </w:p>
    <w:p>
      <w:pPr>
        <w:pStyle w:val="BodyText"/>
        <w:numPr>
          <w:numId w:val="125"/>
        </w:numPr>
      </w:pPr>
      <w:r>
        <w:t xml:space="preserve">For more information about how approval policies are processed, see </w:t>
      </w:r>
      <w:r>
        <w:t>Approval policy goals and enforcement examples</w:t>
      </w:r>
      <w:r>
        <w:t>.</w:t>
      </w:r>
    </w:p>
    <w:p>
      <w:pPr>
        <w:pStyle w:val="Heading3"/>
      </w:pPr>
      <w:bookmarkStart w:id="195" w:name="B12cf39e402284d36ba13746746652f1a"/>
      <w:bookmarkStart w:id="196" w:name="_Toc256000742"/>
      <w:r>
        <w:t>Configure Day 2 Action Policies in VCF Automation</w:t>
      </w:r>
      <w:bookmarkEnd w:id="196"/>
      <w:bookmarkEnd w:id="195"/>
    </w:p>
    <w:p>
      <w:pPr>
        <w:pStyle w:val="BodyText"/>
      </w:pPr>
      <w:r>
        <w:t>You define day 2 action policies so that you can control what changes your users can make to deployments and their component resources. By creating a list of permitted actions that all or some users can run on deployments, you ensure that the users cannot initiate any destructive or costly changes. The use cases related to day 2 actions policies are an introduction to the procedure.</w:t>
      </w:r>
    </w:p>
    <w:p>
      <w:pPr>
        <w:pStyle w:val="BodyText"/>
      </w:pPr>
      <w:r>
        <w:t>When you entitle users to run day 2 actions, you select the individual actions that they can run. You are creating an inclusion list, not an exclusion list.</w:t>
      </w:r>
    </w:p>
    <w:p>
      <w:pPr>
        <w:pStyle w:val="SectionHeading4"/>
      </w:pPr>
      <w:bookmarkStart w:id="197" w:name="_Toc256000743"/>
      <w:r>
        <w:t>When does a day 2 actions policy go into effect</w:t>
      </w:r>
      <w:bookmarkEnd w:id="197"/>
    </w:p>
    <w:p>
      <w:pPr>
        <w:pStyle w:val="BodyText"/>
        <w:numPr>
          <w:numId w:val="126"/>
        </w:numPr>
      </w:pPr>
      <w:r>
        <w:t xml:space="preserve">If you do not have any Day 2 Action policies defined, then no governance is applied and all users have access to all the actions. This initial lack of governance as you are starting out ensures that you and your users can exercise the day two actions in </w:t>
      </w:r>
      <w:r>
        <w:t>VCF Automation</w:t>
      </w:r>
      <w:r>
        <w:t xml:space="preserve"> without the need to understand day 2 policies.</w:t>
      </w:r>
    </w:p>
    <w:p>
      <w:pPr>
        <w:pStyle w:val="BodyText"/>
        <w:numPr>
          <w:numId w:val="126"/>
        </w:numPr>
      </w:pPr>
      <w:r>
        <w:t xml:space="preserve">After you determine that you are ready to control who has access to what actions, you add governance in the form of a single Day 2 Action policy. When the first policy goes into effect, the Day 2 Action policies are enforced for all users in </w:t>
      </w:r>
      <w:r>
        <w:t>VCF Automation</w:t>
      </w:r>
      <w:r>
        <w:t>. As a result, only the users for whom the first policy is true can run the selected actions. All others are excluded. They are excluded because the actions policies include the trusted users. By excluding all others, you are able to craft the policies to match your governance goals.</w:t>
      </w:r>
    </w:p>
    <w:p>
      <w:pPr>
        <w:pStyle w:val="BodyText"/>
        <w:numPr>
          <w:numId w:val="126"/>
        </w:numPr>
      </w:pPr>
      <w:r>
        <w:t>To entitle other users, you must create policies that entitle them to run the actions you select.</w:t>
      </w:r>
    </w:p>
    <w:p>
      <w:pPr>
        <w:pStyle w:val="SectionHeading4"/>
      </w:pPr>
      <w:bookmarkStart w:id="198" w:name="_Toc256000744"/>
      <w:r>
        <w:t>When are day 2 actions policies applied</w:t>
      </w:r>
      <w:bookmarkEnd w:id="198"/>
    </w:p>
    <w:p>
      <w:pPr>
        <w:pStyle w:val="BodyText"/>
      </w:pPr>
      <w:r>
        <w:t>To focus when the Day 2 Actions policies are applied, you can configure scope, role, and criteria. These configurations control what deployments the policy is applied to and who can run the actions when the policy is enforced.</w:t>
      </w:r>
    </w:p>
    <w:p>
      <w:pPr>
        <w:pStyle w:val="BodyText"/>
        <w:numPr>
          <w:numId w:val="127"/>
        </w:numPr>
      </w:pPr>
      <w:r>
        <w:t>What deployments the policy is applied to.</w:t>
      </w:r>
    </w:p>
    <w:p>
      <w:pPr>
        <w:pStyle w:val="BodyText"/>
        <w:numPr>
          <w:ilvl w:val="1"/>
          <w:numId w:val="127"/>
        </w:numPr>
      </w:pPr>
      <w:r>
        <w:t>Scope determines whether the policy is applied to deployments at the organization or project level.</w:t>
      </w:r>
    </w:p>
    <w:p>
      <w:pPr>
        <w:pStyle w:val="BodyText"/>
        <w:numPr>
          <w:ilvl w:val="1"/>
          <w:numId w:val="127"/>
        </w:numPr>
      </w:pPr>
      <w:r>
        <w:t>Criteria narrow the scope of the policy to particular aspects of deployments.</w:t>
      </w:r>
    </w:p>
    <w:p>
      <w:pPr>
        <w:pStyle w:val="BodyText"/>
        <w:numPr>
          <w:numId w:val="127"/>
        </w:numPr>
      </w:pPr>
      <w:r>
        <w:t>Who can run what actions on those deployments.</w:t>
      </w:r>
    </w:p>
    <w:p>
      <w:pPr>
        <w:pStyle w:val="BodyText"/>
        <w:numPr>
          <w:ilvl w:val="1"/>
          <w:numId w:val="127"/>
        </w:numPr>
      </w:pPr>
      <w:r>
        <w:t>Role entitles the members of the selected role, within the selected scope and criteria, to run the selected actions. The role can be project administrator, project advanced user, project user, or a named custom role.</w:t>
      </w:r>
    </w:p>
    <w:p>
      <w:pPr>
        <w:pStyle w:val="BodyText"/>
      </w:pPr>
      <w:r>
        <w:t>Day 2 policies are enforced when a user tries to manage a deployment using the Actions menu on the deployment or on the component resources.</w:t>
      </w:r>
    </w:p>
    <w:p>
      <w:pPr>
        <w:pStyle w:val="SectionHeading4"/>
      </w:pPr>
      <w:bookmarkStart w:id="199" w:name="_Toc256000745"/>
      <w:r>
        <w:t>Selecting day 2 actions</w:t>
      </w:r>
      <w:bookmarkEnd w:id="199"/>
    </w:p>
    <w:p>
      <w:pPr>
        <w:pStyle w:val="BodyText"/>
      </w:pPr>
      <w:r>
        <w:t>As you review the day 2 actions policies use case, you must also select the actions. You must select the actions that support your deployments.</w:t>
      </w:r>
    </w:p>
    <w:p>
      <w:pPr>
        <w:pStyle w:val="SectionHeading4"/>
      </w:pPr>
      <w:bookmarkStart w:id="200" w:name="_Toc256000746"/>
      <w:r>
        <w:t>Prerequisites</w:t>
      </w:r>
      <w:bookmarkEnd w:id="200"/>
    </w:p>
    <w:p>
      <w:pPr>
        <w:pStyle w:val="BodyText"/>
        <w:numPr>
          <w:numId w:val="128"/>
        </w:numPr>
      </w:pPr>
      <w:r>
        <w:t xml:space="preserve">For a list of possible actions,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B97530b4807e14552aa8dbe0f4cb0738b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Day 2 Actions on Catalog-Provisioned Resources Provided with VCF Automation</w:t>
      </w:r>
      <w:r>
        <w:fldChar w:fldCharType="end"/>
      </w:r>
      <w:r>
        <w:t>.</w:t>
      </w:r>
    </w:p>
    <w:p>
      <w:pPr>
        <w:pStyle w:val="BodyText"/>
        <w:numPr>
          <w:numId w:val="128"/>
        </w:numPr>
      </w:pPr>
      <w:r>
        <w:t xml:space="preserve">For more information about constructing deployment criteria,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B89f087cf2afb4b489d576910fd1e9a13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Deployment Criteria in Policies in VCF Automation</w:t>
      </w:r>
      <w:r>
        <w:fldChar w:fldCharType="end"/>
      </w:r>
      <w:r>
        <w:t>.</w:t>
      </w:r>
    </w:p>
    <w:p>
      <w:pPr>
        <w:pStyle w:val="SectionHeading4"/>
      </w:pPr>
      <w:bookmarkStart w:id="201" w:name="_Toc256000747"/>
      <w:r>
        <w:t>Procedure</w:t>
      </w:r>
      <w:bookmarkEnd w:id="201"/>
    </w:p>
    <w:p>
      <w:pPr>
        <w:pStyle w:val="BodyText"/>
        <w:numPr>
          <w:numId w:val="129"/>
        </w:numPr>
      </w:pPr>
      <w:r>
        <w:t xml:space="preserve">Select </w:t>
      </w:r>
      <w:r>
        <w:rPr>
          <w:rStyle w:val="InlineUI"/>
        </w:rPr>
        <w:t>Manage and Govern</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Day 2 Actions Policy</w:t>
      </w:r>
      <w:r>
        <w:t>.</w:t>
      </w:r>
    </w:p>
    <w:p>
      <w:pPr>
        <w:pStyle w:val="BodyText"/>
        <w:numPr>
          <w:numId w:val="129"/>
        </w:numPr>
      </w:pPr>
      <w:r>
        <w:t>Configure Day 2 Policy 1.</w:t>
      </w:r>
    </w:p>
    <w:p>
      <w:pPr>
        <w:pStyle w:val="BodyText"/>
        <w:ind w:left="480"/>
      </w:pPr>
      <w:r>
        <w:t>As an administrator, you want to control storage costs by restricting the ability of users to request snapshots.</w:t>
      </w:r>
    </w:p>
    <w:p>
      <w:pPr>
        <w:pStyle w:val="BodyText"/>
        <w:numPr>
          <w:ilvl w:val="1"/>
          <w:numId w:val="129"/>
        </w:numPr>
      </w:pPr>
      <w:r>
        <w:t xml:space="preserve">Define when the policy is valid.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6"/>
        <w:gridCol w:w="726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applied to all deployments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the snapshot actions that override this policy.</w:t>
            </w:r>
          </w:p>
          <w:p>
            <w:pPr>
              <w:pStyle w:val="TableBodyText"/>
            </w:pPr>
            <w:r>
              <w:t>Soft policies are overridden by hard policies.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bl>
    <w:p>
      <w:pPr>
        <w:pStyle w:val="BodyText"/>
        <w:numPr>
          <w:ilvl w:val="1"/>
          <w:numId w:val="129"/>
        </w:numPr>
        <w:spacing w:before="240"/>
      </w:pPr>
      <w:r>
        <w:t>Select the actions that the users can run, but do not select any snapshot actions.</w:t>
      </w:r>
    </w:p>
    <w:p>
      <w:pPr>
        <w:pStyle w:val="BodyText"/>
        <w:ind w:left="960"/>
      </w:pPr>
      <w:r>
        <w:t>You explicitly entitle users to run actions. To exclude users from running snapshot actions, ensure that the actions are not selected.</w:t>
      </w:r>
    </w:p>
    <w:p>
      <w:pPr>
        <w:pStyle w:val="BodyText"/>
        <w:ind w:left="480"/>
      </w:pPr>
      <w:r>
        <w:t>In this scenario, none of the project members in your organization are entitled to create snapshots. Nor can your project administrators. Your next step is to create a policy that entitles the project administrators to create and manage snapshots.</w:t>
      </w:r>
    </w:p>
    <w:p>
      <w:pPr>
        <w:pStyle w:val="BodyText"/>
        <w:numPr>
          <w:numId w:val="129"/>
        </w:numPr>
      </w:pPr>
      <w:r>
        <w:t>Configure Day 2 Policy 2.</w:t>
      </w:r>
    </w:p>
    <w:p>
      <w:pPr>
        <w:pStyle w:val="BodyText"/>
        <w:ind w:left="480"/>
      </w:pPr>
      <w:r>
        <w:t xml:space="preserve">As an administrator, you want to give the project administrators the ability to create and manage snapshots. </w:t>
      </w:r>
    </w:p>
    <w:p>
      <w:pPr>
        <w:pStyle w:val="BodyText"/>
        <w:numPr>
          <w:ilvl w:val="1"/>
          <w:numId w:val="129"/>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4"/>
        <w:gridCol w:w="726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all deployments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the snapshot actions that override this policy.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Administrator</w:t>
            </w:r>
          </w:p>
          <w:p>
            <w:pPr>
              <w:pStyle w:val="TableBodyText"/>
            </w:pPr>
            <w:r>
              <w:t>This role applies the policy to the project administrators.</w:t>
            </w:r>
          </w:p>
        </w:tc>
      </w:tr>
    </w:tbl>
    <w:p>
      <w:pPr>
        <w:pStyle w:val="BodyText"/>
        <w:numPr>
          <w:ilvl w:val="1"/>
          <w:numId w:val="129"/>
        </w:numPr>
        <w:spacing w:before="240"/>
      </w:pPr>
      <w:r>
        <w:t>Select the snapshot actions that you want the administrators to run.</w:t>
      </w:r>
    </w:p>
    <w:p>
      <w:pPr>
        <w:pStyle w:val="BodyText"/>
        <w:ind w:left="960"/>
      </w:pPr>
      <w:r>
        <w:t>Project administrators are also entitled to run any actions that the members of their projects are entitled to run. You do not need to give them permission to member actions.</w:t>
      </w:r>
    </w:p>
    <w:p>
      <w:pPr>
        <w:pStyle w:val="BodyText"/>
        <w:ind w:left="480"/>
      </w:pPr>
      <w:r>
        <w:t>In this scenario, the project administrators are entitled to run the snapshot-related actions and all the actions that their project members are entitled to run.</w:t>
      </w:r>
    </w:p>
    <w:p>
      <w:pPr>
        <w:pStyle w:val="BodyText"/>
        <w:numPr>
          <w:numId w:val="129"/>
        </w:numPr>
      </w:pPr>
      <w:r>
        <w:t>Configure Day 2 Policy 3.</w:t>
      </w:r>
    </w:p>
    <w:p>
      <w:pPr>
        <w:pStyle w:val="BodyText"/>
        <w:ind w:left="480"/>
      </w:pPr>
      <w:r>
        <w:t>As a project administrator, you have two developers who are doing work that potentially makes a deployment unusable. You want to entitle them to snapshot and revert without your intervention. You entitle the two project members to use the snapshot actions.</w:t>
      </w:r>
    </w:p>
    <w:p>
      <w:pPr>
        <w:pStyle w:val="BodyText"/>
        <w:numPr>
          <w:ilvl w:val="1"/>
          <w:numId w:val="129"/>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3"/>
        <w:gridCol w:w="735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is applied to deployments associated with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Catalog Item equals Multi-tier five machine with LB</w:t>
            </w:r>
          </w:p>
          <w:p>
            <w:pPr>
              <w:pStyle w:val="TableBodyText"/>
            </w:pPr>
            <w:r>
              <w:t>Based on this criteria expression, only the deployments for a catalog item named Multi-tier five machine with LB are considered for policy enforcement.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Hard</w:t>
            </w:r>
          </w:p>
          <w:p>
            <w:pPr>
              <w:pStyle w:val="TableBodyText"/>
            </w:pPr>
            <w:r>
              <w:t>This enforcement type ensures that the policy is enforced based on the definition.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User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Users</w:t>
            </w:r>
          </w:p>
        </w:tc>
        <w:tc>
          <w:tcPr>
            <w:tcBorders>
              <w:left w:val="nil"/>
              <w:right w:val="nil"/>
            </w:tcBorders>
          </w:tcPr>
          <w:p>
            <w:pPr>
              <w:pStyle w:val="TableBodyText"/>
            </w:pPr>
            <w:r>
              <w:t>Add users.</w:t>
            </w:r>
          </w:p>
          <w:p>
            <w:pPr>
              <w:pStyle w:val="TableBodyText"/>
            </w:pPr>
            <w:r>
              <w:t>jan@mycompany.com, kris@mycompany.com</w:t>
            </w:r>
          </w:p>
          <w:p>
            <w:pPr>
              <w:pStyle w:val="TableBodyText"/>
            </w:pPr>
            <w:r>
              <w:t>Only the deployments where Jan or Kris deployed a catalog item are considered for policy enforcement.</w:t>
            </w:r>
          </w:p>
        </w:tc>
      </w:tr>
    </w:tbl>
    <w:p>
      <w:pPr>
        <w:pStyle w:val="BodyText"/>
        <w:numPr>
          <w:ilvl w:val="1"/>
          <w:numId w:val="129"/>
        </w:numPr>
        <w:spacing w:before="240"/>
      </w:pPr>
      <w:r>
        <w:t>Select the snapshot actions that you want the specified users to run.</w:t>
      </w:r>
    </w:p>
    <w:p>
      <w:pPr>
        <w:pStyle w:val="BodyText"/>
        <w:ind w:left="960"/>
      </w:pPr>
      <w:r>
        <w:t>Project administrators are also entitled to run any actions that the members of their projects are entitled to run.</w:t>
      </w:r>
    </w:p>
    <w:p>
      <w:pPr>
        <w:pStyle w:val="BodyText"/>
        <w:ind w:left="960"/>
      </w:pPr>
      <w:r>
        <w:t>You do not need to give them the permissions that you give the owners.</w:t>
      </w:r>
    </w:p>
    <w:p>
      <w:pPr>
        <w:pStyle w:val="BodyText"/>
        <w:ind w:left="480"/>
      </w:pPr>
      <w:r>
        <w:t>In this scenario, Jan and Kris can use the snapshot actions on the Multi-tier 5 Machines with LB catalog item that either of them deploy. Although other members of the project can see the deployment, only Jan, Kris, and the project administrator can use the snapshot actions.</w:t>
      </w:r>
    </w:p>
    <w:p>
      <w:pPr>
        <w:pStyle w:val="SectionHeading4"/>
      </w:pPr>
      <w:bookmarkStart w:id="202" w:name="_Toc256000748"/>
      <w:r>
        <w:t>What to do next</w:t>
      </w:r>
      <w:bookmarkEnd w:id="202"/>
    </w:p>
    <w:p>
      <w:pPr>
        <w:pStyle w:val="BodyText"/>
        <w:numPr>
          <w:numId w:val="130"/>
        </w:numPr>
      </w:pPr>
      <w:r>
        <w:t xml:space="preserve">For more examples of how the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B90623158a4354e079a3426757ae0aa40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w:t>
      </w:r>
      <w:r>
        <w:fldChar w:fldCharType="end"/>
      </w:r>
      <w:r>
        <w:t>.</w:t>
      </w:r>
    </w:p>
    <w:p>
      <w:pPr>
        <w:pStyle w:val="BodyText"/>
        <w:numPr>
          <w:numId w:val="130"/>
        </w:numPr>
      </w:pPr>
      <w:r>
        <w:t>Configure policies that are relevant to your organizations and projects.</w:t>
      </w:r>
    </w:p>
    <w:p>
      <w:pPr>
        <w:pStyle w:val="Heading4"/>
      </w:pPr>
      <w:bookmarkStart w:id="203" w:name="B97530b4807e14552aa8dbe0f4cb0738b"/>
      <w:bookmarkStart w:id="204" w:name="_Toc256000749"/>
      <w:r>
        <w:t>Day 2 Actions on Catalog-Provisioned Resources Provided with VCF Automation</w:t>
      </w:r>
      <w:bookmarkEnd w:id="204"/>
      <w:bookmarkEnd w:id="203"/>
    </w:p>
    <w:p>
      <w:pPr>
        <w:pStyle w:val="BodyText"/>
      </w:pPr>
      <w:r>
        <w:t>After deploying catalog items, users can run day 2 actions to modify and manage the resources. The available actions depend on the resource type and whether the action is supported on a particular namespace.</w:t>
      </w:r>
    </w:p>
    <w:p>
      <w:pPr>
        <w:pStyle w:val="Heading3"/>
      </w:pPr>
      <w:bookmarkStart w:id="205" w:name="Be5329f0ef4b342a48e0fff0126fe55ef"/>
      <w:bookmarkStart w:id="206" w:name="_Toc256000750"/>
      <w:r>
        <w:t>Configure Lease Policies in VCF Automation</w:t>
      </w:r>
      <w:bookmarkEnd w:id="206"/>
      <w:bookmarkEnd w:id="205"/>
    </w:p>
    <w:p>
      <w:pPr>
        <w:pStyle w:val="BodyText"/>
      </w:pPr>
      <w:r>
        <w:t>By using policy-based leases, you reduce the need to intervene manually to reclaim resources. You define lease policies so that you can control the amount of time that a deployment is available to your users. The lease policy use cases in this procedure provide a beginning point for learning about and implementing policies for your organization.</w:t>
      </w:r>
    </w:p>
    <w:p>
      <w:pPr>
        <w:pStyle w:val="BodyText"/>
      </w:pPr>
      <w:r>
        <w:t>If you do not have any lease policies defined, then the deployments never expire. To reclaim the resources, you must manually destroy the deployments.</w:t>
      </w:r>
    </w:p>
    <w:p>
      <w:pPr>
        <w:pStyle w:val="SectionHeading4"/>
      </w:pPr>
      <w:bookmarkStart w:id="207" w:name="_Toc256000751"/>
      <w:r>
        <w:t>When does a lease policy go into effect</w:t>
      </w:r>
      <w:bookmarkEnd w:id="207"/>
    </w:p>
    <w:p>
      <w:pPr>
        <w:pStyle w:val="BodyText"/>
        <w:numPr>
          <w:numId w:val="131"/>
        </w:numPr>
      </w:pPr>
      <w:r>
        <w:t>If the policy scope is Organization, then all the deployments in your organization are managed based on the defined policies.</w:t>
      </w:r>
    </w:p>
    <w:p>
      <w:pPr>
        <w:pStyle w:val="BodyText"/>
        <w:numPr>
          <w:numId w:val="131"/>
        </w:numPr>
      </w:pPr>
      <w:r>
        <w:t>If the policy scope is a project, then the deployments that are associated with that project are managed based on the defined lease. Other projects are not affected.</w:t>
      </w:r>
    </w:p>
    <w:p>
      <w:pPr>
        <w:pStyle w:val="SectionHeading4"/>
      </w:pPr>
      <w:bookmarkStart w:id="208" w:name="_Toc256000752"/>
      <w:r>
        <w:t>When are lease policies applied</w:t>
      </w:r>
      <w:bookmarkEnd w:id="208"/>
    </w:p>
    <w:p>
      <w:pPr>
        <w:pStyle w:val="BodyText"/>
      </w:pPr>
      <w:r>
        <w:t>Lease policies are applied when you:</w:t>
      </w:r>
    </w:p>
    <w:p>
      <w:pPr>
        <w:pStyle w:val="BodyText"/>
        <w:numPr>
          <w:numId w:val="132"/>
        </w:numPr>
      </w:pPr>
      <w:r>
        <w:t>Create or update a lease policy. After lease policies are applied, they continuously evaluate the deployments in the background to ensure that they are in compliance with the defined leases.</w:t>
      </w:r>
    </w:p>
    <w:p>
      <w:pPr>
        <w:pStyle w:val="BodyText"/>
        <w:numPr>
          <w:numId w:val="132"/>
        </w:numPr>
      </w:pPr>
      <w:r>
        <w:t>Request a catalog item. The maximum lease and maximum total lease values go into effect when the deployment is created.</w:t>
      </w:r>
    </w:p>
    <w:p>
      <w:pPr>
        <w:pStyle w:val="SectionHeading4"/>
      </w:pPr>
      <w:bookmarkStart w:id="209" w:name="_Toc256000753"/>
      <w:r>
        <w:t>Lease-specific options</w:t>
      </w:r>
      <w:bookmarkEnd w:id="209"/>
    </w:p>
    <w:p>
      <w:pPr>
        <w:pStyle w:val="BodyText"/>
      </w:pPr>
      <w:r>
        <w:t>As you review the lease policies use case, you must also configure lease-specific options. The following descriptions provide a brief summary. Consult the signpost help for more information.</w:t>
      </w:r>
    </w:p>
    <w:p>
      <w:pPr>
        <w:pStyle w:val="BodyText"/>
        <w:numPr>
          <w:numId w:val="133"/>
        </w:numPr>
      </w:pPr>
      <w:r>
        <w:t>Maximum Lease (days). The number of days that the deployment resources are active without being renewed. If they are not renewed, the lease expires and the deployment is destroyed. If a grace period is specified, the user can renew the lease for up to the same number of days that the lease has been active.</w:t>
      </w:r>
    </w:p>
    <w:p>
      <w:pPr>
        <w:pStyle w:val="BodyText"/>
        <w:numPr>
          <w:numId w:val="133"/>
        </w:numPr>
      </w:pPr>
      <w:r>
        <w:t>Maximum Total Lease (days). The combined total number of days that the deployment can be active, including lease renewals. Each renewal cannot exceed the maximum lease, and the cumulative renewal value cannot exceed the maximum total lease. After the total lease is reached, the deployment is destroyed and the resources within that deployment are reclaimed.</w:t>
      </w:r>
    </w:p>
    <w:p>
      <w:pPr>
        <w:pStyle w:val="BodyText"/>
        <w:numPr>
          <w:numId w:val="133"/>
        </w:numPr>
      </w:pPr>
      <w:r>
        <w:t>Grace period (days). The number of days the user has to renew an expired lease before the deployment is destroyed. The grace period is not included in the total lease days. If you don't define a grace period, it defaults to 1 day.</w:t>
      </w:r>
    </w:p>
    <w:p>
      <w:pPr>
        <w:pStyle w:val="SectionHeading4"/>
      </w:pPr>
      <w:bookmarkStart w:id="210" w:name="_Toc256000754"/>
      <w:r>
        <w:t>What happens when I update an existing lease policy</w:t>
      </w:r>
      <w:bookmarkEnd w:id="210"/>
    </w:p>
    <w:p>
      <w:pPr>
        <w:pStyle w:val="BodyText"/>
      </w:pPr>
      <w:r>
        <w:t>You can increase the maximum lease, the maximum total lease, and the grace period of your lease policies. The updated policy is applied to new deployments only.</w:t>
      </w:r>
    </w:p>
    <w:p>
      <w:pPr>
        <w:pStyle w:val="BodyText"/>
      </w:pPr>
      <w:r>
        <w:t>Note that increasing the policy parameters does not extend the expiry date of existing deployments. Existing deployments expire on the same date as originally scheduled.</w:t>
      </w:r>
    </w:p>
    <w:p>
      <w:pPr>
        <w:pStyle w:val="BodyText"/>
      </w:pPr>
      <w:r>
        <w:t>If you decrease the lease values, however, the deployment expiry date is affected and existing deployments expire earlier than originally scheduled.</w:t>
      </w:r>
    </w:p>
    <w:p>
      <w:pPr>
        <w:pStyle w:val="SectionHeading4"/>
      </w:pPr>
      <w:bookmarkStart w:id="211" w:name="_Toc256000755"/>
      <w:r>
        <w:t>What happens when a deployment expires</w:t>
      </w:r>
      <w:bookmarkEnd w:id="211"/>
    </w:p>
    <w:p>
      <w:pPr>
        <w:pStyle w:val="BodyText"/>
      </w:pPr>
      <w:r>
        <w:t>When a deployment is about to expire, the deploying user receives an email notification. If the user doesn't extend the lease, the deployment expires and is scheduled for deletion. The deployment owner can see the scheduled deletion date in the deployment details. If the deletion date is set to Soon, then the deployment is already queued for deletion.</w:t>
      </w:r>
    </w:p>
    <w:p>
      <w:pPr>
        <w:pStyle w:val="BodyText"/>
      </w:pPr>
      <w:r>
        <w:t xml:space="preserve">Expired virtual machines are powered off within several minutes after expiry. Unless the lease is extended, a powered-off machine can't be powered back on in </w:t>
      </w:r>
      <w:r>
        <w:t>VCF Automation</w:t>
      </w:r>
      <w:r>
        <w:t xml:space="preserve">. The machine can be powered back on manually in the original environment, in which case </w:t>
      </w:r>
      <w:r>
        <w:t>VCF Automation</w:t>
      </w:r>
      <w:r>
        <w:t xml:space="preserve"> registers the machine as powered on. Even though the deployment is already expired, the machine is not automatically powered off for a second time until the grace period of the lease policy is elapsed and the deployment is deleted.</w:t>
      </w:r>
    </w:p>
    <w:p>
      <w:pPr>
        <w:pStyle w:val="SectionHeading4"/>
      </w:pPr>
      <w:bookmarkStart w:id="212" w:name="_Toc256000756"/>
      <w:r>
        <w:t>Procedure</w:t>
      </w:r>
      <w:bookmarkEnd w:id="212"/>
    </w:p>
    <w:p>
      <w:pPr>
        <w:pStyle w:val="BodyText"/>
      </w:pPr>
      <w:r>
        <w:t>In this use case, there are three policy definitions that illustrate how you can construct policies and the results when they are enforced. The last policy is not enforced, but the reasons are provided in the scenario results.</w:t>
      </w:r>
    </w:p>
    <w:p>
      <w:pPr>
        <w:pStyle w:val="BodyText"/>
        <w:numPr>
          <w:numId w:val="134"/>
        </w:numPr>
      </w:pPr>
      <w:r>
        <w:t xml:space="preserve">Select </w:t>
      </w:r>
      <w:r>
        <w:rPr>
          <w:rStyle w:val="InlineUI"/>
        </w:rPr>
        <w:t>Manage &amp; Govern</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Lease Policy</w:t>
      </w:r>
      <w:r>
        <w:t>.</w:t>
      </w:r>
    </w:p>
    <w:p>
      <w:pPr>
        <w:pStyle w:val="BodyText"/>
        <w:numPr>
          <w:numId w:val="134"/>
        </w:numPr>
      </w:pPr>
      <w:r>
        <w:t>Configure Lease Policy 1.</w:t>
      </w:r>
    </w:p>
    <w:p>
      <w:pPr>
        <w:pStyle w:val="BodyText"/>
        <w:ind w:left="480"/>
      </w:pPr>
      <w:r>
        <w:t>As an administrator, you want to control costs by limiting the starting lease time for all deployments to 30 days, with the option to renew the lease for a total of 90 days.</w:t>
      </w:r>
    </w:p>
    <w:p>
      <w:pPr>
        <w:pStyle w:val="BodyText"/>
        <w:numPr>
          <w:ilvl w:val="1"/>
          <w:numId w:val="134"/>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0"/>
        <w:gridCol w:w="723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everyone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this lease that override this policy.</w:t>
            </w:r>
          </w:p>
        </w:tc>
      </w:tr>
    </w:tbl>
    <w:p>
      <w:pPr>
        <w:pStyle w:val="BodyText"/>
        <w:numPr>
          <w:ilvl w:val="1"/>
          <w:numId w:val="134"/>
        </w:numPr>
        <w:spacing w:before="240"/>
      </w:pPr>
      <w:r>
        <w:t>Define the lease.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30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90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10</w:t>
            </w:r>
          </w:p>
        </w:tc>
      </w:tr>
    </w:tbl>
    <w:p>
      <w:pPr>
        <w:pStyle w:val="BodyText"/>
        <w:spacing w:before="240"/>
      </w:pPr>
      <w:r>
        <w:t>In this scenario, the deployment is shut down after 30 days and an email is sent to the user. During the grace period, the user extends the lease by 30 days. After the lease expires again, the user renews it for another 30 days. At the end of the third extension, the lease reaches the maximum total lease period of 90 active days and the user cannot extend it anymore. The deployment is shut down and destroyed 10 days later.</w:t>
      </w:r>
    </w:p>
    <w:p>
      <w:pPr>
        <w:pStyle w:val="BodyText"/>
        <w:numPr>
          <w:numId w:val="134"/>
        </w:numPr>
      </w:pPr>
      <w:r>
        <w:t>Configure Lease Policy 2.</w:t>
      </w:r>
    </w:p>
    <w:p>
      <w:pPr>
        <w:pStyle w:val="BodyText"/>
        <w:ind w:left="480"/>
      </w:pPr>
      <w:r>
        <w:t xml:space="preserve">As an administrator, you want to control costs by limiting the lease time on an expensive blueprint to two weeks. For this example, the blueprint name is </w:t>
      </w:r>
      <w:r>
        <w:rPr>
          <w:rStyle w:val="InlineCode"/>
        </w:rPr>
        <w:t>Multi-tier 5 machine with LB</w:t>
      </w:r>
      <w:r>
        <w:t>.</w:t>
      </w:r>
    </w:p>
    <w:p>
      <w:pPr>
        <w:pStyle w:val="BodyText"/>
        <w:numPr>
          <w:ilvl w:val="1"/>
          <w:numId w:val="134"/>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32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applied to deployments associated with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Blueprint equals Multi-tier 5 machine with LB</w:t>
            </w:r>
          </w:p>
          <w:p>
            <w:pPr>
              <w:pStyle w:val="TableBodyText"/>
            </w:pPr>
            <w:r>
              <w:t>Based on this criteria expression, only deployments for the referenced blueprint are considered for policy enforcement.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soft enforcement still overrides the organization policy of 90 days in Policy 1 because the values are more meaningful at the project level.</w:t>
            </w:r>
          </w:p>
        </w:tc>
      </w:tr>
    </w:tbl>
    <w:p>
      <w:pPr>
        <w:pStyle w:val="BodyText"/>
        <w:numPr>
          <w:ilvl w:val="1"/>
          <w:numId w:val="134"/>
        </w:numPr>
        <w:spacing w:before="240"/>
      </w:pPr>
      <w:r>
        <w:t>Define the lease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14</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28</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3</w:t>
            </w:r>
          </w:p>
        </w:tc>
      </w:tr>
    </w:tbl>
    <w:p>
      <w:pPr>
        <w:pStyle w:val="BodyText"/>
        <w:spacing w:before="240"/>
      </w:pPr>
      <w:r>
        <w:t>In this scenario, both policies are applied, but Policy 2 takes precedence over Policy 1 because it is more specific. When applied, the deployment is shut down after 14 days. If the user does not extend the lease, it is destroyed three days later. If the user extends the lease for up to another 14 days, the deployment is shut down at the end of the second extension and it is destroyed three days later.</w:t>
      </w:r>
    </w:p>
    <w:p>
      <w:pPr>
        <w:pStyle w:val="BodyText"/>
        <w:numPr>
          <w:numId w:val="134"/>
        </w:numPr>
      </w:pPr>
      <w:r>
        <w:t>Review the configuration of Lease Policy 3.</w:t>
      </w:r>
    </w:p>
    <w:p>
      <w:pPr>
        <w:pStyle w:val="BodyText"/>
        <w:ind w:left="480"/>
      </w:pPr>
      <w:r>
        <w:t xml:space="preserve">As a project manager, you realize that one of your developers is working on a complex application. The developer requires the </w:t>
      </w:r>
      <w:r>
        <w:rPr>
          <w:rStyle w:val="InlineCode"/>
        </w:rPr>
        <w:t>Multi-tier 5 Machines with LB</w:t>
      </w:r>
      <w:r>
        <w:t xml:space="preserve"> blueprint and another blueprint, </w:t>
      </w:r>
      <w:r>
        <w:rPr>
          <w:rStyle w:val="InlineCode"/>
        </w:rPr>
        <w:t>Distributed Database Across Clouds</w:t>
      </w:r>
      <w:r>
        <w:t>, but for a longer lease than defined in Policy 2.</w:t>
      </w:r>
    </w:p>
    <w:p>
      <w:pPr>
        <w:pStyle w:val="BodyText"/>
        <w:ind w:left="480"/>
      </w:pPr>
      <w:r>
        <w:t>Unless you understand how the policies are processed based on how they are defined, you might encounter unexpected results. Policy 3 is an example of how processing and precedence affect the result.</w:t>
      </w:r>
    </w:p>
    <w:p>
      <w:pPr>
        <w:pStyle w:val="BodyText"/>
        <w:ind w:left="480"/>
      </w:pPr>
      <w:r>
        <w:t>This policy, as provided, will not be enforced. This example provides an opportunity for you to see how leases are applied and enforced when there is more than one that applies.</w:t>
      </w:r>
    </w:p>
    <w:p>
      <w:pPr>
        <w:pStyle w:val="BodyText"/>
        <w:numPr>
          <w:ilvl w:val="1"/>
          <w:numId w:val="134"/>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4"/>
        <w:gridCol w:w="737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is applied to deployments in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(Blueprint equals Multi-tier five machine with LB
OR
Catalog Item equals Distributed Database Across Clouds)
AND
Created By equals jan@mycompany.com</w:t>
            </w:r>
          </w:p>
          <w:p>
            <w:pPr>
              <w:pStyle w:val="TableBodyText"/>
            </w:pPr>
            <w:r>
              <w:t>You use Catalog Item because the item is not a blueprint.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soft enforcement still overrides the organization policy of 90 days in policy 1 because the values are more meaningful at the project level.</w:t>
            </w:r>
          </w:p>
        </w:tc>
      </w:tr>
    </w:tbl>
    <w:p>
      <w:pPr>
        <w:pStyle w:val="BodyText"/>
        <w:numPr>
          <w:ilvl w:val="1"/>
          <w:numId w:val="134"/>
        </w:numPr>
        <w:spacing w:before="240"/>
      </w:pPr>
      <w:r>
        <w:t>Define the lease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21</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50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3</w:t>
            </w:r>
          </w:p>
        </w:tc>
      </w:tr>
    </w:tbl>
    <w:p>
      <w:pPr>
        <w:pStyle w:val="BodyText"/>
        <w:spacing w:before="240"/>
      </w:pPr>
      <w:r>
        <w:t>In this scenario, Lease Policy 2 is applied, not Lease Policy 3.</w:t>
      </w:r>
    </w:p>
    <w:p>
      <w:pPr>
        <w:pStyle w:val="BodyText"/>
        <w:numPr>
          <w:ilvl w:val="2"/>
          <w:numId w:val="134"/>
        </w:numPr>
      </w:pPr>
      <w:r>
        <w:t>Lease 3 has a lease time that is less than or equal to 21 days, and the policy is applied. Lease 2 has a lease time that is less than or equal to 14 days, and the policy is applied.</w:t>
      </w:r>
    </w:p>
    <w:p>
      <w:pPr>
        <w:pStyle w:val="BodyText"/>
        <w:numPr>
          <w:ilvl w:val="2"/>
          <w:numId w:val="134"/>
        </w:numPr>
      </w:pPr>
      <w:r>
        <w:t>Lease 2 is applicable and it does not violate the lease 3 policy. But, lease 2 is more restrictive, so it takes precedence. Lease policy 2 is more restrictive because it is for a shorter period of time.</w:t>
      </w:r>
    </w:p>
    <w:p>
      <w:pPr>
        <w:pStyle w:val="BodyText"/>
        <w:numPr>
          <w:ilvl w:val="2"/>
          <w:numId w:val="134"/>
        </w:numPr>
      </w:pPr>
      <w:r>
        <w:t>When both lease definitions are true and applicable, the more restrictive policy is the one that is enforced.</w:t>
      </w:r>
    </w:p>
    <w:p>
      <w:pPr>
        <w:pStyle w:val="BodyText"/>
        <w:numPr>
          <w:numId w:val="134"/>
        </w:numPr>
      </w:pPr>
      <w:r>
        <w:t>To resolve the unexpected behavior in Lease Policy 3, you can implement one of the following solutions.</w:t>
      </w:r>
    </w:p>
    <w:p>
      <w:pPr>
        <w:pStyle w:val="BodyText"/>
        <w:numPr>
          <w:ilvl w:val="1"/>
          <w:numId w:val="134"/>
        </w:numPr>
      </w:pPr>
      <w:r>
        <w:t>To ensure that you can provide Jan with the needed policy, change the enforcement type to hard.</w:t>
      </w:r>
    </w:p>
    <w:p>
      <w:pPr>
        <w:pStyle w:val="BodyText"/>
        <w:numPr>
          <w:ilvl w:val="1"/>
          <w:numId w:val="134"/>
        </w:numPr>
      </w:pPr>
      <w:r>
        <w:t>Alternatively, you could create a new project with access to the same resources, and then create Lease Policy 3 for that project. While this solution isolates the working policy, you must maintain a parallel project. The effort needed to set up and maintain the content sources, content sharing, and so on, are time consuming and subject to error.</w:t>
      </w:r>
    </w:p>
    <w:p>
      <w:pPr>
        <w:pStyle w:val="SectionHeading4"/>
      </w:pPr>
      <w:bookmarkStart w:id="213" w:name="_Toc256000757"/>
      <w:r>
        <w:t>What to do next</w:t>
      </w:r>
      <w:bookmarkEnd w:id="213"/>
    </w:p>
    <w:p>
      <w:pPr>
        <w:pStyle w:val="BodyText"/>
        <w:numPr>
          <w:numId w:val="135"/>
        </w:numPr>
      </w:pPr>
      <w:r>
        <w:t xml:space="preserve">For more examples of how the lease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B90623158a4354e079a3426757ae0aa40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w:t>
      </w:r>
      <w:r>
        <w:fldChar w:fldCharType="end"/>
      </w:r>
      <w:r>
        <w:t>.</w:t>
      </w:r>
    </w:p>
    <w:p>
      <w:pPr>
        <w:pStyle w:val="BodyText"/>
        <w:numPr>
          <w:numId w:val="135"/>
        </w:numPr>
      </w:pPr>
      <w:r>
        <w:t>Configure policies that are relevant to your organizations and projects. If you are just getting started with lease policies, begin with one lease policy at the organization level.</w:t>
      </w:r>
    </w:p>
    <w:p>
      <w:pPr>
        <w:pStyle w:val="BodyText"/>
        <w:numPr>
          <w:numId w:val="135"/>
        </w:numPr>
      </w:pPr>
      <w:r>
        <w:t xml:space="preserve">To send an email to the deploying user, configure the email server for notifications.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B097459994e044a2283fd07c6916893f5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Email Server in VCF Automation to Send Notifications</w:t>
      </w:r>
      <w:r>
        <w:fldChar w:fldCharType="end"/>
      </w:r>
      <w:r>
        <w:t>.</w:t>
      </w:r>
    </w:p>
    <w:p>
      <w:pPr>
        <w:pStyle w:val="BodyText"/>
        <w:numPr>
          <w:numId w:val="135"/>
        </w:numPr>
      </w:pPr>
      <w:r>
        <w:t xml:space="preserve">If your organization is integrated with </w:t>
      </w:r>
      <w:r>
        <w:t>VCF Operations orchestrator</w:t>
      </w:r>
      <w:r>
        <w:t xml:space="preserve">, you can manage expired deployments and their resources by using event subscriptions.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B776a3c2afd5246e2a07d4fd4ab8cfe0b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Event Subscription to Manage Deployment Expiry in VCF Automation</w:t>
      </w:r>
      <w:r>
        <w:fldChar w:fldCharType="end"/>
      </w:r>
      <w:r>
        <w:t>.</w:t>
      </w:r>
    </w:p>
    <w:p>
      <w:pPr>
        <w:pStyle w:val="Heading3"/>
      </w:pPr>
      <w:bookmarkStart w:id="214" w:name="Bc4affca5880c4ecb9e950d485af40d78"/>
      <w:bookmarkStart w:id="215" w:name="_Toc256000758"/>
      <w:r>
        <w:t>Configure IaaS Resource Policies in VCF Automation</w:t>
      </w:r>
      <w:bookmarkEnd w:id="215"/>
      <w:bookmarkEnd w:id="214"/>
    </w:p>
    <w:p>
      <w:pPr>
        <w:pStyle w:val="BodyText"/>
      </w:pPr>
      <w:r>
        <w:t xml:space="preserve">You define IaaS resource policies to validate and control what namespace resources deployments can consume when users request catalog items or create resources using the services console in </w:t>
      </w:r>
      <w:r>
        <w:t>VCF Automation</w:t>
      </w:r>
      <w:r>
        <w:t>. The use cases in this procedure are an introduction to configuring IaaS resource policies.</w:t>
      </w:r>
    </w:p>
    <w:p>
      <w:pPr>
        <w:pStyle w:val="BodyText"/>
      </w:pPr>
      <w:r>
        <w:t>Before your users can generate workloads on namespaces, you must establish policies to ensure the conformity and security of the workloads. An IaaS resource policy outlines a set of guidelines applicable to the objects on the namespace. These objects can include built-in items like VMs, Kubernetes clusters, PodVMs, or new objects introduced through the installation of additional services. As an organization administrator, you can configure and enforce these rules across various namespaces.</w:t>
      </w:r>
    </w:p>
    <w:p>
      <w:pPr>
        <w:pStyle w:val="BodyText"/>
      </w:pPr>
      <w:r>
        <w:t>When you create an IaaS resource policy, it is applied to both newly created and existing namespaces within a project or organization, based on namespace specification, like namespace name, project name, or region.</w:t>
      </w:r>
    </w:p>
    <w:p>
      <w:pPr>
        <w:pStyle w:val="SectionHeading4"/>
      </w:pPr>
      <w:bookmarkStart w:id="216" w:name="_Toc256000759"/>
      <w:r>
        <w:t>What can I control with IaaS resource policies</w:t>
      </w:r>
      <w:bookmarkEnd w:id="216"/>
    </w:p>
    <w:p>
      <w:pPr>
        <w:pStyle w:val="BodyText"/>
      </w:pPr>
      <w:r>
        <w:t>As an organization administrator using IaaS resource policies you control whether a user can create:</w:t>
      </w:r>
    </w:p>
    <w:p>
      <w:pPr>
        <w:pStyle w:val="BodyText"/>
        <w:numPr>
          <w:numId w:val="136"/>
        </w:numPr>
      </w:pPr>
      <w:r>
        <w:t>Resources for all services running in a namespace.</w:t>
      </w:r>
    </w:p>
    <w:p>
      <w:pPr>
        <w:pStyle w:val="BodyText"/>
        <w:numPr>
          <w:numId w:val="136"/>
        </w:numPr>
      </w:pPr>
      <w:r>
        <w:t>Resources for a sub-set of services like the VM Service only or the Kubernetes Service only. For example, you can allow only specific VMs with a certain VM class.</w:t>
      </w:r>
    </w:p>
    <w:p>
      <w:pPr>
        <w:pStyle w:val="BodyText"/>
        <w:numPr>
          <w:numId w:val="136"/>
        </w:numPr>
      </w:pPr>
      <w:r>
        <w:t>Control the number of worker or control nodes for Kubernetes clusters. For example, you might want to enforce a limit of 3 control nodes for a production cluster.</w:t>
      </w:r>
    </w:p>
    <w:p>
      <w:pPr>
        <w:pStyle w:val="BodyText"/>
        <w:numPr>
          <w:numId w:val="136"/>
        </w:numPr>
      </w:pPr>
      <w:r>
        <w:t>Enforce a minimum Kubernetes version for Kubernetes clusters.</w:t>
      </w:r>
    </w:p>
    <w:p>
      <w:pPr>
        <w:pStyle w:val="SectionHeading4"/>
      </w:pPr>
      <w:bookmarkStart w:id="217" w:name="_Toc256000760"/>
      <w:r>
        <w:t>What happens when IaaS resource policies are enforced</w:t>
      </w:r>
      <w:bookmarkEnd w:id="217"/>
    </w:p>
    <w:p>
      <w:pPr>
        <w:pStyle w:val="BodyText"/>
        <w:numPr>
          <w:numId w:val="137"/>
        </w:numPr>
      </w:pPr>
      <w:r>
        <w:t>When the policy is enforced, users can provision resources within the specified constraints.</w:t>
      </w:r>
    </w:p>
    <w:p>
      <w:pPr>
        <w:pStyle w:val="BodyText"/>
        <w:numPr>
          <w:numId w:val="137"/>
        </w:numPr>
      </w:pPr>
      <w:r>
        <w:t xml:space="preserve">Multiple IaaS resource policies can be enforceable. </w:t>
      </w:r>
      <w:r>
        <w:t>VCF Automation</w:t>
      </w:r>
      <w:r>
        <w:t xml:space="preserve"> does not merge overlapping IaaS policies. Both policies are applied. As the organization administrator, you are responsible for defining policies that do not conflict with each other. For example, if one policy states that all VM names must start with </w:t>
      </w:r>
      <w:r>
        <w:rPr>
          <w:rStyle w:val="InlineVar"/>
        </w:rPr>
        <w:t>vm-1</w:t>
      </w:r>
      <w:r>
        <w:t xml:space="preserve"> and another policy states that all VM names must start with </w:t>
      </w:r>
      <w:r>
        <w:rPr>
          <w:rStyle w:val="InlineVar"/>
        </w:rPr>
        <w:t>vm-2</w:t>
      </w:r>
      <w:r>
        <w:t xml:space="preserve">, then both of these policies are applied. Because a VM name cannot start with both </w:t>
      </w:r>
      <w:r>
        <w:rPr>
          <w:rStyle w:val="InlineVar"/>
        </w:rPr>
        <w:t>vm-1</w:t>
      </w:r>
      <w:r>
        <w:t xml:space="preserve"> and </w:t>
      </w:r>
      <w:r>
        <w:rPr>
          <w:rStyle w:val="InlineVar"/>
        </w:rPr>
        <w:t>vm-2</w:t>
      </w:r>
      <w:r>
        <w:t>, no VM is provisioned in the namespace.</w:t>
      </w:r>
    </w:p>
    <w:p>
      <w:pPr>
        <w:pStyle w:val="BodyText"/>
        <w:numPr>
          <w:numId w:val="137"/>
        </w:numPr>
      </w:pPr>
      <w:r>
        <w:t xml:space="preserve">If a deployment requests no resources, such as a </w:t>
      </w:r>
      <w:r>
        <w:t>VCF Operations orchestrator</w:t>
      </w:r>
      <w:r>
        <w:t xml:space="preserve"> workflow deployment, the policy is not enforced on that deployment.</w:t>
      </w:r>
    </w:p>
    <w:p>
      <w:pPr>
        <w:pStyle w:val="SectionHeading4"/>
      </w:pPr>
      <w:bookmarkStart w:id="218" w:name="_Toc256000761"/>
      <w:r>
        <w:t>When are IaaS resource policies applied</w:t>
      </w:r>
      <w:bookmarkEnd w:id="218"/>
    </w:p>
    <w:p>
      <w:pPr>
        <w:pStyle w:val="BodyText"/>
        <w:numPr>
          <w:numId w:val="138"/>
        </w:numPr>
      </w:pPr>
      <w:r>
        <w:t>A user requests a catalog item.</w:t>
      </w:r>
    </w:p>
    <w:p>
      <w:pPr>
        <w:pStyle w:val="BodyText"/>
        <w:numPr>
          <w:numId w:val="138"/>
        </w:numPr>
      </w:pPr>
      <w:r>
        <w:t>A user provisions resources using the IaaS services console.</w:t>
      </w:r>
    </w:p>
    <w:p>
      <w:pPr>
        <w:pStyle w:val="SectionHeading4"/>
      </w:pPr>
      <w:bookmarkStart w:id="219" w:name="_Toc256000762"/>
      <w:r>
        <w:t>How many IaaS policies can I create</w:t>
      </w:r>
      <w:bookmarkEnd w:id="219"/>
    </w:p>
    <w:p>
      <w:pPr>
        <w:pStyle w:val="BodyText"/>
        <w:numPr>
          <w:numId w:val="139"/>
        </w:numPr>
      </w:pPr>
      <w:r>
        <w:t>You can create up to 10 IaaS resource policies for your organization.</w:t>
      </w:r>
    </w:p>
    <w:p>
      <w:pPr>
        <w:pStyle w:val="BodyText"/>
        <w:numPr>
          <w:numId w:val="139"/>
        </w:numPr>
      </w:pPr>
      <w:r>
        <w:t>Up to 50 IaaS resource policies can be created per supervisor across all organizations that might share the supervisor.</w:t>
      </w:r>
    </w:p>
    <w:p>
      <w:pPr>
        <w:pStyle w:val="SectionHeading4"/>
      </w:pPr>
      <w:bookmarkStart w:id="220" w:name="_Toc256000763"/>
      <w:r>
        <w:t>What IaaS policy templates are available</w:t>
      </w:r>
      <w:bookmarkEnd w:id="220"/>
    </w:p>
    <w:p>
      <w:pPr>
        <w:pStyle w:val="BodyText"/>
      </w:pPr>
      <w:r>
        <w:t>The following IaaS policy templates are available out of the box. In addition, you can define your own policies.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142"/>
        <w:gridCol w:w="48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Policy template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Select Enforce single-control-node Kubernetes cluster (development)</w:t>
            </w:r>
          </w:p>
        </w:tc>
        <w:tc>
          <w:tcPr>
            <w:tcBorders>
              <w:left w:val="nil"/>
              <w:right w:val="nil"/>
            </w:tcBorders>
          </w:tcPr>
          <w:p>
            <w:pPr>
              <w:pStyle w:val="TableBodyText"/>
            </w:pPr>
            <w:r>
              <w:t>Ensures a Kubernetes cluster has only 1 control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Enforce multi-control-node Kubernetes cluster (production)</w:t>
            </w:r>
          </w:p>
        </w:tc>
        <w:tc>
          <w:tcPr>
            <w:tcBorders>
              <w:left w:val="nil"/>
              <w:right w:val="nil"/>
            </w:tcBorders>
          </w:tcPr>
          <w:p>
            <w:pPr>
              <w:pStyle w:val="TableBodyText"/>
            </w:pPr>
            <w:r>
              <w:t>Ensures a Kubernetes cluster has a minimum of 3 control nodes.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Enforce minimum Kubernetes version for Kubernetes cluster</w:t>
            </w:r>
          </w:p>
        </w:tc>
        <w:tc>
          <w:tcPr>
            <w:tcBorders>
              <w:left w:val="nil"/>
              <w:right w:val="nil"/>
            </w:tcBorders>
          </w:tcPr>
          <w:p>
            <w:pPr>
              <w:pStyle w:val="TableBodyText"/>
            </w:pPr>
            <w:r>
              <w:t>Enforces a minimum version specified in a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Disallow Kubernetes cluster resource</w:t>
            </w:r>
          </w:p>
        </w:tc>
        <w:tc>
          <w:tcPr>
            <w:tcBorders>
              <w:left w:val="nil"/>
              <w:right w:val="nil"/>
            </w:tcBorders>
          </w:tcPr>
          <w:p>
            <w:pPr>
              <w:pStyle w:val="TableBodyText"/>
            </w:pPr>
            <w:r>
              <w:t>Does not allow provisioning of Kubernetes cluster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Disallow VM resource</w:t>
            </w:r>
          </w:p>
        </w:tc>
        <w:tc>
          <w:tcPr>
            <w:tcBorders>
              <w:left w:val="nil"/>
              <w:right w:val="nil"/>
            </w:tcBorders>
          </w:tcPr>
          <w:p>
            <w:pPr>
              <w:pStyle w:val="TableBodyText"/>
            </w:pPr>
            <w:r>
              <w:t>Does not allow provisioning of VM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Label enforcement</w:t>
            </w:r>
          </w:p>
        </w:tc>
        <w:tc>
          <w:tcPr>
            <w:tcBorders>
              <w:left w:val="nil"/>
              <w:right w:val="nil"/>
            </w:tcBorders>
          </w:tcPr>
          <w:p>
            <w:pPr>
              <w:pStyle w:val="TableBodyText"/>
            </w:pPr>
            <w:r>
              <w:t>Requires a specific label for a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Kubernetes cluster restricted pod security level</w:t>
            </w:r>
          </w:p>
        </w:tc>
        <w:tc>
          <w:tcPr>
            <w:tcBorders>
              <w:left w:val="nil"/>
              <w:right w:val="nil"/>
            </w:tcBorders>
          </w:tcPr>
          <w:p>
            <w:pPr>
              <w:pStyle w:val="TableBodyText"/>
            </w:pPr>
            <w:r>
              <w:t>Requires cluster to have restricted pod security level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Kubernetes cluster baseline pod security level</w:t>
            </w:r>
          </w:p>
        </w:tc>
        <w:tc>
          <w:tcPr>
            <w:tcBorders>
              <w:left w:val="nil"/>
              <w:right w:val="nil"/>
            </w:tcBorders>
          </w:tcPr>
          <w:p>
            <w:pPr>
              <w:pStyle w:val="TableBodyText"/>
            </w:pPr>
            <w:r>
              <w:t>Requires Kubernetes cluster to have baseline pod security level</w:t>
            </w:r>
          </w:p>
        </w:tc>
      </w:tr>
    </w:tbl>
    <w:p>
      <w:pPr>
        <w:pStyle w:val="SectionHeading4"/>
        <w:spacing w:before="120"/>
      </w:pPr>
      <w:bookmarkStart w:id="221" w:name="_Toc256000764"/>
      <w:r>
        <w:t>Using the Assignments tab</w:t>
      </w:r>
      <w:bookmarkEnd w:id="221"/>
    </w:p>
    <w:p>
      <w:pPr>
        <w:pStyle w:val="BodyText"/>
      </w:pPr>
      <w:r>
        <w:t xml:space="preserve">After you create an IaaS policy, you can use the </w:t>
      </w:r>
      <w:r>
        <w:rPr>
          <w:rStyle w:val="InlineUI"/>
        </w:rPr>
        <w:t>Assignments</w:t>
      </w:r>
      <w:r>
        <w:t xml:space="preserve"> tab to get an overview of all IaaS policies affecting a given namespace, to track which policies were applied successfully, and to review any errors.</w:t>
      </w:r>
    </w:p>
    <w:p>
      <w:pPr>
        <w:pStyle w:val="SectionHeading4"/>
      </w:pPr>
      <w:bookmarkStart w:id="222" w:name="_Toc256000765"/>
      <w:r>
        <w:t>IaaS Policy limitations</w:t>
      </w:r>
      <w:bookmarkEnd w:id="222"/>
    </w:p>
    <w:p>
      <w:pPr>
        <w:pStyle w:val="BodyText"/>
        <w:numPr>
          <w:numId w:val="140"/>
        </w:numPr>
      </w:pPr>
      <w:r>
        <w:rPr>
          <w:rStyle w:val="InlineCode"/>
        </w:rPr>
        <w:t>Parameterization</w:t>
      </w:r>
      <w:r>
        <w:t xml:space="preserve"> is not supported.</w:t>
      </w:r>
    </w:p>
    <w:p>
      <w:pPr>
        <w:pStyle w:val="BodyText"/>
        <w:numPr>
          <w:numId w:val="140"/>
        </w:numPr>
      </w:pPr>
      <w:r>
        <w:rPr>
          <w:rStyle w:val="InlineCode"/>
        </w:rPr>
        <w:t>AuditAnnotations</w:t>
      </w:r>
      <w:r>
        <w:t xml:space="preserve"> is not supported.</w:t>
      </w:r>
    </w:p>
    <w:p>
      <w:pPr>
        <w:pStyle w:val="BodyText"/>
        <w:numPr>
          <w:numId w:val="140"/>
        </w:numPr>
      </w:pPr>
      <w:r>
        <w:rPr>
          <w:rStyle w:val="InlineCode"/>
        </w:rPr>
        <w:t>messageExpression</w:t>
      </w:r>
      <w:r>
        <w:t xml:space="preserve"> is not supported.</w:t>
      </w:r>
    </w:p>
    <w:p>
      <w:pPr>
        <w:pStyle w:val="SectionHeading4"/>
      </w:pPr>
      <w:bookmarkStart w:id="223" w:name="_Toc256000766"/>
      <w:r>
        <w:t>Procedure</w:t>
      </w:r>
      <w:bookmarkEnd w:id="223"/>
    </w:p>
    <w:p>
      <w:pPr>
        <w:pStyle w:val="BodyText"/>
        <w:numPr>
          <w:numId w:val="141"/>
        </w:numPr>
      </w:pPr>
      <w:r>
        <w:t xml:space="preserve">Select </w:t>
      </w:r>
      <w:r>
        <w:rPr>
          <w:rStyle w:val="InlineUI"/>
        </w:rPr>
        <w:t>Manage &amp; Govern</w:t>
      </w:r>
      <w:r>
        <w:rPr>
          <w:rStyle w:val="InlineUI"/>
        </w:rPr>
        <w:t xml:space="preserve"> &gt; </w:t>
      </w:r>
      <w:r>
        <w:rPr>
          <w:rStyle w:val="InlineUI"/>
        </w:rPr>
        <w:t>Policies</w:t>
      </w:r>
      <w:r>
        <w:rPr>
          <w:rStyle w:val="InlineUI"/>
        </w:rPr>
        <w:t xml:space="preserve"> &gt; </w:t>
      </w:r>
      <w:r>
        <w:rPr>
          <w:rStyle w:val="InlineUI"/>
        </w:rPr>
        <w:t>New Policy</w:t>
      </w:r>
      <w:r>
        <w:rPr>
          <w:rStyle w:val="InlineUI"/>
        </w:rPr>
        <w:t xml:space="preserve"> &gt; </w:t>
      </w:r>
      <w:r>
        <w:rPr>
          <w:rStyle w:val="InlineUI"/>
        </w:rPr>
        <w:t>IaaS Resource Policy</w:t>
      </w:r>
      <w:r>
        <w:t>.</w:t>
      </w:r>
    </w:p>
    <w:p>
      <w:pPr>
        <w:pStyle w:val="BodyText"/>
        <w:numPr>
          <w:numId w:val="141"/>
        </w:numPr>
      </w:pPr>
      <w:r>
        <w:t>Configure IaaS Policy 1.</w:t>
      </w:r>
    </w:p>
    <w:p>
      <w:pPr>
        <w:pStyle w:val="BodyText"/>
        <w:ind w:left="480"/>
      </w:pPr>
      <w:r>
        <w:t>As an administrator, you want to allow your users to create or update clusters that have only 1 node.</w:t>
      </w:r>
    </w:p>
    <w:p>
      <w:pPr>
        <w:pStyle w:val="BodyText"/>
        <w:numPr>
          <w:ilvl w:val="1"/>
          <w:numId w:val="14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12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everyone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141"/>
        </w:numPr>
        <w:spacing w:before="240"/>
      </w:pPr>
      <w:r>
        <w:t>Load the policy template.</w:t>
      </w:r>
    </w:p>
    <w:p>
      <w:pPr>
        <w:pStyle w:val="CodeBlock"/>
        <w:ind w:left="960"/>
      </w:pPr>
      <w:r>
        <w:t>
  failurePolicy: Fail
  matchConstraints:
    resourceRules:
      - apiGroups:
          - run.tanzu.vmware.com
        apiVersions:
          - "*"
        operations:
          - CREATE
          - UPDATE
        resources:
          - tanzukubernetesclusters
      - apiGroups:
          - cluster.x-k8s.io
        apiVersions:
          - "*"
        operations:
          - CREATE
          - UPDATE
        resources:
          - clusters
  validations:
    - expression: object.spec.topology.controlPlane.replicas == 1
      messageExpression: "'Control plane nodes must be 1'"</w:t>
      </w:r>
    </w:p>
    <w:p>
      <w:pPr>
        <w:pStyle w:val="BodyText"/>
        <w:numPr>
          <w:ilvl w:val="1"/>
          <w:numId w:val="141"/>
        </w:numPr>
      </w:pPr>
      <w:r>
        <w:t>Preview the policy enforcement.</w:t>
      </w:r>
    </w:p>
    <w:p>
      <w:pPr>
        <w:pStyle w:val="BodyText"/>
        <w:numPr>
          <w:ilvl w:val="1"/>
          <w:numId w:val="141"/>
        </w:numPr>
      </w:pPr>
      <w:r>
        <w:t xml:space="preserve">Click </w:t>
      </w:r>
      <w:r>
        <w:rPr>
          <w:rStyle w:val="InlineUI"/>
        </w:rPr>
        <w:t>Create</w:t>
      </w:r>
      <w:r>
        <w:t>.</w:t>
      </w:r>
    </w:p>
    <w:p>
      <w:pPr>
        <w:pStyle w:val="BodyText"/>
        <w:ind w:left="480"/>
      </w:pPr>
      <w:r>
        <w:t>In this scenario, if a user tries to provision a cluster with more than 1 control plane nodes, their request fails.</w:t>
      </w:r>
    </w:p>
    <w:p>
      <w:pPr>
        <w:pStyle w:val="BodyText"/>
        <w:numPr>
          <w:numId w:val="141"/>
        </w:numPr>
      </w:pPr>
      <w:r>
        <w:t>Configure IaaS Policy 2.</w:t>
      </w:r>
    </w:p>
    <w:p>
      <w:pPr>
        <w:pStyle w:val="BodyText"/>
        <w:ind w:left="480"/>
      </w:pPr>
      <w:r>
        <w:t>As an administrator, you want to enforce a label on VM resources that are consumed by a specific project.</w:t>
      </w:r>
    </w:p>
    <w:p>
      <w:pPr>
        <w:pStyle w:val="BodyText"/>
        <w:numPr>
          <w:ilvl w:val="1"/>
          <w:numId w:val="14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32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w:t>
            </w:r>
          </w:p>
          <w:p>
            <w:pPr>
              <w:pStyle w:val="TableBodyText"/>
            </w:pPr>
            <w:r>
              <w:t>This policy is applied to everyone in the selected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141"/>
        </w:numPr>
        <w:spacing w:before="240"/>
      </w:pPr>
      <w:r>
        <w:t>Load the policy template.</w:t>
      </w:r>
    </w:p>
    <w:p>
      <w:pPr>
        <w:pStyle w:val="CodeBlock"/>
        <w:ind w:left="960"/>
      </w:pPr>
      <w:r>
        <w:t>
  failurePolicy: Fail
  matchConstraints:
    resourceRules:
     - apiGroups: ["vmoperator.vmware.com"]
       apiVersions: ["*"]
       operations: ["CREATE", "UPDATE"]
       resources: ["virtualmachines"]
  validations:
  - expression: object.metadata.labels.environment == 'prod'
    messageExpression: "'All virtual machines should have label environment=prod'"</w:t>
      </w:r>
    </w:p>
    <w:p>
      <w:pPr>
        <w:pStyle w:val="BodyText"/>
        <w:numPr>
          <w:ilvl w:val="1"/>
          <w:numId w:val="141"/>
        </w:numPr>
      </w:pPr>
      <w:r>
        <w:t>Preview the policy enforcement.</w:t>
      </w:r>
    </w:p>
    <w:p>
      <w:pPr>
        <w:pStyle w:val="BodyText"/>
        <w:numPr>
          <w:ilvl w:val="1"/>
          <w:numId w:val="141"/>
        </w:numPr>
      </w:pPr>
      <w:r>
        <w:t xml:space="preserve">Click </w:t>
      </w:r>
      <w:r>
        <w:rPr>
          <w:rStyle w:val="InlineUI"/>
        </w:rPr>
        <w:t>Create</w:t>
      </w:r>
      <w:r>
        <w:t>.</w:t>
      </w:r>
    </w:p>
    <w:p>
      <w:pPr>
        <w:pStyle w:val="BodyText"/>
        <w:ind w:left="480"/>
      </w:pPr>
      <w:r>
        <w:t>In this scenario, if a user tries to provision a cluster with more than 1 control plane nodes, their request fails.</w:t>
      </w:r>
    </w:p>
    <w:p>
      <w:pPr>
        <w:pStyle w:val="BodyText"/>
        <w:numPr>
          <w:numId w:val="141"/>
        </w:numPr>
      </w:pPr>
      <w:r>
        <w:t xml:space="preserve">Configure IaaS Policy 3. </w:t>
      </w:r>
    </w:p>
    <w:p>
      <w:pPr>
        <w:pStyle w:val="BodyText"/>
        <w:ind w:left="480"/>
      </w:pPr>
      <w:r>
        <w:t>As an administrator, you don't want VM resources to be provisioned by a specific project.</w:t>
      </w:r>
    </w:p>
    <w:p>
      <w:pPr>
        <w:pStyle w:val="BodyText"/>
        <w:numPr>
          <w:ilvl w:val="1"/>
          <w:numId w:val="14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645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w:t>
            </w:r>
          </w:p>
          <w:p>
            <w:pPr>
              <w:pStyle w:val="TableBodyText"/>
            </w:pPr>
            <w:r>
              <w:t>This policy is applied to resources provisioned in the selected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141"/>
        </w:numPr>
        <w:spacing w:before="240"/>
      </w:pPr>
      <w:r>
        <w:t>Load the policy template.</w:t>
      </w:r>
    </w:p>
    <w:p>
      <w:pPr>
        <w:pStyle w:val="CodeBlock"/>
        <w:ind w:left="960"/>
      </w:pPr>
      <w:r>
        <w:t>
  failurePolicy: Fail
  matchConstraints:
    resourceRules:
      - apiGroups:
          - "vmoperator.vmware.com"
        apiVersions:
          - "*"
        operations:
          - CREATE
        resources:
          - "virtualmachines"
  validations:
    - expression: False
      messageExpression: "'Virtual Machines are prohibited to be provisioned in the namespace.'"</w:t>
      </w:r>
    </w:p>
    <w:p>
      <w:pPr>
        <w:pStyle w:val="BodyText"/>
        <w:numPr>
          <w:ilvl w:val="1"/>
          <w:numId w:val="141"/>
        </w:numPr>
      </w:pPr>
      <w:r>
        <w:t>Preview the policy enforcement.</w:t>
      </w:r>
    </w:p>
    <w:p>
      <w:pPr>
        <w:pStyle w:val="BodyText"/>
        <w:numPr>
          <w:ilvl w:val="1"/>
          <w:numId w:val="141"/>
        </w:numPr>
      </w:pPr>
      <w:r>
        <w:t xml:space="preserve">Click </w:t>
      </w:r>
      <w:r>
        <w:rPr>
          <w:rStyle w:val="InlineUI"/>
        </w:rPr>
        <w:t>Create</w:t>
      </w:r>
      <w:r>
        <w:t>.</w:t>
      </w:r>
    </w:p>
    <w:p>
      <w:pPr>
        <w:pStyle w:val="BodyText"/>
        <w:ind w:left="480"/>
      </w:pPr>
      <w:r>
        <w:t>In this scenario, VM resources cannot be provisioned on namespaces in the scoped project.</w:t>
      </w:r>
    </w:p>
    <w:p>
      <w:pPr>
        <w:pStyle w:val="Heading3"/>
      </w:pPr>
      <w:bookmarkStart w:id="224" w:name="B89f087cf2afb4b489d576910fd1e9a13"/>
      <w:bookmarkStart w:id="225" w:name="_Toc256000767"/>
      <w:r>
        <w:t>Configure Deployment Criteria in Policies in VCF Automation</w:t>
      </w:r>
      <w:bookmarkEnd w:id="225"/>
      <w:bookmarkEnd w:id="224"/>
    </w:p>
    <w:p>
      <w:pPr>
        <w:pStyle w:val="BodyText"/>
      </w:pPr>
      <w:r>
        <w:t>The deployment criteria narrows the scope of a policy so that it is applied only to the deployments where the criteria is true. For example, you can use the deployment criteria to create a policy that is applied only to a particular catalog item or blueprint.</w:t>
      </w:r>
    </w:p>
    <w:p>
      <w:pPr>
        <w:pStyle w:val="SectionHeading4"/>
      </w:pPr>
      <w:bookmarkStart w:id="226" w:name="_Toc256000768"/>
      <w:r>
        <w:t>Constructing deployment criteria</w:t>
      </w:r>
      <w:bookmarkEnd w:id="226"/>
    </w:p>
    <w:p>
      <w:pPr>
        <w:pStyle w:val="BodyText"/>
      </w:pPr>
      <w:r>
        <w:t xml:space="preserve">You use the graphical interface to construct the deployment criteria expression. To construct complex expressions, you can use AND and OR. You can also group expressions as parenthetical operators. For more about how the expressions are processed, see the </w:t>
      </w:r>
      <w:r>
        <w:rPr>
          <w:rStyle w:val="InlineCite"/>
        </w:rPr>
        <w:t>Order of operations for the expression section</w:t>
      </w:r>
      <w:r>
        <w:t xml:space="preserve"> below.</w:t>
      </w:r>
    </w:p>
    <w:p>
      <w:pPr>
        <w:pStyle w:val="BodyText"/>
      </w:pPr>
      <w:r>
        <w:t>Here is an example of an expression.</w:t>
      </w:r>
    </w:p>
    <w:p>
      <w:pPr>
        <w:pStyle w:val="CodeBlock"/>
      </w:pPr>
      <w:r>
        <w:t>Deployment equals Multi-tier five machine with LB AND (Owned By equals jan@mycompany.com OR Owned By kris@mycompany.com)</w:t>
      </w:r>
    </w:p>
    <w:p>
      <w:pPr>
        <w:pStyle w:val="SectionHeading4"/>
      </w:pPr>
      <w:bookmarkStart w:id="227" w:name="_Toc256000769"/>
      <w:r>
        <w:t>Policy criteria properties</w:t>
      </w:r>
      <w:bookmarkEnd w:id="227"/>
    </w:p>
    <w:p>
      <w:pPr>
        <w:pStyle w:val="BodyText"/>
      </w:pPr>
      <w:r>
        <w:t>To create functional policy criteria, you must understand the syntax.</w:t>
      </w:r>
    </w:p>
    <w:p>
      <w:pPr>
        <w:pStyle w:val="BodyText"/>
      </w:pPr>
      <w:r>
        <w:t>The criteria text box has various drop-down menus that provide the available properties and operators. How you construct your expression depends on the available values and on the order of operations.</w:t>
      </w:r>
    </w:p>
    <w:p>
      <w:pPr>
        <w:pStyle w:val="BodyText"/>
      </w:pPr>
      <w:r>
        <w:t>The drop-down menus include the following properties. Some properties vary between policy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4419"/>
        <w:gridCol w:w="1720"/>
        <w:gridCol w:w="155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Available in these policy types</w:t>
            </w:r>
          </w:p>
        </w:tc>
        <w:tc>
          <w:tcPr>
            <w:tcBorders>
              <w:left w:val="nil"/>
              <w:right w:val="nil"/>
            </w:tcBorders>
            <w:shd w:val="clear" w:color="auto" w:fill="E1E1E1"/>
            <w:tcMar>
              <w:top w:w="60" w:type="dxa"/>
              <w:bottom w:w="60" w:type="dxa"/>
            </w:tcMar>
          </w:tcPr>
          <w:p>
            <w:pPr>
              <w:pStyle w:val="TableHeaderText"/>
            </w:pPr>
            <w:r>
              <w:t>Supports these operators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Template/Blueprint</w:t>
            </w:r>
          </w:p>
        </w:tc>
        <w:tc>
          <w:tcPr>
            <w:tcBorders>
              <w:left w:val="nil"/>
              <w:right w:val="nil"/>
            </w:tcBorders>
          </w:tcPr>
          <w:p>
            <w:pPr>
              <w:pStyle w:val="TableBodyText"/>
            </w:pPr>
            <w:r>
              <w:t>Identifier for the blueprint that was used to create the deployment.</w:t>
            </w:r>
          </w:p>
        </w:tc>
        <w:tc>
          <w:tcPr>
            <w:tcBorders>
              <w:left w:val="nil"/>
              <w:right w:val="nil"/>
            </w:tcBorders>
          </w:tcPr>
          <w:p>
            <w:pPr>
              <w:pStyle w:val="TableBodyText"/>
              <w:numPr>
                <w:numId w:val="142"/>
              </w:numPr>
            </w:pPr>
            <w:r>
              <w:t>Approvals</w:t>
            </w:r>
          </w:p>
          <w:p>
            <w:pPr>
              <w:pStyle w:val="TableBodyText"/>
              <w:numPr>
                <w:numId w:val="142"/>
              </w:numPr>
            </w:pPr>
            <w:r>
              <w:t>Day 2</w:t>
            </w:r>
          </w:p>
          <w:p>
            <w:pPr>
              <w:pStyle w:val="TableBodyText"/>
              <w:numPr>
                <w:numId w:val="142"/>
              </w:numPr>
            </w:pPr>
            <w:r>
              <w:t>Lease</w:t>
            </w:r>
          </w:p>
        </w:tc>
        <w:tc>
          <w:tcPr>
            <w:tcBorders>
              <w:left w:val="nil"/>
              <w:right w:val="nil"/>
            </w:tcBorders>
          </w:tcPr>
          <w:p>
            <w:pPr>
              <w:pStyle w:val="TableBodyText"/>
              <w:numPr>
                <w:numId w:val="143"/>
              </w:numPr>
            </w:pPr>
            <w:r>
              <w:t>equals</w:t>
            </w:r>
          </w:p>
          <w:p>
            <w:pPr>
              <w:pStyle w:val="TableBodyText"/>
              <w:numPr>
                <w:numId w:val="143"/>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Catalog Item</w:t>
            </w:r>
          </w:p>
        </w:tc>
        <w:tc>
          <w:tcPr>
            <w:tcBorders>
              <w:left w:val="nil"/>
              <w:right w:val="nil"/>
            </w:tcBorders>
          </w:tcPr>
          <w:p>
            <w:pPr>
              <w:pStyle w:val="TableBodyText"/>
            </w:pPr>
            <w:r>
              <w:t>Identifier for the catalog item that was used to request the deployment.</w:t>
            </w:r>
          </w:p>
          <w:p>
            <w:pPr>
              <w:pStyle w:val="TableBodyText"/>
            </w:pPr>
            <w:r>
              <w:t xml:space="preserve">Use </w:t>
            </w:r>
            <w:r>
              <w:rPr>
                <w:rStyle w:val="InlineCode"/>
              </w:rPr>
              <w:t>Catalog Item</w:t>
            </w:r>
            <w:r>
              <w:t xml:space="preserve"> rather than </w:t>
            </w:r>
            <w:r>
              <w:rPr>
                <w:rStyle w:val="InlineCode"/>
              </w:rPr>
              <w:t>Template</w:t>
            </w:r>
            <w:r>
              <w:t xml:space="preserve"> when your policy can include catalog items based on any blueprint, extensibility workflow, or other content type. For example, VM images deployed from the catalog have a </w:t>
            </w:r>
            <w:r>
              <w:rPr>
                <w:rStyle w:val="InlineCode"/>
              </w:rPr>
              <w:t>Catalog Item</w:t>
            </w:r>
            <w:r>
              <w:t>.</w:t>
            </w:r>
          </w:p>
        </w:tc>
        <w:tc>
          <w:tcPr>
            <w:tcBorders>
              <w:left w:val="nil"/>
              <w:right w:val="nil"/>
            </w:tcBorders>
          </w:tcPr>
          <w:p>
            <w:pPr>
              <w:pStyle w:val="TableBodyText"/>
              <w:numPr>
                <w:numId w:val="144"/>
              </w:numPr>
            </w:pPr>
            <w:r>
              <w:t>Approvals</w:t>
            </w:r>
          </w:p>
          <w:p>
            <w:pPr>
              <w:pStyle w:val="TableBodyText"/>
              <w:numPr>
                <w:numId w:val="144"/>
              </w:numPr>
            </w:pPr>
            <w:r>
              <w:t>Day 2</w:t>
            </w:r>
          </w:p>
          <w:p>
            <w:pPr>
              <w:pStyle w:val="TableBodyText"/>
              <w:numPr>
                <w:numId w:val="144"/>
              </w:numPr>
            </w:pPr>
            <w:r>
              <w:t>Lease</w:t>
            </w:r>
          </w:p>
        </w:tc>
        <w:tc>
          <w:tcPr>
            <w:tcBorders>
              <w:left w:val="nil"/>
              <w:right w:val="nil"/>
            </w:tcBorders>
          </w:tcPr>
          <w:p>
            <w:pPr>
              <w:pStyle w:val="TableBodyText"/>
              <w:numPr>
                <w:numId w:val="145"/>
              </w:numPr>
            </w:pPr>
            <w:r>
              <w:t>equals</w:t>
            </w:r>
          </w:p>
          <w:p>
            <w:pPr>
              <w:pStyle w:val="TableBodyText"/>
              <w:numPr>
                <w:numId w:val="145"/>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w:t>
            </w:r>
          </w:p>
        </w:tc>
        <w:tc>
          <w:tcPr>
            <w:tcBorders>
              <w:left w:val="nil"/>
              <w:right w:val="nil"/>
            </w:tcBorders>
          </w:tcPr>
          <w:p>
            <w:pPr>
              <w:pStyle w:val="TableBodyText"/>
            </w:pPr>
            <w:r>
              <w:t>Identifier for the deployment.</w:t>
            </w:r>
          </w:p>
          <w:p>
            <w:pPr>
              <w:pStyle w:val="TableBodyText"/>
            </w:pPr>
            <w:r>
              <w:t xml:space="preserve">Use </w:t>
            </w:r>
            <w:r>
              <w:rPr>
                <w:rStyle w:val="InlineCode"/>
              </w:rPr>
              <w:t>Deployment</w:t>
            </w:r>
            <w:r>
              <w:t xml:space="preserve"> when you want to apply the policy to existing deployments.</w:t>
            </w:r>
          </w:p>
        </w:tc>
        <w:tc>
          <w:tcPr>
            <w:tcBorders>
              <w:left w:val="nil"/>
              <w:right w:val="nil"/>
            </w:tcBorders>
          </w:tcPr>
          <w:p>
            <w:pPr>
              <w:pStyle w:val="TableBodyText"/>
              <w:numPr>
                <w:numId w:val="146"/>
              </w:numPr>
            </w:pPr>
            <w:r>
              <w:t>Approvals</w:t>
            </w:r>
          </w:p>
          <w:p>
            <w:pPr>
              <w:pStyle w:val="TableBodyText"/>
              <w:numPr>
                <w:numId w:val="146"/>
              </w:numPr>
            </w:pPr>
            <w:r>
              <w:t>Day 2</w:t>
            </w:r>
          </w:p>
          <w:p>
            <w:pPr>
              <w:pStyle w:val="TableBodyText"/>
              <w:numPr>
                <w:numId w:val="146"/>
              </w:numPr>
            </w:pPr>
            <w:r>
              <w:t>Lease</w:t>
            </w:r>
          </w:p>
        </w:tc>
        <w:tc>
          <w:tcPr>
            <w:tcBorders>
              <w:left w:val="nil"/>
              <w:right w:val="nil"/>
            </w:tcBorders>
          </w:tcPr>
          <w:p>
            <w:pPr>
              <w:pStyle w:val="TableBodyText"/>
              <w:numPr>
                <w:numId w:val="147"/>
              </w:numPr>
            </w:pPr>
            <w:r>
              <w:t>equals</w:t>
            </w:r>
          </w:p>
          <w:p>
            <w:pPr>
              <w:pStyle w:val="TableBodyText"/>
              <w:numPr>
                <w:numId w:val="147"/>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Created By</w:t>
            </w:r>
          </w:p>
        </w:tc>
        <w:tc>
          <w:tcPr>
            <w:tcBorders>
              <w:left w:val="nil"/>
              <w:right w:val="nil"/>
            </w:tcBorders>
          </w:tcPr>
          <w:p>
            <w:pPr>
              <w:pStyle w:val="TableBodyText"/>
            </w:pPr>
            <w:r>
              <w:t>Name of the user who requested the deployment. The format is username@mycompany.com.</w:t>
            </w:r>
          </w:p>
          <w:p>
            <w:pPr>
              <w:pStyle w:val="TableBodyText"/>
            </w:pPr>
            <w:r>
              <w:t>This user is the user who requested the deployment.</w:t>
            </w:r>
          </w:p>
        </w:tc>
        <w:tc>
          <w:tcPr>
            <w:tcBorders>
              <w:left w:val="nil"/>
              <w:right w:val="nil"/>
            </w:tcBorders>
          </w:tcPr>
          <w:p>
            <w:pPr>
              <w:pStyle w:val="TableBodyText"/>
              <w:numPr>
                <w:numId w:val="148"/>
              </w:numPr>
            </w:pPr>
            <w:r>
              <w:t>Day 2</w:t>
            </w:r>
          </w:p>
          <w:p>
            <w:pPr>
              <w:pStyle w:val="TableBodyText"/>
              <w:numPr>
                <w:numId w:val="148"/>
              </w:numPr>
            </w:pPr>
            <w:r>
              <w:t>Lease</w:t>
            </w:r>
          </w:p>
        </w:tc>
        <w:tc>
          <w:tcPr>
            <w:tcBorders>
              <w:left w:val="nil"/>
              <w:right w:val="nil"/>
            </w:tcBorders>
          </w:tcPr>
          <w:p>
            <w:pPr>
              <w:pStyle w:val="TableBodyText"/>
              <w:numPr>
                <w:numId w:val="149"/>
              </w:numPr>
            </w:pPr>
            <w:r>
              <w:t>equals</w:t>
            </w:r>
          </w:p>
          <w:p>
            <w:pPr>
              <w:pStyle w:val="TableBodyText"/>
              <w:numPr>
                <w:numId w:val="149"/>
              </w:numPr>
            </w:pPr>
            <w:r>
              <w:t>not equal to</w:t>
            </w:r>
          </w:p>
          <w:p>
            <w:pPr>
              <w:pStyle w:val="TableBodyText"/>
              <w:numPr>
                <w:numId w:val="149"/>
              </w:numPr>
            </w:pPr>
            <w:r>
              <w:t>matches Regex</w:t>
            </w:r>
          </w:p>
          <w:p>
            <w:pPr>
              <w:pStyle w:val="TableBodyText"/>
              <w:numPr>
                <w:numId w:val="149"/>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w:t>
            </w:r>
          </w:p>
        </w:tc>
        <w:tc>
          <w:tcPr>
            <w:tcBorders>
              <w:left w:val="nil"/>
              <w:right w:val="nil"/>
            </w:tcBorders>
          </w:tcPr>
          <w:p>
            <w:pPr>
              <w:pStyle w:val="TableBodyText"/>
            </w:pPr>
            <w:r>
              <w:t>Deployment name.</w:t>
            </w:r>
          </w:p>
          <w:p>
            <w:pPr>
              <w:pStyle w:val="TableBodyText"/>
            </w:pPr>
            <w:r>
              <w:t xml:space="preserve">Use </w:t>
            </w:r>
            <w:r>
              <w:rPr>
                <w:rStyle w:val="InlineCode"/>
              </w:rPr>
              <w:t>Name</w:t>
            </w:r>
            <w:r>
              <w:t xml:space="preserve"> rather than </w:t>
            </w:r>
            <w:r>
              <w:rPr>
                <w:rStyle w:val="InlineCode"/>
              </w:rPr>
              <w:t>Deployment</w:t>
            </w:r>
            <w:r>
              <w:t xml:space="preserve"> when you want to apply the policy to existing policies and policies that can be created in the future that match the specified deployment name expression.</w:t>
            </w:r>
          </w:p>
        </w:tc>
        <w:tc>
          <w:tcPr>
            <w:tcBorders>
              <w:left w:val="nil"/>
              <w:right w:val="nil"/>
            </w:tcBorders>
          </w:tcPr>
          <w:p>
            <w:pPr>
              <w:pStyle w:val="TableBodyText"/>
              <w:numPr>
                <w:numId w:val="150"/>
              </w:numPr>
            </w:pPr>
            <w:r>
              <w:t>Approvals</w:t>
            </w:r>
          </w:p>
          <w:p>
            <w:pPr>
              <w:pStyle w:val="TableBodyText"/>
              <w:numPr>
                <w:numId w:val="150"/>
              </w:numPr>
            </w:pPr>
            <w:r>
              <w:t>Day 2</w:t>
            </w:r>
          </w:p>
          <w:p>
            <w:pPr>
              <w:pStyle w:val="TableBodyText"/>
              <w:numPr>
                <w:numId w:val="150"/>
              </w:numPr>
            </w:pPr>
            <w:r>
              <w:t>Lease</w:t>
            </w:r>
          </w:p>
        </w:tc>
        <w:tc>
          <w:tcPr>
            <w:tcBorders>
              <w:left w:val="nil"/>
              <w:right w:val="nil"/>
            </w:tcBorders>
          </w:tcPr>
          <w:p>
            <w:pPr>
              <w:pStyle w:val="TableBodyText"/>
              <w:numPr>
                <w:numId w:val="151"/>
              </w:numPr>
            </w:pPr>
            <w:r>
              <w:t>equals</w:t>
            </w:r>
          </w:p>
          <w:p>
            <w:pPr>
              <w:pStyle w:val="TableBodyText"/>
              <w:numPr>
                <w:numId w:val="151"/>
              </w:numPr>
            </w:pPr>
            <w:r>
              <w:t>not equal to</w:t>
            </w:r>
          </w:p>
          <w:p>
            <w:pPr>
              <w:pStyle w:val="TableBodyText"/>
              <w:numPr>
                <w:numId w:val="151"/>
              </w:numPr>
            </w:pPr>
            <w:r>
              <w:t>matches Regex</w:t>
            </w:r>
          </w:p>
          <w:p>
            <w:pPr>
              <w:pStyle w:val="TableBodyText"/>
              <w:numPr>
                <w:numId w:val="151"/>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Namespace Name</w:t>
            </w:r>
          </w:p>
        </w:tc>
        <w:tc>
          <w:tcPr>
            <w:tcBorders>
              <w:left w:val="nil"/>
              <w:right w:val="nil"/>
            </w:tcBorders>
          </w:tcPr>
          <w:p>
            <w:pPr>
              <w:pStyle w:val="TableBodyText"/>
            </w:pPr>
            <w:r>
              <w:t>Name of the namespace.</w:t>
            </w:r>
          </w:p>
        </w:tc>
        <w:tc>
          <w:tcPr>
            <w:tcBorders>
              <w:left w:val="nil"/>
              <w:right w:val="nil"/>
            </w:tcBorders>
          </w:tcPr>
          <w:p>
            <w:pPr>
              <w:pStyle w:val="TableBodyText"/>
              <w:numPr>
                <w:numId w:val="152"/>
              </w:numPr>
            </w:pPr>
            <w:r>
              <w:t>IaaS Resource</w:t>
            </w:r>
          </w:p>
        </w:tc>
        <w:tc>
          <w:tcPr>
            <w:tcBorders>
              <w:left w:val="nil"/>
              <w:right w:val="nil"/>
            </w:tcBorders>
          </w:tcPr>
          <w:p>
            <w:pPr>
              <w:pStyle w:val="TableBodyText"/>
              <w:numPr>
                <w:numId w:val="153"/>
              </w:numPr>
            </w:pPr>
            <w:r>
              <w:t>equals</w:t>
            </w:r>
          </w:p>
          <w:p>
            <w:pPr>
              <w:pStyle w:val="TableBodyText"/>
              <w:numPr>
                <w:numId w:val="153"/>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Namespace Class</w:t>
            </w:r>
          </w:p>
        </w:tc>
        <w:tc>
          <w:tcPr>
            <w:tcBorders>
              <w:left w:val="nil"/>
              <w:right w:val="nil"/>
            </w:tcBorders>
          </w:tcPr>
          <w:p>
            <w:pPr>
              <w:pStyle w:val="TableBodyText"/>
            </w:pPr>
            <w:r>
              <w:t>Namespace class.</w:t>
            </w:r>
          </w:p>
        </w:tc>
        <w:tc>
          <w:tcPr>
            <w:tcBorders>
              <w:left w:val="nil"/>
              <w:right w:val="nil"/>
            </w:tcBorders>
          </w:tcPr>
          <w:p>
            <w:pPr>
              <w:pStyle w:val="TableBodyText"/>
              <w:numPr>
                <w:numId w:val="154"/>
              </w:numPr>
            </w:pPr>
            <w:r>
              <w:t>IaaS Resource</w:t>
            </w:r>
          </w:p>
        </w:tc>
        <w:tc>
          <w:tcPr>
            <w:tcBorders>
              <w:left w:val="nil"/>
              <w:right w:val="nil"/>
            </w:tcBorders>
          </w:tcPr>
          <w:p>
            <w:pPr>
              <w:pStyle w:val="TableBodyText"/>
              <w:numPr>
                <w:numId w:val="155"/>
              </w:numPr>
            </w:pPr>
            <w:r>
              <w:t>equals</w:t>
            </w:r>
          </w:p>
          <w:p>
            <w:pPr>
              <w:pStyle w:val="TableBodyText"/>
              <w:numPr>
                <w:numId w:val="155"/>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Owned By</w:t>
            </w:r>
          </w:p>
        </w:tc>
        <w:tc>
          <w:tcPr>
            <w:tcBorders>
              <w:left w:val="nil"/>
              <w:right w:val="nil"/>
            </w:tcBorders>
          </w:tcPr>
          <w:p>
            <w:pPr>
              <w:pStyle w:val="TableBodyText"/>
            </w:pPr>
            <w:r>
              <w:t>Name of the current deployment owner.</w:t>
            </w:r>
          </w:p>
        </w:tc>
        <w:tc>
          <w:tcPr>
            <w:tcBorders>
              <w:left w:val="nil"/>
              <w:right w:val="nil"/>
            </w:tcBorders>
          </w:tcPr>
          <w:p>
            <w:pPr>
              <w:pStyle w:val="TableBodyText"/>
              <w:numPr>
                <w:numId w:val="156"/>
              </w:numPr>
            </w:pPr>
            <w:r>
              <w:t>Approvals</w:t>
            </w:r>
          </w:p>
          <w:p>
            <w:pPr>
              <w:pStyle w:val="TableBodyText"/>
              <w:numPr>
                <w:numId w:val="156"/>
              </w:numPr>
            </w:pPr>
            <w:r>
              <w:t>Day 2</w:t>
            </w:r>
          </w:p>
          <w:p>
            <w:pPr>
              <w:pStyle w:val="TableBodyText"/>
              <w:numPr>
                <w:numId w:val="156"/>
              </w:numPr>
            </w:pPr>
            <w:r>
              <w:t>Lease</w:t>
            </w:r>
          </w:p>
        </w:tc>
        <w:tc>
          <w:tcPr>
            <w:tcBorders>
              <w:left w:val="nil"/>
              <w:right w:val="nil"/>
            </w:tcBorders>
          </w:tcPr>
          <w:p>
            <w:pPr>
              <w:pStyle w:val="TableBodyText"/>
              <w:numPr>
                <w:numId w:val="157"/>
              </w:numPr>
            </w:pPr>
            <w:r>
              <w:t>equals</w:t>
            </w:r>
          </w:p>
          <w:p>
            <w:pPr>
              <w:pStyle w:val="TableBodyText"/>
              <w:numPr>
                <w:numId w:val="157"/>
              </w:numPr>
            </w:pPr>
            <w:r>
              <w:t>not equal to</w:t>
            </w:r>
          </w:p>
          <w:p>
            <w:pPr>
              <w:pStyle w:val="TableBodyText"/>
              <w:numPr>
                <w:numId w:val="157"/>
              </w:numPr>
            </w:pPr>
            <w:r>
              <w:t>matches Regex</w:t>
            </w:r>
          </w:p>
          <w:p>
            <w:pPr>
              <w:pStyle w:val="TableBodyText"/>
              <w:numPr>
                <w:numId w:val="157"/>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Owner Type</w:t>
            </w:r>
          </w:p>
        </w:tc>
        <w:tc>
          <w:tcPr>
            <w:tcBorders>
              <w:left w:val="nil"/>
              <w:right w:val="nil"/>
            </w:tcBorders>
          </w:tcPr>
          <w:p>
            <w:pPr>
              <w:pStyle w:val="TableBodyText"/>
            </w:pPr>
            <w:r>
              <w:t>Deployment owner type. Ownership can be based on users or groups.</w:t>
            </w:r>
          </w:p>
        </w:tc>
        <w:tc>
          <w:tcPr>
            <w:tcBorders>
              <w:left w:val="nil"/>
              <w:right w:val="nil"/>
            </w:tcBorders>
          </w:tcPr>
          <w:p>
            <w:pPr>
              <w:pStyle w:val="TableBodyText"/>
              <w:numPr>
                <w:numId w:val="158"/>
              </w:numPr>
            </w:pPr>
            <w:r>
              <w:t>Approvals</w:t>
            </w:r>
          </w:p>
          <w:p>
            <w:pPr>
              <w:pStyle w:val="TableBodyText"/>
              <w:numPr>
                <w:numId w:val="158"/>
              </w:numPr>
            </w:pPr>
            <w:r>
              <w:t>Day 2</w:t>
            </w:r>
          </w:p>
          <w:p>
            <w:pPr>
              <w:pStyle w:val="TableBodyText"/>
              <w:numPr>
                <w:numId w:val="158"/>
              </w:numPr>
            </w:pPr>
            <w:r>
              <w:t>Lease</w:t>
            </w:r>
          </w:p>
        </w:tc>
        <w:tc>
          <w:tcPr>
            <w:tcBorders>
              <w:left w:val="nil"/>
              <w:right w:val="nil"/>
            </w:tcBorders>
          </w:tcPr>
          <w:p>
            <w:pPr>
              <w:pStyle w:val="TableBodyText"/>
              <w:numPr>
                <w:numId w:val="159"/>
              </w:numPr>
            </w:pPr>
            <w:r>
              <w:t>equals</w:t>
            </w:r>
          </w:p>
          <w:p>
            <w:pPr>
              <w:pStyle w:val="TableBodyText"/>
              <w:numPr>
                <w:numId w:val="159"/>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Region</w:t>
            </w:r>
          </w:p>
        </w:tc>
        <w:tc>
          <w:tcPr>
            <w:tcBorders>
              <w:left w:val="nil"/>
              <w:right w:val="nil"/>
            </w:tcBorders>
          </w:tcPr>
          <w:p>
            <w:pPr>
              <w:pStyle w:val="TableBodyText"/>
            </w:pPr>
            <w:r>
              <w:t>Region.</w:t>
            </w:r>
          </w:p>
        </w:tc>
        <w:tc>
          <w:tcPr>
            <w:tcBorders>
              <w:left w:val="nil"/>
              <w:right w:val="nil"/>
            </w:tcBorders>
          </w:tcPr>
          <w:p>
            <w:pPr>
              <w:pStyle w:val="TableBodyText"/>
              <w:numPr>
                <w:numId w:val="160"/>
              </w:numPr>
            </w:pPr>
            <w:r>
              <w:t>IaaS Resource</w:t>
            </w:r>
          </w:p>
        </w:tc>
        <w:tc>
          <w:tcPr>
            <w:tcBorders>
              <w:left w:val="nil"/>
              <w:right w:val="nil"/>
            </w:tcBorders>
          </w:tcPr>
          <w:p>
            <w:pPr>
              <w:pStyle w:val="TableBodyText"/>
              <w:numPr>
                <w:numId w:val="161"/>
              </w:numPr>
            </w:pPr>
            <w:r>
              <w:t>equals</w:t>
            </w:r>
          </w:p>
          <w:p>
            <w:pPr>
              <w:pStyle w:val="TableBodyText"/>
              <w:numPr>
                <w:numId w:val="161"/>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Requested By</w:t>
            </w:r>
          </w:p>
        </w:tc>
        <w:tc>
          <w:tcPr>
            <w:tcBorders>
              <w:left w:val="nil"/>
              <w:right w:val="nil"/>
            </w:tcBorders>
          </w:tcPr>
          <w:p>
            <w:pPr>
              <w:pStyle w:val="TableBodyText"/>
            </w:pPr>
            <w:r>
              <w:t>Name of the user who requested a day 2 action. The format is username@mycompany.com.</w:t>
            </w:r>
          </w:p>
          <w:p>
            <w:pPr>
              <w:pStyle w:val="TableBodyText"/>
            </w:pPr>
            <w:r>
              <w:t xml:space="preserve">When creating approval policies, the </w:t>
            </w:r>
            <w:r>
              <w:rPr>
                <w:rStyle w:val="InlineCode"/>
              </w:rPr>
              <w:t>Requested By</w:t>
            </w:r>
            <w:r>
              <w:t xml:space="preserve"> criteria is the user who requested a day 2 action, not the user who requested the deployment. The user who requested the deployment is the </w:t>
            </w:r>
            <w:r>
              <w:rPr>
                <w:rStyle w:val="InlineCode"/>
              </w:rPr>
              <w:t>Created By</w:t>
            </w:r>
            <w:r>
              <w:t xml:space="preserve"> criteria.</w:t>
            </w:r>
          </w:p>
        </w:tc>
        <w:tc>
          <w:tcPr>
            <w:tcBorders>
              <w:left w:val="nil"/>
              <w:right w:val="nil"/>
            </w:tcBorders>
          </w:tcPr>
          <w:p>
            <w:pPr>
              <w:pStyle w:val="TableBodyText"/>
              <w:numPr>
                <w:numId w:val="162"/>
              </w:numPr>
            </w:pPr>
            <w:r>
              <w:t>Approvals</w:t>
            </w:r>
          </w:p>
        </w:tc>
        <w:tc>
          <w:tcPr>
            <w:tcBorders>
              <w:left w:val="nil"/>
              <w:right w:val="nil"/>
            </w:tcBorders>
          </w:tcPr>
          <w:p>
            <w:pPr>
              <w:pStyle w:val="TableBodyText"/>
              <w:numPr>
                <w:numId w:val="163"/>
              </w:numPr>
            </w:pPr>
            <w:r>
              <w:t>equals</w:t>
            </w:r>
          </w:p>
          <w:p>
            <w:pPr>
              <w:pStyle w:val="TableBodyText"/>
              <w:numPr>
                <w:numId w:val="163"/>
              </w:numPr>
            </w:pPr>
            <w:r>
              <w:t>not equal to</w:t>
            </w:r>
          </w:p>
          <w:p>
            <w:pPr>
              <w:pStyle w:val="TableBodyText"/>
              <w:numPr>
                <w:numId w:val="163"/>
              </w:numPr>
            </w:pPr>
            <w:r>
              <w:t>matches Regex</w:t>
            </w:r>
          </w:p>
          <w:p>
            <w:pPr>
              <w:pStyle w:val="TableBodyText"/>
              <w:numPr>
                <w:numId w:val="163"/>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Resources</w:t>
            </w:r>
          </w:p>
        </w:tc>
        <w:tc>
          <w:tcPr>
            <w:tcBorders>
              <w:left w:val="nil"/>
              <w:right w:val="nil"/>
            </w:tcBorders>
          </w:tcPr>
          <w:p>
            <w:pPr>
              <w:pStyle w:val="TableBodyText"/>
            </w:pPr>
            <w:r>
              <w:t>Resources that are part of a deployment.</w:t>
            </w:r>
          </w:p>
          <w:p>
            <w:pPr>
              <w:pStyle w:val="TableBodyText"/>
            </w:pPr>
            <w:r>
              <w:t>You can define the deployment criteria based on the following resources.</w:t>
            </w:r>
          </w:p>
          <w:p>
            <w:pPr>
              <w:pStyle w:val="TableBodyText"/>
              <w:numPr>
                <w:numId w:val="164"/>
              </w:numPr>
            </w:pPr>
            <w:r>
              <w:t>Cloud Zone</w:t>
            </w:r>
          </w:p>
          <w:p>
            <w:pPr>
              <w:pStyle w:val="TableBodyText"/>
              <w:numPr>
                <w:numId w:val="164"/>
              </w:numPr>
            </w:pPr>
            <w:r>
              <w:t>Disks</w:t>
            </w:r>
          </w:p>
          <w:p>
            <w:pPr>
              <w:pStyle w:val="TableBodyText"/>
              <w:numPr>
                <w:numId w:val="164"/>
              </w:numPr>
            </w:pPr>
            <w:r>
              <w:t>Kind</w:t>
            </w:r>
          </w:p>
          <w:p>
            <w:pPr>
              <w:pStyle w:val="TableBodyText"/>
              <w:numPr>
                <w:numId w:val="164"/>
              </w:numPr>
            </w:pPr>
            <w:r>
              <w:t>Resource Property</w:t>
            </w:r>
          </w:p>
          <w:p>
            <w:pPr>
              <w:pStyle w:val="TableBodyText"/>
              <w:numPr>
                <w:numId w:val="164"/>
              </w:numPr>
            </w:pPr>
            <w:r>
              <w:t>Resource Type</w:t>
            </w:r>
          </w:p>
        </w:tc>
        <w:tc>
          <w:tcPr>
            <w:tcBorders>
              <w:left w:val="nil"/>
              <w:right w:val="nil"/>
            </w:tcBorders>
          </w:tcPr>
          <w:p>
            <w:pPr>
              <w:pStyle w:val="TableBodyText"/>
              <w:numPr>
                <w:numId w:val="165"/>
              </w:numPr>
            </w:pPr>
            <w:r>
              <w:t>Approvals</w:t>
            </w:r>
          </w:p>
          <w:p>
            <w:pPr>
              <w:pStyle w:val="TableBodyText"/>
              <w:numPr>
                <w:numId w:val="165"/>
              </w:numPr>
            </w:pPr>
            <w:r>
              <w:t>Day 2</w:t>
            </w:r>
          </w:p>
          <w:p>
            <w:pPr>
              <w:pStyle w:val="TableBodyText"/>
              <w:numPr>
                <w:numId w:val="165"/>
              </w:numPr>
            </w:pPr>
            <w:r>
              <w:t>Lease</w:t>
            </w:r>
          </w:p>
        </w:tc>
        <w:tc>
          <w:tcPr>
            <w:tcBorders>
              <w:left w:val="nil"/>
              <w:right w:val="nil"/>
            </w:tcBorders>
          </w:tcPr>
          <w:p>
            <w:pPr>
              <w:pStyle w:val="TableBodyText"/>
            </w:pPr>
          </w:p>
        </w:tc>
      </w:tr>
    </w:tbl>
    <w:p>
      <w:pPr>
        <w:pStyle w:val="SectionHeading4"/>
        <w:spacing w:before="120"/>
      </w:pPr>
      <w:bookmarkStart w:id="228" w:name="_Toc256000770"/>
      <w:r>
        <w:t>Using the contains and matches Regex operators</w:t>
      </w:r>
      <w:bookmarkEnd w:id="228"/>
    </w:p>
    <w:p>
      <w:pPr>
        <w:pStyle w:val="BodyText"/>
      </w:pPr>
      <w:r>
        <w:t xml:space="preserve">The </w:t>
      </w:r>
      <w:r>
        <w:rPr>
          <w:rStyle w:val="InlineCode"/>
        </w:rPr>
        <w:t>contains</w:t>
      </w:r>
      <w:r>
        <w:t xml:space="preserve"> and </w:t>
      </w:r>
      <w:r>
        <w:rPr>
          <w:rStyle w:val="InlineCode"/>
        </w:rPr>
        <w:t>matches Regex</w:t>
      </w:r>
      <w:r>
        <w:t xml:space="preserve"> operators define a search for a specified set of characters within a property. You can apply these operators to string based properties that do not support a drop-down, such as </w:t>
      </w:r>
      <w:r>
        <w:rPr>
          <w:rStyle w:val="InlineCode"/>
        </w:rPr>
        <w:t>createdBy</w:t>
      </w:r>
      <w:r>
        <w:t xml:space="preserve">, </w:t>
      </w:r>
      <w:r>
        <w:rPr>
          <w:rStyle w:val="InlineCode"/>
        </w:rPr>
        <w:t>name</w:t>
      </w:r>
      <w:r>
        <w:t xml:space="preserve">, and </w:t>
      </w:r>
      <w:r>
        <w:rPr>
          <w:rStyle w:val="InlineCode"/>
        </w:rPr>
        <w:t>ownedBy</w:t>
      </w:r>
      <w:r>
        <w:t>.</w:t>
      </w:r>
    </w:p>
    <w:p>
      <w:pPr>
        <w:pStyle w:val="BodyText"/>
      </w:pPr>
      <w:r>
        <w:t xml:space="preserve">The </w:t>
      </w:r>
      <w:r>
        <w:rPr>
          <w:rStyle w:val="InlineCode"/>
        </w:rPr>
        <w:t>contains</w:t>
      </w:r>
      <w:r>
        <w:t xml:space="preserve"> operator searches for all instances of the value you specify in any context. The value input text box is case sensitive and space sensitive. If you want to account for context variation, you must set a value for each additional variant. Use the </w:t>
      </w:r>
      <w:r>
        <w:rPr>
          <w:rStyle w:val="InlineCode"/>
        </w:rPr>
        <w:t>contains</w:t>
      </w:r>
      <w:r>
        <w:t xml:space="preserve"> operator for simple searches for a limited number of values.</w:t>
      </w:r>
    </w:p>
    <w:p>
      <w:pPr>
        <w:pStyle w:val="BodyText"/>
      </w:pPr>
      <w:r>
        <w:t xml:space="preserve">The </w:t>
      </w:r>
      <w:r>
        <w:rPr>
          <w:rStyle w:val="InlineCode"/>
        </w:rPr>
        <w:t>matches Regex</w:t>
      </w:r>
      <w:r>
        <w:t xml:space="preserve"> operator provides great flexibility when you use it for complex searches that must account for a lot of context variation. The regular expressions must follow ECMAScript syntax. When defining regular expressions, do not enter the forward slashes (</w:t>
      </w:r>
      <w:r>
        <w:rPr>
          <w:rStyle w:val="InlineCode"/>
        </w:rPr>
        <w:t>/</w:t>
      </w:r>
      <w:r>
        <w:t>) at the beginning and at the end of the value.</w:t>
      </w:r>
    </w:p>
    <w:p>
      <w:pPr>
        <w:pStyle w:val="BodyText"/>
      </w:pPr>
      <w:r>
        <w:t>The following table provides examples of expressions using the two operators and compares how they might be used to achieve the same goal.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36"/>
        <w:gridCol w:w="3241"/>
        <w:gridCol w:w="28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 xml:space="preserve">Example with the </w:t>
            </w:r>
            <w:r>
              <w:rPr>
                <w:rStyle w:val="InlineCode"/>
              </w:rPr>
              <w:t>contains</w:t>
            </w:r>
            <w:r>
              <w:t xml:space="preserve"> operator</w:t>
            </w:r>
          </w:p>
        </w:tc>
        <w:tc>
          <w:tcPr>
            <w:tcBorders>
              <w:left w:val="nil"/>
              <w:right w:val="nil"/>
            </w:tcBorders>
            <w:shd w:val="clear" w:color="auto" w:fill="E1E1E1"/>
            <w:tcMar>
              <w:top w:w="60" w:type="dxa"/>
              <w:bottom w:w="60" w:type="dxa"/>
            </w:tcMar>
          </w:tcPr>
          <w:p>
            <w:pPr>
              <w:pStyle w:val="TableHeaderText"/>
            </w:pPr>
            <w:r>
              <w:t xml:space="preserve">Example with the </w:t>
            </w:r>
            <w:r>
              <w:rPr>
                <w:rStyle w:val="InlineCode"/>
              </w:rPr>
              <w:t>matches Regex</w:t>
            </w:r>
            <w:r>
              <w:t xml:space="preserve"> operator</w:t>
            </w:r>
          </w:p>
        </w:tc>
        <w:tc>
          <w:tcPr>
            <w:tcBorders>
              <w:left w:val="nil"/>
              <w:right w:val="nil"/>
            </w:tcBorders>
            <w:shd w:val="clear" w:color="auto" w:fill="E1E1E1"/>
            <w:tcMar>
              <w:top w:w="60" w:type="dxa"/>
              <w:bottom w:w="60" w:type="dxa"/>
            </w:tcMar>
          </w:tcPr>
          <w:p>
            <w:pPr>
              <w:pStyle w:val="TableHeaderText"/>
            </w:pPr>
            <w:r>
              <w:t>Field value matches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Name contains test</w:t>
            </w:r>
          </w:p>
        </w:tc>
        <w:tc>
          <w:tcPr>
            <w:tcBorders>
              <w:left w:val="nil"/>
              <w:right w:val="nil"/>
            </w:tcBorders>
          </w:tcPr>
          <w:p>
            <w:pPr>
              <w:pStyle w:val="TableBodyText"/>
            </w:pPr>
            <w:r>
              <w:t>Name matches Regex test*</w:t>
            </w:r>
          </w:p>
        </w:tc>
        <w:tc>
          <w:tcPr>
            <w:tcBorders>
              <w:left w:val="nil"/>
              <w:right w:val="nil"/>
            </w:tcBorders>
          </w:tcPr>
          <w:p>
            <w:pPr>
              <w:pStyle w:val="TableBodyText"/>
            </w:pPr>
            <w:r>
              <w:t xml:space="preserve">All deployment names that contain </w:t>
            </w:r>
            <w:r>
              <w:rPr>
                <w:rStyle w:val="InlineVar"/>
              </w:rPr>
              <w:t>test</w:t>
            </w:r>
            <w:r>
              <w:t xml:space="preserve"> in lowercase. For example, </w:t>
            </w:r>
            <w:r>
              <w:rPr>
                <w:rStyle w:val="InlineVar"/>
              </w:rPr>
              <w:t>test deployment</w:t>
            </w:r>
            <w:r>
              <w:t xml:space="preserve">, </w:t>
            </w:r>
            <w:r>
              <w:rPr>
                <w:rStyle w:val="InlineVar"/>
              </w:rPr>
              <w:t>mytest</w:t>
            </w:r>
            <w:r>
              <w:t xml:space="preserve">, </w:t>
            </w:r>
            <w:r>
              <w:rPr>
                <w:rStyle w:val="InlineVar"/>
              </w:rPr>
              <w:t>test-123</w:t>
            </w:r>
            <w:r>
              <w:t>, and so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Name contains test
OR
Name contains Test</w:t>
            </w:r>
          </w:p>
        </w:tc>
        <w:tc>
          <w:tcPr>
            <w:tcBorders>
              <w:left w:val="nil"/>
              <w:right w:val="nil"/>
            </w:tcBorders>
          </w:tcPr>
          <w:p>
            <w:pPr>
              <w:pStyle w:val="TableBodyText"/>
            </w:pPr>
            <w:r>
              <w:t>Name matches Regex (t|T)est.*</w:t>
            </w:r>
          </w:p>
        </w:tc>
        <w:tc>
          <w:tcPr>
            <w:tcBorders>
              <w:left w:val="nil"/>
              <w:right w:val="nil"/>
            </w:tcBorders>
          </w:tcPr>
          <w:p>
            <w:pPr>
              <w:pStyle w:val="TableBodyText"/>
            </w:pPr>
            <w:r>
              <w:t xml:space="preserve">All deployment names that contain </w:t>
            </w:r>
            <w:r>
              <w:rPr>
                <w:rStyle w:val="InlineVar"/>
              </w:rPr>
              <w:t>test</w:t>
            </w:r>
            <w:r>
              <w:t xml:space="preserve"> or </w:t>
            </w:r>
            <w:r>
              <w:rPr>
                <w:rStyle w:val="InlineVar"/>
              </w:rPr>
              <w:t>Test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(group)
 Created By contains admin@
 (group)
 AND
     Created By contains .com
     OR
     Created By contains .org
(group)
AND
 Name contains test
 OR
 Name contains test-
 OR
 Name contains Test
 OR
 Name contains Test-
 OR
 Name contains deploy
 OR
 Name contains Deploy</w:t>
            </w:r>
          </w:p>
        </w:tc>
        <w:tc>
          <w:tcPr>
            <w:tcBorders>
              <w:left w:val="nil"/>
              <w:right w:val="nil"/>
            </w:tcBorders>
          </w:tcPr>
          <w:p>
            <w:pPr>
              <w:pStyle w:val="TableBodyText"/>
            </w:pPr>
            <w:r>
              <w:t>
Created By matches Regex admin@\S+\.((com)|(org))
AND
Name matches ((t|T)est)|(d|D)epl.*.</w:t>
            </w:r>
          </w:p>
        </w:tc>
        <w:tc>
          <w:tcPr>
            <w:tcBorders>
              <w:left w:val="nil"/>
              <w:right w:val="nil"/>
            </w:tcBorders>
          </w:tcPr>
          <w:p>
            <w:pPr>
              <w:pStyle w:val="TableBodyText"/>
            </w:pPr>
            <w:r>
              <w:t xml:space="preserve">All deployments that are created by users whose email address starts with </w:t>
            </w:r>
            <w:r>
              <w:rPr>
                <w:rStyle w:val="InlineVar"/>
              </w:rPr>
              <w:t>admin@</w:t>
            </w:r>
            <w:r>
              <w:t xml:space="preserve"> and ends with </w:t>
            </w:r>
            <w:r>
              <w:rPr>
                <w:rStyle w:val="InlineVar"/>
              </w:rPr>
              <w:t>.com</w:t>
            </w:r>
            <w:r>
              <w:t xml:space="preserve"> or </w:t>
            </w:r>
            <w:r>
              <w:rPr>
                <w:rStyle w:val="InlineVar"/>
              </w:rPr>
              <w:t>.org</w:t>
            </w:r>
            <w:r>
              <w:t>.</w:t>
            </w:r>
          </w:p>
          <w:p>
            <w:pPr>
              <w:pStyle w:val="TableBodyText"/>
            </w:pPr>
            <w:r>
              <w:t xml:space="preserve">All deployment names that contain </w:t>
            </w:r>
            <w:r>
              <w:rPr>
                <w:rStyle w:val="InlineVar"/>
              </w:rPr>
              <w:t>test</w:t>
            </w:r>
            <w:r>
              <w:t xml:space="preserve"> and/or </w:t>
            </w:r>
            <w:r>
              <w:rPr>
                <w:rStyle w:val="InlineVar"/>
              </w:rPr>
              <w:t>deploy</w:t>
            </w:r>
            <w:r>
              <w:t xml:space="preserve"> in any configuration. For example, </w:t>
            </w:r>
            <w:r>
              <w:rPr>
                <w:rStyle w:val="InlineVar"/>
              </w:rPr>
              <w:t>test deployment</w:t>
            </w:r>
            <w:r>
              <w:t xml:space="preserve">, </w:t>
            </w:r>
            <w:r>
              <w:rPr>
                <w:rStyle w:val="InlineVar"/>
              </w:rPr>
              <w:t>testdeployment</w:t>
            </w:r>
            <w:r>
              <w:t xml:space="preserve">, </w:t>
            </w:r>
            <w:r>
              <w:rPr>
                <w:rStyle w:val="InlineVar"/>
              </w:rPr>
              <w:t>Test-Deployment</w:t>
            </w:r>
            <w:r>
              <w:t>, and so on.</w:t>
            </w:r>
          </w:p>
        </w:tc>
      </w:tr>
    </w:tbl>
    <w:p>
      <w:pPr>
        <w:pStyle w:val="SectionHeading4"/>
        <w:spacing w:before="120"/>
      </w:pPr>
      <w:bookmarkStart w:id="229" w:name="_Toc256000771"/>
      <w:r>
        <w:t>Order of operations for the expression</w:t>
      </w:r>
      <w:bookmarkEnd w:id="229"/>
    </w:p>
    <w:p>
      <w:pPr>
        <w:pStyle w:val="BodyText"/>
      </w:pPr>
      <w:r>
        <w:t>An expression is processed in the following order. Groups are illustrated as parentheses.</w:t>
      </w:r>
    </w:p>
    <w:p>
      <w:pPr>
        <w:pStyle w:val="BodyText"/>
        <w:numPr>
          <w:numId w:val="166"/>
        </w:numPr>
      </w:pPr>
      <w:r>
        <w:t>Expressions in groups</w:t>
      </w:r>
    </w:p>
    <w:p>
      <w:pPr>
        <w:pStyle w:val="BodyText"/>
        <w:numPr>
          <w:numId w:val="166"/>
        </w:numPr>
      </w:pPr>
      <w:r>
        <w:t>AND</w:t>
      </w:r>
    </w:p>
    <w:p>
      <w:pPr>
        <w:pStyle w:val="BodyText"/>
        <w:numPr>
          <w:numId w:val="166"/>
        </w:numPr>
      </w:pPr>
      <w:r>
        <w:t>OR</w:t>
      </w:r>
    </w:p>
    <w:p>
      <w:pPr>
        <w:pStyle w:val="BodyText"/>
      </w:pPr>
      <w:r>
        <w:t>Use the following examples to understand the order.</w:t>
      </w:r>
    </w:p>
    <w:p>
      <w:pPr>
        <w:pStyle w:val="BodyText"/>
        <w:numPr>
          <w:numId w:val="167"/>
        </w:numPr>
      </w:pPr>
      <w:r>
        <w:t>X OR Y AND Z. In this example, Y AND Z is evaluated before X OR Y. Next, the X OR is evaluated against the results of Y AND Z.</w:t>
      </w:r>
    </w:p>
    <w:p>
      <w:pPr>
        <w:pStyle w:val="BodyText"/>
        <w:numPr>
          <w:numId w:val="167"/>
        </w:numPr>
      </w:pPr>
      <w:r>
        <w:t>(X OR Y) AND Z. In this example, X OR Y is evaluated before AND because the expression in the group is always evaluated first. Next the AND Z is evaluated against the results of X OR Y.</w:t>
      </w:r>
    </w:p>
    <w:p>
      <w:pPr>
        <w:pStyle w:val="Heading3"/>
      </w:pPr>
      <w:bookmarkStart w:id="230" w:name="B90623158a4354e079a3426757ae0aa40"/>
      <w:bookmarkStart w:id="231" w:name="_Toc256000772"/>
      <w:r>
        <w:t>How are Policies Processed in VCF Automation</w:t>
      </w:r>
      <w:bookmarkEnd w:id="231"/>
      <w:bookmarkEnd w:id="230"/>
    </w:p>
    <w:p>
      <w:pPr>
        <w:pStyle w:val="BodyText"/>
      </w:pPr>
      <w:r>
        <w:t>Policies are processed based on the policy definition. In particular, the scope and the enforcement level determine which policy is valid when you have multiple policies that might apply to a single deployment.</w:t>
      </w:r>
    </w:p>
    <w:p>
      <w:pPr>
        <w:pStyle w:val="BodyText"/>
      </w:pPr>
      <w:r>
        <w:t>This article provides general information about policy processing, but it also includes more details for the different types of policies.</w:t>
      </w:r>
    </w:p>
    <w:p>
      <w:pPr>
        <w:pStyle w:val="SectionHeading4"/>
      </w:pPr>
      <w:bookmarkStart w:id="232" w:name="_Toc256000773"/>
      <w:r>
        <w:t>How policies are ranked based on organization level and enforcement type</w:t>
      </w:r>
      <w:bookmarkEnd w:id="232"/>
    </w:p>
    <w:p>
      <w:pPr>
        <w:pStyle w:val="BodyText"/>
      </w:pPr>
      <w:r>
        <w:t>When a user, who is a member of a project, creates a deployment, there might be more than one policy that applies to that deployment.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13"/>
        <w:gridCol w:w="17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4276190" cy="3647619"/>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2"/>
                          <a:stretch>
                            <a:fillRect/>
                          </a:stretch>
                        </pic:blipFill>
                        <pic:spPr>
                          <a:xfrm>
                            <a:off x="0" y="0"/>
                            <a:ext cx="4276190" cy="3647619"/>
                          </a:xfrm>
                          <a:prstGeom prst="rect">
                            <a:avLst/>
                          </a:prstGeom>
                        </pic:spPr>
                      </pic:pic>
                    </a:graphicData>
                  </a:graphic>
                </wp:inline>
              </w:drawing>
            </w:r>
          </w:p>
        </w:tc>
        <w:tc>
          <w:tcPr>
            <w:tcBorders>
              <w:left w:val="nil"/>
              <w:right w:val="nil"/>
            </w:tcBorders>
          </w:tcPr>
          <w:p>
            <w:pPr>
              <w:pStyle w:val="TableBodyText"/>
            </w:pPr>
            <w:r>
              <w:t>To evaluate the policies, the system first identifies and ranks policies.</w:t>
            </w:r>
          </w:p>
          <w:p>
            <w:pPr>
              <w:pStyle w:val="TableBodyText"/>
              <w:numPr>
                <w:numId w:val="168"/>
              </w:numPr>
            </w:pPr>
            <w:r>
              <w:t>Are there any hard policies at either the organization and project level. If there are hard and soft policies, then only the hard policies are considered and ranked. If there are only soft policies, then the soft policies are ranked.</w:t>
            </w:r>
          </w:p>
          <w:p>
            <w:pPr>
              <w:pStyle w:val="TableBodyText"/>
              <w:numPr>
                <w:numId w:val="168"/>
              </w:numPr>
            </w:pPr>
            <w:r>
              <w:t>The ranking of all hard or all soft policies is ordered by scope, with organizational policies having a higher rank than project policies.</w:t>
            </w:r>
          </w:p>
          <w:p>
            <w:pPr>
              <w:pStyle w:val="TableBodyText"/>
              <w:numPr>
                <w:numId w:val="168"/>
              </w:numPr>
            </w:pPr>
            <w:r>
              <w:t>The final discriminating characteristic is the creation date, with older dates be ranked higher than newer dates.</w:t>
            </w:r>
          </w:p>
        </w:tc>
      </w:tr>
    </w:tbl>
    <w:p>
      <w:pPr>
        <w:pStyle w:val="SectionHeading4"/>
        <w:spacing w:before="120"/>
      </w:pPr>
      <w:bookmarkStart w:id="233" w:name="_Toc256000774"/>
      <w:r>
        <w:t>How policies are processed based on organization level and enforcement type</w:t>
      </w:r>
      <w:bookmarkEnd w:id="233"/>
    </w:p>
    <w:p>
      <w:pPr>
        <w:pStyle w:val="BodyText"/>
      </w:pPr>
      <w:r>
        <w:t>The policies are evaluated, ranked, and, where applicable, merged to produce an effective policy. An effective policy produces the intended results but is not always a specific named policy.</w:t>
      </w:r>
    </w:p>
    <w:p>
      <w:pPr>
        <w:pStyle w:val="BodyText"/>
      </w:pPr>
      <w:r>
        <w:t>This section includes the following examples:</w:t>
      </w:r>
    </w:p>
    <w:p>
      <w:pPr>
        <w:pStyle w:val="BodyText"/>
        <w:numPr>
          <w:numId w:val="169"/>
        </w:numPr>
      </w:pPr>
      <w:r>
        <w:t>Lease policies</w:t>
      </w:r>
    </w:p>
    <w:p>
      <w:pPr>
        <w:pStyle w:val="BodyText"/>
        <w:numPr>
          <w:numId w:val="169"/>
        </w:numPr>
      </w:pPr>
      <w:r>
        <w:t>Day 2 actions policies</w:t>
      </w:r>
    </w:p>
    <w:p>
      <w:pPr>
        <w:pStyle w:val="BodyText"/>
      </w:pPr>
      <w:r>
        <w:t>Review the following lease policy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13"/>
        <w:gridCol w:w="17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304762" cy="2076191"/>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3"/>
                          <a:stretch>
                            <a:fillRect/>
                          </a:stretch>
                        </pic:blipFill>
                        <pic:spPr>
                          <a:xfrm>
                            <a:off x="0" y="0"/>
                            <a:ext cx="3304762" cy="2076191"/>
                          </a:xfrm>
                          <a:prstGeom prst="rect">
                            <a:avLst/>
                          </a:prstGeom>
                        </pic:spPr>
                      </pic:pic>
                    </a:graphicData>
                  </a:graphic>
                </wp:inline>
              </w:drawing>
            </w:r>
          </w:p>
        </w:tc>
        <w:tc>
          <w:tcPr>
            <w:tcBorders>
              <w:left w:val="nil"/>
              <w:right w:val="nil"/>
            </w:tcBorders>
          </w:tcPr>
          <w:p>
            <w:pPr>
              <w:pStyle w:val="TableBodyText"/>
            </w:pPr>
            <w:r>
              <w:t>After identifying the policies to be considered and ranking them, the policies are then evaluated to identify the merge order.</w:t>
            </w:r>
          </w:p>
          <w:p>
            <w:pPr>
              <w:pStyle w:val="TableBodyText"/>
              <w:numPr>
                <w:numId w:val="170"/>
              </w:numPr>
            </w:pPr>
            <w:r>
              <w:t>The highest ranking policy becomes the baseline. The second-level policy is applied on top of it, and so on.</w:t>
            </w:r>
          </w:p>
          <w:p>
            <w:pPr>
              <w:pStyle w:val="TableBodyText"/>
              <w:numPr>
                <w:numId w:val="170"/>
              </w:numPr>
            </w:pPr>
            <w:r>
              <w:t>If a policy is incompatible with the preceding policies, then it is discarded from consideration. For example, the values are higher they the preceding policies.</w:t>
            </w:r>
          </w:p>
          <w:p>
            <w:pPr>
              <w:pStyle w:val="TableBodyText"/>
              <w:numPr>
                <w:numId w:val="170"/>
              </w:numPr>
            </w:pPr>
            <w:r>
              <w:t xml:space="preserve">Any policy that is discarded is ignored. To see which policy is applied, 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Enforcement</w:t>
            </w:r>
            <w:r>
              <w:t>, locate the deployment, and review the decision notes.</w:t>
            </w: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314286" cy="2819048"/>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4"/>
                          <a:stretch>
                            <a:fillRect/>
                          </a:stretch>
                        </pic:blipFill>
                        <pic:spPr>
                          <a:xfrm>
                            <a:off x="0" y="0"/>
                            <a:ext cx="3314286" cy="2819048"/>
                          </a:xfrm>
                          <a:prstGeom prst="rect">
                            <a:avLst/>
                          </a:prstGeom>
                        </pic:spPr>
                      </pic:pic>
                    </a:graphicData>
                  </a:graphic>
                </wp:inline>
              </w:drawing>
            </w:r>
          </w:p>
        </w:tc>
        <w:tc>
          <w:tcPr>
            <w:tcBorders>
              <w:left w:val="nil"/>
              <w:right w:val="nil"/>
            </w:tcBorders>
          </w:tcPr>
          <w:p>
            <w:pPr>
              <w:pStyle w:val="TableBodyText"/>
            </w:pPr>
            <w:r>
              <w:t>Rather than applying one policy and excluding all the others above, the policies are merged and might include values from more than one individual policy.</w:t>
            </w:r>
          </w:p>
          <w:p>
            <w:pPr>
              <w:pStyle w:val="TableBodyText"/>
            </w:pPr>
            <w:r>
              <w:t>In this example, the merging process excludes Policy 2 from consideration because the values are higher than Policy 1.</w:t>
            </w:r>
          </w:p>
          <w:p>
            <w:pPr>
              <w:pStyle w:val="TableBodyText"/>
            </w:pPr>
            <w:r>
              <w:t>Next, Policy 3 is evaluated against Policy 1. The Lease and Total Lease values in Policy 3 are lower than Policy 1, so those values, in addition to the Grace period, become part of the effective policy.</w:t>
            </w:r>
          </w:p>
        </w:tc>
      </w:tr>
    </w:tbl>
    <w:p>
      <w:pPr>
        <w:pStyle w:val="BodyText"/>
        <w:spacing w:before="240"/>
      </w:pPr>
      <w:r>
        <w:t>Review the following day 2 actions policy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13"/>
        <w:gridCol w:w="17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104762" cy="1666667"/>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5"/>
                          <a:stretch>
                            <a:fillRect/>
                          </a:stretch>
                        </pic:blipFill>
                        <pic:spPr>
                          <a:xfrm>
                            <a:off x="0" y="0"/>
                            <a:ext cx="3104762" cy="1666667"/>
                          </a:xfrm>
                          <a:prstGeom prst="rect">
                            <a:avLst/>
                          </a:prstGeom>
                        </pic:spPr>
                      </pic:pic>
                    </a:graphicData>
                  </a:graphic>
                </wp:inline>
              </w:drawing>
            </w:r>
          </w:p>
        </w:tc>
        <w:tc>
          <w:tcPr>
            <w:tcBorders>
              <w:left w:val="nil"/>
              <w:right w:val="nil"/>
            </w:tcBorders>
          </w:tcPr>
          <w:p>
            <w:pPr>
              <w:pStyle w:val="TableBodyText"/>
            </w:pPr>
            <w:r>
              <w:t>After identifying the policies to be considered and ranking them, the policies are then evaluated to identify the merge order.</w:t>
            </w:r>
          </w:p>
          <w:p>
            <w:pPr>
              <w:pStyle w:val="TableBodyText"/>
              <w:numPr>
                <w:numId w:val="171"/>
              </w:numPr>
            </w:pPr>
            <w:r>
              <w:t>The highest ranking policy becomes the baseline. The second-level policy is applied on top of it, and so on.</w:t>
            </w:r>
          </w:p>
          <w:p>
            <w:pPr>
              <w:pStyle w:val="TableBodyText"/>
              <w:numPr>
                <w:numId w:val="171"/>
              </w:numPr>
            </w:pPr>
            <w:r>
              <w:t>If a policy is enforced by preceding policies, for example, policy 3, then it is discarded from consideration.</w:t>
            </w:r>
          </w:p>
          <w:p>
            <w:pPr>
              <w:pStyle w:val="TableBodyText"/>
              <w:numPr>
                <w:numId w:val="171"/>
              </w:numPr>
            </w:pPr>
            <w:r>
              <w:t xml:space="preserve">Any policy that is discarded is ignored. To see which policy is applied, select </w:t>
            </w:r>
            <w:r>
              <w:rPr>
                <w:rStyle w:val="InlineUI"/>
              </w:rPr>
              <w:t>Manage &amp; Govern</w:t>
            </w:r>
            <w:r>
              <w:rPr>
                <w:rStyle w:val="InlineUI"/>
              </w:rPr>
              <w:t xml:space="preserve"> &gt; </w:t>
            </w:r>
            <w:r>
              <w:rPr>
                <w:rStyle w:val="InlineUI"/>
              </w:rPr>
              <w:t>Policies</w:t>
            </w:r>
            <w:r>
              <w:rPr>
                <w:rStyle w:val="InlineUI"/>
              </w:rPr>
              <w:t xml:space="preserve"> &gt; </w:t>
            </w:r>
            <w:r>
              <w:rPr>
                <w:rStyle w:val="InlineUI"/>
              </w:rPr>
              <w:t>Enforcement</w:t>
            </w:r>
            <w:r>
              <w:t>, locate the deployment, and review the decision notes.</w:t>
            </w:r>
          </w:p>
        </w:tc>
      </w:tr>
    </w:tbl>
    <w:p>
      <w:pPr>
        <w:pStyle w:val="SectionHeading4"/>
        <w:spacing w:before="120"/>
      </w:pPr>
      <w:bookmarkStart w:id="234" w:name="_Toc256000775"/>
      <w:r>
        <w:t>Lease policy management goal considerations</w:t>
      </w:r>
      <w:bookmarkEnd w:id="234"/>
    </w:p>
    <w:p>
      <w:pPr>
        <w:pStyle w:val="BodyText"/>
      </w:pPr>
      <w:r>
        <w:t>Now that you know how lease policies are processed, identify your policy management goals. By understanding how the policies are processed, you can meet your management goals without creating an excessive and unmanageable number of policies.</w:t>
      </w:r>
    </w:p>
    <w:p>
      <w:pPr>
        <w:pStyle w:val="BodyText"/>
      </w:pPr>
      <w:r>
        <w:t>When deciding how to implement your policies, consider the following scenarios.</w:t>
      </w:r>
    </w:p>
    <w:p>
      <w:pPr>
        <w:pStyle w:val="BodyText"/>
        <w:numPr>
          <w:numId w:val="172"/>
        </w:numPr>
      </w:pPr>
      <w:r>
        <w:t>Lease policy goals and enforcement examples</w:t>
      </w:r>
    </w:p>
    <w:p>
      <w:pPr>
        <w:pStyle w:val="BodyText"/>
        <w:numPr>
          <w:numId w:val="172"/>
        </w:numPr>
      </w:pPr>
      <w:r>
        <w:t>Day 2 policy goals and enforcement examples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Lease policy goals and enforcement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16"/>
        <w:gridCol w:w="1893"/>
        <w:gridCol w:w="41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Management goal</w:t>
            </w:r>
          </w:p>
        </w:tc>
        <w:tc>
          <w:tcPr>
            <w:tcBorders>
              <w:left w:val="nil"/>
              <w:right w:val="nil"/>
            </w:tcBorders>
            <w:shd w:val="clear" w:color="auto" w:fill="E1E1E1"/>
            <w:tcMar>
              <w:top w:w="60" w:type="dxa"/>
              <w:bottom w:w="60" w:type="dxa"/>
            </w:tcMar>
          </w:tcPr>
          <w:p>
            <w:pPr>
              <w:pStyle w:val="TableHeaderText"/>
            </w:pPr>
            <w:r>
              <w:t>Configuration Example</w:t>
            </w:r>
          </w:p>
        </w:tc>
        <w:tc>
          <w:tcPr>
            <w:tcBorders>
              <w:left w:val="nil"/>
              <w:right w:val="nil"/>
            </w:tcBorders>
            <w:shd w:val="clear" w:color="auto" w:fill="E1E1E1"/>
            <w:tcMar>
              <w:top w:w="60" w:type="dxa"/>
              <w:bottom w:w="60" w:type="dxa"/>
            </w:tcMar>
          </w:tcPr>
          <w:p>
            <w:pPr>
              <w:pStyle w:val="TableHeaderText"/>
            </w:pPr>
            <w:r>
              <w:t>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Meaningful default organization-level policy that still allows the project-level policy values to influence the applied values.</w:t>
            </w:r>
          </w:p>
        </w:tc>
        <w:tc>
          <w:tcPr>
            <w:tcBorders>
              <w:left w:val="nil"/>
              <w:right w:val="nil"/>
            </w:tcBorders>
          </w:tcPr>
          <w:p>
            <w:pPr>
              <w:pStyle w:val="TableBodyText"/>
            </w:pPr>
            <w:r>
              <w:t>Organization policy = Soft</w:t>
            </w:r>
          </w:p>
          <w:p>
            <w:pPr>
              <w:pStyle w:val="TableBodyText"/>
              <w:numPr>
                <w:numId w:val="173"/>
              </w:numPr>
            </w:pPr>
            <w:r>
              <w:t>Grace period: 10</w:t>
            </w:r>
          </w:p>
          <w:p>
            <w:pPr>
              <w:pStyle w:val="TableBodyText"/>
              <w:numPr>
                <w:numId w:val="173"/>
              </w:numPr>
            </w:pPr>
            <w:r>
              <w:t>Lease: 100</w:t>
            </w:r>
          </w:p>
          <w:p>
            <w:pPr>
              <w:pStyle w:val="TableBodyText"/>
              <w:numPr>
                <w:numId w:val="173"/>
              </w:numPr>
            </w:pPr>
            <w:r>
              <w:t>Total Lease: 100</w:t>
            </w:r>
          </w:p>
          <w:p>
            <w:pPr>
              <w:pStyle w:val="TableBodyText"/>
            </w:pPr>
            <w:r>
              <w:t>Project 1 policy 1= Soft</w:t>
            </w:r>
          </w:p>
          <w:p>
            <w:pPr>
              <w:pStyle w:val="TableBodyText"/>
              <w:numPr>
                <w:numId w:val="174"/>
              </w:numPr>
            </w:pPr>
            <w:r>
              <w:t>Lease: 20</w:t>
            </w:r>
          </w:p>
          <w:p>
            <w:pPr>
              <w:pStyle w:val="TableBodyText"/>
              <w:numPr>
                <w:numId w:val="174"/>
              </w:numPr>
            </w:pPr>
            <w:r>
              <w:t>Total Lease: 50</w:t>
            </w:r>
          </w:p>
          <w:p>
            <w:pPr>
              <w:pStyle w:val="TableBodyText"/>
            </w:pPr>
            <w:r>
              <w:t>Project 2 policy 1= Soft</w:t>
            </w:r>
          </w:p>
          <w:p>
            <w:pPr>
              <w:pStyle w:val="TableBodyText"/>
              <w:numPr>
                <w:numId w:val="175"/>
              </w:numPr>
            </w:pPr>
            <w:r>
              <w:t>Lease: 10</w:t>
            </w:r>
          </w:p>
          <w:p>
            <w:pPr>
              <w:pStyle w:val="TableBodyText"/>
              <w:numPr>
                <w:numId w:val="175"/>
              </w:numPr>
            </w:pPr>
            <w:r>
              <w:t>Total Lease: 30</w:t>
            </w:r>
          </w:p>
        </w:tc>
        <w:tc>
          <w:tcPr>
            <w:tcBorders>
              <w:left w:val="nil"/>
              <w:right w:val="nil"/>
            </w:tcBorders>
          </w:tcPr>
          <w:p>
            <w:pPr>
              <w:pStyle w:val="TableBodyText"/>
            </w:pPr>
            <w:r>
              <w:t>A member of project 1 requests a catalog item.</w:t>
            </w:r>
          </w:p>
          <w:p>
            <w:pPr>
              <w:pStyle w:val="TableBodyText"/>
            </w:pPr>
            <w:r>
              <w:t>Project 2 is not considered because it is not applicable to project 1 deployments.</w:t>
            </w:r>
          </w:p>
          <w:p>
            <w:pPr>
              <w:pStyle w:val="TableBodyText"/>
            </w:pPr>
            <w:r>
              <w:t>The merged effective policy is:</w:t>
            </w:r>
          </w:p>
          <w:p>
            <w:pPr>
              <w:pStyle w:val="TableBodyText"/>
              <w:numPr>
                <w:numId w:val="176"/>
              </w:numPr>
            </w:pPr>
            <w:r>
              <w:t>Grace period: 10</w:t>
            </w:r>
          </w:p>
          <w:p>
            <w:pPr>
              <w:pStyle w:val="TableBodyText"/>
              <w:numPr>
                <w:numId w:val="176"/>
              </w:numPr>
            </w:pPr>
            <w:r>
              <w:t>Lease: 20</w:t>
            </w:r>
          </w:p>
          <w:p>
            <w:pPr>
              <w:pStyle w:val="TableBodyText"/>
              <w:numPr>
                <w:numId w:val="176"/>
              </w:numPr>
            </w:pPr>
            <w:r>
              <w:t>Total Lease: 50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Always default to the organization-level policy.</w:t>
            </w:r>
          </w:p>
        </w:tc>
        <w:tc>
          <w:tcPr>
            <w:tcBorders>
              <w:left w:val="nil"/>
              <w:right w:val="nil"/>
            </w:tcBorders>
          </w:tcPr>
          <w:p>
            <w:pPr>
              <w:pStyle w:val="TableBodyText"/>
            </w:pPr>
            <w:r>
              <w:t>Organization policy = Hard</w:t>
            </w:r>
          </w:p>
          <w:p>
            <w:pPr>
              <w:pStyle w:val="TableBodyText"/>
              <w:numPr>
                <w:numId w:val="177"/>
              </w:numPr>
            </w:pPr>
            <w:r>
              <w:t>Grace period: 10</w:t>
            </w:r>
          </w:p>
          <w:p>
            <w:pPr>
              <w:pStyle w:val="TableBodyText"/>
              <w:numPr>
                <w:numId w:val="177"/>
              </w:numPr>
            </w:pPr>
            <w:r>
              <w:t>Lease: 100</w:t>
            </w:r>
          </w:p>
          <w:p>
            <w:pPr>
              <w:pStyle w:val="TableBodyText"/>
              <w:numPr>
                <w:numId w:val="177"/>
              </w:numPr>
            </w:pPr>
            <w:r>
              <w:t>Total Lease: 100</w:t>
            </w:r>
          </w:p>
          <w:p>
            <w:pPr>
              <w:pStyle w:val="TableBodyText"/>
            </w:pPr>
            <w:r>
              <w:t>Project 1 policy 1= Soft</w:t>
            </w:r>
          </w:p>
          <w:p>
            <w:pPr>
              <w:pStyle w:val="TableBodyText"/>
              <w:numPr>
                <w:numId w:val="178"/>
              </w:numPr>
            </w:pPr>
            <w:r>
              <w:t>Lease: 20</w:t>
            </w:r>
          </w:p>
          <w:p>
            <w:pPr>
              <w:pStyle w:val="TableBodyText"/>
              <w:numPr>
                <w:numId w:val="178"/>
              </w:numPr>
            </w:pPr>
            <w:r>
              <w:t>Total Lease: 50</w:t>
            </w:r>
          </w:p>
        </w:tc>
        <w:tc>
          <w:tcPr>
            <w:tcBorders>
              <w:left w:val="nil"/>
              <w:right w:val="nil"/>
            </w:tcBorders>
          </w:tcPr>
          <w:p>
            <w:pPr>
              <w:pStyle w:val="TableBodyText"/>
            </w:pPr>
            <w:r>
              <w:t>A member of project 1 requests a catalog item.</w:t>
            </w:r>
          </w:p>
          <w:p>
            <w:pPr>
              <w:pStyle w:val="TableBodyText"/>
            </w:pPr>
            <w:r>
              <w:t>Project 1 policy 1 is not considered because the hard organization level project is a higher rank and the soft policy is not considered.</w:t>
            </w:r>
          </w:p>
          <w:p>
            <w:pPr>
              <w:pStyle w:val="TableBodyText"/>
            </w:pPr>
            <w:r>
              <w:t>The effective policy is:</w:t>
            </w:r>
          </w:p>
          <w:p>
            <w:pPr>
              <w:pStyle w:val="TableBodyText"/>
              <w:numPr>
                <w:numId w:val="179"/>
              </w:numPr>
            </w:pPr>
            <w:r>
              <w:t>Grace period: 10</w:t>
            </w:r>
          </w:p>
          <w:p>
            <w:pPr>
              <w:pStyle w:val="TableBodyText"/>
              <w:numPr>
                <w:numId w:val="179"/>
              </w:numPr>
            </w:pPr>
            <w:r>
              <w:t>Lease: 100</w:t>
            </w:r>
          </w:p>
          <w:p>
            <w:pPr>
              <w:pStyle w:val="TableBodyText"/>
              <w:numPr>
                <w:numId w:val="179"/>
              </w:numPr>
            </w:pPr>
            <w:r>
              <w:t>Total Lease: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 policies are defined at the project-level, with no organization-level default policy.</w:t>
            </w:r>
          </w:p>
        </w:tc>
        <w:tc>
          <w:tcPr>
            <w:tcBorders>
              <w:left w:val="nil"/>
              <w:right w:val="nil"/>
            </w:tcBorders>
          </w:tcPr>
          <w:p>
            <w:pPr>
              <w:pStyle w:val="TableBodyText"/>
            </w:pPr>
            <w:r>
              <w:t>Project 1 policy 1 = Soft</w:t>
            </w:r>
          </w:p>
          <w:p>
            <w:pPr>
              <w:pStyle w:val="TableBodyText"/>
              <w:numPr>
                <w:numId w:val="180"/>
              </w:numPr>
            </w:pPr>
            <w:r>
              <w:t>Grace period: 10</w:t>
            </w:r>
          </w:p>
          <w:p>
            <w:pPr>
              <w:pStyle w:val="TableBodyText"/>
              <w:numPr>
                <w:numId w:val="180"/>
              </w:numPr>
            </w:pPr>
            <w:r>
              <w:t>Lease: 100</w:t>
            </w:r>
          </w:p>
          <w:p>
            <w:pPr>
              <w:pStyle w:val="TableBodyText"/>
              <w:numPr>
                <w:numId w:val="180"/>
              </w:numPr>
            </w:pPr>
            <w:r>
              <w:t>Total Lease: 100</w:t>
            </w:r>
          </w:p>
          <w:p>
            <w:pPr>
              <w:pStyle w:val="TableBodyText"/>
            </w:pPr>
            <w:r>
              <w:t>Project 1 policy 2= Soft</w:t>
            </w:r>
          </w:p>
          <w:p>
            <w:pPr>
              <w:pStyle w:val="TableBodyText"/>
              <w:numPr>
                <w:numId w:val="181"/>
              </w:numPr>
            </w:pPr>
            <w:r>
              <w:t>Lease: 20</w:t>
            </w:r>
          </w:p>
        </w:tc>
        <w:tc>
          <w:tcPr>
            <w:tcBorders>
              <w:left w:val="nil"/>
              <w:right w:val="nil"/>
            </w:tcBorders>
          </w:tcPr>
          <w:p>
            <w:pPr>
              <w:pStyle w:val="TableBodyText"/>
            </w:pPr>
            <w:r>
              <w:t>A member of project 1 requests a catalog item.</w:t>
            </w:r>
          </w:p>
          <w:p>
            <w:pPr>
              <w:pStyle w:val="TableBodyText"/>
            </w:pPr>
            <w:r>
              <w:t>They are both soft policies, and they are both for project 1. The values are merged.</w:t>
            </w:r>
          </w:p>
          <w:p>
            <w:pPr>
              <w:pStyle w:val="TableBodyText"/>
            </w:pPr>
            <w:r>
              <w:t>The effective policy is:</w:t>
            </w:r>
          </w:p>
          <w:p>
            <w:pPr>
              <w:pStyle w:val="TableBodyText"/>
              <w:numPr>
                <w:numId w:val="182"/>
              </w:numPr>
            </w:pPr>
            <w:r>
              <w:t>Grace period: 10</w:t>
            </w:r>
          </w:p>
          <w:p>
            <w:pPr>
              <w:pStyle w:val="TableBodyText"/>
              <w:numPr>
                <w:numId w:val="182"/>
              </w:numPr>
            </w:pPr>
            <w:r>
              <w:t>Lease: 20</w:t>
            </w:r>
          </w:p>
          <w:p>
            <w:pPr>
              <w:pStyle w:val="TableBodyText"/>
              <w:numPr>
                <w:numId w:val="182"/>
              </w:numPr>
            </w:pPr>
            <w:r>
              <w:t>Total Lease: 100</w:t>
            </w:r>
          </w:p>
        </w:tc>
      </w:tr>
    </w:tbl>
    <w:p>
      <w:pPr>
        <w:pStyle w:val="BodyText"/>
        <w:spacing w:before="240"/>
      </w:pPr>
      <w:r>
        <w:t>The day 2 actions policies are used in these examples.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Day 2 policy goals and enforcement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36"/>
        <w:gridCol w:w="3161"/>
        <w:gridCol w:w="416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Management goal</w:t>
            </w:r>
          </w:p>
        </w:tc>
        <w:tc>
          <w:tcPr>
            <w:tcBorders>
              <w:left w:val="nil"/>
              <w:right w:val="nil"/>
            </w:tcBorders>
            <w:shd w:val="clear" w:color="auto" w:fill="E1E1E1"/>
            <w:tcMar>
              <w:top w:w="60" w:type="dxa"/>
              <w:bottom w:w="60" w:type="dxa"/>
            </w:tcMar>
          </w:tcPr>
          <w:p>
            <w:pPr>
              <w:pStyle w:val="TableHeaderText"/>
            </w:pPr>
            <w:r>
              <w:t>Configuration Example</w:t>
            </w:r>
          </w:p>
        </w:tc>
        <w:tc>
          <w:tcPr>
            <w:tcBorders>
              <w:left w:val="nil"/>
              <w:right w:val="nil"/>
            </w:tcBorders>
            <w:shd w:val="clear" w:color="auto" w:fill="E1E1E1"/>
            <w:tcMar>
              <w:top w:w="60" w:type="dxa"/>
              <w:bottom w:w="60" w:type="dxa"/>
            </w:tcMar>
          </w:tcPr>
          <w:p>
            <w:pPr>
              <w:pStyle w:val="TableHeaderText"/>
            </w:pPr>
            <w:r>
              <w:t>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Meaningful default organization-level policy that still allows the project-level policy values to influence the applied values.</w:t>
            </w:r>
          </w:p>
        </w:tc>
        <w:tc>
          <w:tcPr>
            <w:tcBorders>
              <w:left w:val="nil"/>
              <w:right w:val="nil"/>
            </w:tcBorders>
          </w:tcPr>
          <w:p>
            <w:pPr>
              <w:pStyle w:val="TableBodyText"/>
            </w:pPr>
            <w:r>
              <w:t>Organization policy = Soft</w:t>
            </w:r>
          </w:p>
          <w:p>
            <w:pPr>
              <w:pStyle w:val="TableBodyText"/>
              <w:numPr>
                <w:numId w:val="183"/>
              </w:numPr>
            </w:pPr>
            <w:r>
              <w:t>Actions : Deployment.*</w:t>
            </w:r>
          </w:p>
          <w:p>
            <w:pPr>
              <w:pStyle w:val="TableBodyText"/>
            </w:pPr>
            <w:r>
              <w:t>Project 1 policy 1= Soft</w:t>
            </w:r>
          </w:p>
          <w:p>
            <w:pPr>
              <w:pStyle w:val="TableBodyText"/>
              <w:numPr>
                <w:numId w:val="184"/>
              </w:numPr>
            </w:pPr>
            <w:r>
              <w:t>Actions: VirtualMachine.*</w:t>
            </w:r>
          </w:p>
          <w:p>
            <w:pPr>
              <w:pStyle w:val="TableBodyText"/>
            </w:pPr>
            <w:r>
              <w:t>Project 2 policy 1= Soft</w:t>
            </w:r>
          </w:p>
          <w:p>
            <w:pPr>
              <w:pStyle w:val="TableBodyText"/>
              <w:numPr>
                <w:numId w:val="185"/>
              </w:numPr>
            </w:pPr>
            <w:r>
              <w:t>Actions: VirtualMachine.*</w:t>
            </w:r>
          </w:p>
        </w:tc>
        <w:tc>
          <w:tcPr>
            <w:tcBorders>
              <w:left w:val="nil"/>
              <w:right w:val="nil"/>
            </w:tcBorders>
          </w:tcPr>
          <w:p>
            <w:pPr>
              <w:pStyle w:val="TableBodyText"/>
            </w:pPr>
            <w:r>
              <w:t>A member of project 1 requests a catalog item.</w:t>
            </w:r>
          </w:p>
          <w:p>
            <w:pPr>
              <w:pStyle w:val="TableBodyText"/>
            </w:pPr>
            <w:r>
              <w:t>Project 2 is not considered because it is not applicable to project 1 deployments.</w:t>
            </w:r>
          </w:p>
          <w:p>
            <w:pPr>
              <w:pStyle w:val="TableBodyText"/>
            </w:pPr>
            <w:r>
              <w:t>The merged effective policy is:</w:t>
            </w:r>
          </w:p>
          <w:p>
            <w:pPr>
              <w:pStyle w:val="TableBodyText"/>
              <w:numPr>
                <w:numId w:val="186"/>
              </w:numPr>
            </w:pPr>
            <w:r>
              <w:t>Action : {Deployment.* ,VirtualMachine.*}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Always default to the organization-level policy.</w:t>
            </w:r>
          </w:p>
        </w:tc>
        <w:tc>
          <w:tcPr>
            <w:tcBorders>
              <w:left w:val="nil"/>
              <w:right w:val="nil"/>
            </w:tcBorders>
          </w:tcPr>
          <w:p>
            <w:pPr>
              <w:pStyle w:val="TableBodyText"/>
            </w:pPr>
            <w:r>
              <w:t>Organization policy = Hard</w:t>
            </w:r>
          </w:p>
          <w:p>
            <w:pPr>
              <w:pStyle w:val="TableBodyText"/>
              <w:numPr>
                <w:numId w:val="187"/>
              </w:numPr>
            </w:pPr>
            <w:r>
              <w:t>Action : Deployment.*</w:t>
            </w:r>
          </w:p>
          <w:p>
            <w:pPr>
              <w:pStyle w:val="TableBodyText"/>
            </w:pPr>
            <w:r>
              <w:t>Project 1 policy 1= Soft</w:t>
            </w:r>
          </w:p>
          <w:p>
            <w:pPr>
              <w:pStyle w:val="TableBodyText"/>
              <w:numPr>
                <w:numId w:val="188"/>
              </w:numPr>
            </w:pPr>
            <w:r>
              <w:t>Action : VirtualMachine.*</w:t>
            </w:r>
          </w:p>
        </w:tc>
        <w:tc>
          <w:tcPr>
            <w:tcBorders>
              <w:left w:val="nil"/>
              <w:right w:val="nil"/>
            </w:tcBorders>
          </w:tcPr>
          <w:p>
            <w:pPr>
              <w:pStyle w:val="TableBodyText"/>
            </w:pPr>
            <w:r>
              <w:t>A member of project 1 requests a catalog item.</w:t>
            </w:r>
          </w:p>
          <w:p>
            <w:pPr>
              <w:pStyle w:val="TableBodyText"/>
            </w:pPr>
            <w:r>
              <w:t>Project 1 policy 1 is not considered because the hard organization level project is a higher rank and the soft policy is not considered.</w:t>
            </w:r>
          </w:p>
          <w:p>
            <w:pPr>
              <w:pStyle w:val="TableBodyText"/>
            </w:pPr>
            <w:r>
              <w:t>The effective policy is:</w:t>
            </w:r>
          </w:p>
          <w:p>
            <w:pPr>
              <w:pStyle w:val="TableBodyText"/>
              <w:numPr>
                <w:numId w:val="189"/>
              </w:numPr>
            </w:pPr>
            <w:r>
              <w:t>Action : {Deployment.*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 policies are defined at the project-level, with no organization-level default policy.</w:t>
            </w:r>
          </w:p>
        </w:tc>
        <w:tc>
          <w:tcPr>
            <w:tcBorders>
              <w:left w:val="nil"/>
              <w:right w:val="nil"/>
            </w:tcBorders>
          </w:tcPr>
          <w:p>
            <w:pPr>
              <w:pStyle w:val="TableBodyText"/>
            </w:pPr>
            <w:r>
              <w:t>Project 1 policy 1 = Soft</w:t>
            </w:r>
          </w:p>
          <w:p>
            <w:pPr>
              <w:pStyle w:val="TableBodyText"/>
              <w:numPr>
                <w:numId w:val="190"/>
              </w:numPr>
            </w:pPr>
            <w:r>
              <w:t>Actions : Deployment.ChangeLease</w:t>
            </w:r>
          </w:p>
          <w:p>
            <w:pPr>
              <w:pStyle w:val="TableBodyText"/>
            </w:pPr>
            <w:r>
              <w:t>Project 1 policy 2= Soft</w:t>
            </w:r>
          </w:p>
          <w:p>
            <w:pPr>
              <w:pStyle w:val="TableBodyText"/>
              <w:numPr>
                <w:numId w:val="191"/>
              </w:numPr>
            </w:pPr>
            <w:r>
              <w:t>Action : Deployment.Delete</w:t>
            </w:r>
          </w:p>
        </w:tc>
        <w:tc>
          <w:tcPr>
            <w:tcBorders>
              <w:left w:val="nil"/>
              <w:right w:val="nil"/>
            </w:tcBorders>
          </w:tcPr>
          <w:p>
            <w:pPr>
              <w:pStyle w:val="TableBodyText"/>
            </w:pPr>
            <w:r>
              <w:t>A member of project 1 requests a catalog item.</w:t>
            </w:r>
          </w:p>
          <w:p>
            <w:pPr>
              <w:pStyle w:val="TableBodyText"/>
            </w:pPr>
            <w:r>
              <w:t>They are both soft policies, and they are both for project 1. The values are merged.</w:t>
            </w:r>
          </w:p>
          <w:p>
            <w:pPr>
              <w:pStyle w:val="TableBodyText"/>
            </w:pPr>
            <w:r>
              <w:t>The effective policy is:</w:t>
            </w:r>
          </w:p>
          <w:p>
            <w:pPr>
              <w:pStyle w:val="TableBodyText"/>
              <w:numPr>
                <w:numId w:val="192"/>
              </w:numPr>
            </w:pPr>
            <w:r>
              <w:t>Action : {Deployment.ChangeLease , Deployment.Delete}</w:t>
            </w:r>
          </w:p>
        </w:tc>
      </w:tr>
    </w:tbl>
    <w:p>
      <w:pPr>
        <w:pStyle w:val="SectionHeading4"/>
        <w:spacing w:before="120"/>
      </w:pPr>
      <w:bookmarkStart w:id="235" w:name="_Toc256000776"/>
      <w:r>
        <w:t>Approval policy goals and enforcement examples</w:t>
      </w:r>
      <w:bookmarkEnd w:id="235"/>
    </w:p>
    <w:p>
      <w:pPr>
        <w:pStyle w:val="BodyText"/>
      </w:pPr>
      <w:r>
        <w:t>The approval policy evaluation follows this process.</w:t>
      </w:r>
    </w:p>
    <w:p>
      <w:pPr>
        <w:pStyle w:val="BodyText"/>
        <w:numPr>
          <w:numId w:val="193"/>
        </w:numPr>
      </w:pPr>
      <w:r>
        <w:t>A request for a deployment or day 2 action is submitted.</w:t>
      </w:r>
    </w:p>
    <w:p>
      <w:pPr>
        <w:pStyle w:val="BodyText"/>
        <w:numPr>
          <w:numId w:val="193"/>
        </w:numPr>
      </w:pPr>
      <w:r>
        <w:t>The approval service queries for policies that apply to the project that is requesting a catalog item or changing a deployed item.</w:t>
      </w:r>
    </w:p>
    <w:p>
      <w:pPr>
        <w:pStyle w:val="BodyText"/>
        <w:numPr>
          <w:numId w:val="193"/>
        </w:numPr>
      </w:pPr>
      <w:r>
        <w:t>All the applicable project- and organization-level scope policies are returned.</w:t>
      </w:r>
    </w:p>
    <w:p>
      <w:pPr>
        <w:pStyle w:val="BodyText"/>
        <w:numPr>
          <w:numId w:val="193"/>
        </w:numPr>
      </w:pPr>
      <w:r>
        <w:t>The approval policies are filtered based on the deployment criteria. Deployment criteria apply to deployments and day 2 actions.</w:t>
      </w:r>
    </w:p>
    <w:p>
      <w:pPr>
        <w:pStyle w:val="BodyText"/>
        <w:numPr>
          <w:numId w:val="193"/>
        </w:numPr>
      </w:pPr>
      <w:r>
        <w:t>If no matching policies are found, no approval is required and the deployment process proceeds.</w:t>
      </w:r>
    </w:p>
    <w:p>
      <w:pPr>
        <w:pStyle w:val="BodyText"/>
        <w:numPr>
          <w:numId w:val="193"/>
        </w:numPr>
      </w:pPr>
      <w:r>
        <w:t>If there are matching policies, for example, AP1, AP2, APn, then an approval item is created as:</w:t>
      </w:r>
    </w:p>
    <w:p>
      <w:pPr>
        <w:pStyle w:val="BodyText"/>
        <w:numPr>
          <w:ilvl w:val="1"/>
          <w:numId w:val="193"/>
        </w:numPr>
      </w:pPr>
      <w:r>
        <w:t>Enforced policies = AP1, AP2, APn.</w:t>
      </w:r>
    </w:p>
    <w:p>
      <w:pPr>
        <w:pStyle w:val="BodyText"/>
        <w:numPr>
          <w:ilvl w:val="1"/>
          <w:numId w:val="193"/>
        </w:numPr>
      </w:pPr>
      <w:r>
        <w:t>Approvers = A union of all the approvers in all the enforced policies.</w:t>
      </w:r>
    </w:p>
    <w:p>
      <w:pPr>
        <w:pStyle w:val="BodyText"/>
        <w:numPr>
          <w:ilvl w:val="1"/>
          <w:numId w:val="193"/>
        </w:numPr>
      </w:pPr>
      <w:r>
        <w:t>Auto expiry = Reject, if any policy has a reject value; otherwise, approve.</w:t>
      </w:r>
    </w:p>
    <w:p>
      <w:pPr>
        <w:pStyle w:val="BodyText"/>
        <w:numPr>
          <w:ilvl w:val="1"/>
          <w:numId w:val="193"/>
        </w:numPr>
      </w:pPr>
      <w:r>
        <w:t>Expiry = Minimum number of days of any of the enforced policies.</w:t>
      </w:r>
    </w:p>
    <w:p>
      <w:pPr>
        <w:pStyle w:val="BodyText"/>
      </w:pPr>
      <w:r>
        <w:t>The following table provides a sample of multiple policies. The description of how they are processed is below the table.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64"/>
        <w:gridCol w:w="72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Policy</w:t>
            </w:r>
          </w:p>
        </w:tc>
        <w:tc>
          <w:tcPr>
            <w:tcBorders>
              <w:left w:val="nil"/>
              <w:right w:val="nil"/>
            </w:tcBorders>
            <w:shd w:val="clear" w:color="auto" w:fill="E1E1E1"/>
            <w:tcMar>
              <w:top w:w="60" w:type="dxa"/>
              <w:bottom w:w="60" w:type="dxa"/>
            </w:tcMar>
          </w:tcPr>
          <w:p>
            <w:pPr>
              <w:pStyle w:val="TableHeaderText"/>
            </w:pPr>
            <w:r>
              <w:t>Configuration 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AP1</w:t>
            </w:r>
          </w:p>
        </w:tc>
        <w:tc>
          <w:tcPr>
            <w:tcBorders>
              <w:left w:val="nil"/>
              <w:right w:val="nil"/>
            </w:tcBorders>
          </w:tcPr>
          <w:p>
            <w:pPr>
              <w:pStyle w:val="TableBodyText"/>
            </w:pPr>
            <w:r>
              <w:t>Scope = Organization</w:t>
            </w:r>
          </w:p>
          <w:p>
            <w:pPr>
              <w:pStyle w:val="TableBodyText"/>
            </w:pPr>
            <w:r>
              <w:t>Auto expiry = Approve</w:t>
            </w:r>
          </w:p>
          <w:p>
            <w:pPr>
              <w:pStyle w:val="TableBodyText"/>
            </w:pPr>
            <w:r>
              <w:t>Expiry = 7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AP2</w:t>
            </w:r>
          </w:p>
        </w:tc>
        <w:tc>
          <w:tcPr>
            <w:tcBorders>
              <w:left w:val="nil"/>
              <w:right w:val="nil"/>
            </w:tcBorders>
          </w:tcPr>
          <w:p>
            <w:pPr>
              <w:pStyle w:val="TableBodyText"/>
            </w:pPr>
            <w:r>
              <w:t>Scope = Project 1</w:t>
            </w:r>
          </w:p>
          <w:p>
            <w:pPr>
              <w:pStyle w:val="TableBodyText"/>
            </w:pPr>
            <w:r>
              <w:t>Auto expiry - Approve</w:t>
            </w:r>
          </w:p>
          <w:p>
            <w:pPr>
              <w:pStyle w:val="TableBodyText"/>
            </w:pPr>
            <w:r>
              <w:t>Expiry = 3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AP3</w:t>
            </w:r>
          </w:p>
        </w:tc>
        <w:tc>
          <w:tcPr>
            <w:tcBorders>
              <w:left w:val="nil"/>
              <w:right w:val="nil"/>
            </w:tcBorders>
          </w:tcPr>
          <w:p>
            <w:pPr>
              <w:pStyle w:val="TableBodyText"/>
            </w:pPr>
            <w:r>
              <w:t>Scope = Project 1</w:t>
            </w:r>
          </w:p>
          <w:p>
            <w:pPr>
              <w:pStyle w:val="TableBodyText"/>
            </w:pPr>
            <w:r>
              <w:t>Auto expiry = Reject</w:t>
            </w:r>
          </w:p>
          <w:p>
            <w:pPr>
              <w:pStyle w:val="TableBodyText"/>
            </w:pPr>
            <w:r>
              <w:t>Expiry = 4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AP4</w:t>
            </w:r>
          </w:p>
        </w:tc>
        <w:tc>
          <w:tcPr>
            <w:tcBorders>
              <w:left w:val="nil"/>
              <w:right w:val="nil"/>
            </w:tcBorders>
          </w:tcPr>
          <w:p>
            <w:pPr>
              <w:pStyle w:val="TableBodyText"/>
            </w:pPr>
            <w:r>
              <w:t>Scope = Project 2</w:t>
            </w:r>
          </w:p>
          <w:p>
            <w:pPr>
              <w:pStyle w:val="TableBodyText"/>
            </w:pPr>
            <w:r>
              <w:t>Auto expiry = Approve</w:t>
            </w:r>
          </w:p>
          <w:p>
            <w:pPr>
              <w:pStyle w:val="TableBodyText"/>
            </w:pPr>
            <w:r>
              <w:t>Expiry = 5 days</w:t>
            </w:r>
          </w:p>
        </w:tc>
      </w:tr>
    </w:tbl>
    <w:p>
      <w:pPr>
        <w:pStyle w:val="BodyText"/>
        <w:spacing w:before="240"/>
      </w:pPr>
      <w:r>
        <w:t>Based on the policies and configuration examples above, the following information explains how a Project 1 request is processed.</w:t>
      </w:r>
    </w:p>
    <w:p>
      <w:pPr>
        <w:pStyle w:val="BodyText"/>
        <w:numPr>
          <w:numId w:val="194"/>
        </w:numPr>
      </w:pPr>
      <w:r>
        <w:t>The scope evaluation returns AP1, AP2, and AP3. AP4 is not included because it is a Project 2 policy.</w:t>
      </w:r>
    </w:p>
    <w:p>
      <w:pPr>
        <w:pStyle w:val="BodyText"/>
        <w:numPr>
          <w:numId w:val="194"/>
        </w:numPr>
      </w:pPr>
      <w:r>
        <w:t>Assuming that AP1, AP2, and AP3 satisfy the deployment and action criteria, then the approval item includes the following values:</w:t>
      </w:r>
    </w:p>
    <w:p>
      <w:pPr>
        <w:pStyle w:val="BodyText"/>
        <w:numPr>
          <w:ilvl w:val="1"/>
          <w:numId w:val="194"/>
        </w:numPr>
      </w:pPr>
      <w:r>
        <w:t>Approvers = Any or all the approvers from AP1, AP2, and AP3 are added as approvers.</w:t>
      </w:r>
    </w:p>
    <w:p>
      <w:pPr>
        <w:pStyle w:val="BodyText"/>
        <w:numPr>
          <w:ilvl w:val="1"/>
          <w:numId w:val="194"/>
        </w:numPr>
      </w:pPr>
      <w:r>
        <w:t>Auto expiry = Reject. AP3 provides the more restrictive behavior.</w:t>
      </w:r>
    </w:p>
    <w:p>
      <w:pPr>
        <w:pStyle w:val="BodyText"/>
        <w:numPr>
          <w:ilvl w:val="1"/>
          <w:numId w:val="194"/>
        </w:numPr>
      </w:pPr>
      <w:r>
        <w:t>Expiry = 3 days. AP2 provides the lowest value.</w:t>
      </w:r>
    </w:p>
    <w:p>
      <w:pPr>
        <w:pStyle w:val="Heading2"/>
      </w:pPr>
      <w:bookmarkStart w:id="236" w:name="_Toc256000777"/>
      <w:r>
        <w:t>Provisioning Resources in VCF Automation</w:t>
      </w:r>
      <w:bookmarkEnd w:id="236"/>
    </w:p>
    <w:p>
      <w:pPr>
        <w:pStyle w:val="BodyText"/>
      </w:pPr>
      <w:r>
        <w:t xml:space="preserve">In </w:t>
      </w:r>
      <w:r>
        <w:t>VCF Automation</w:t>
      </w:r>
      <w:r>
        <w:t>, resources like VMs and VKS clusters are provisioned in namespaces either through blueprints or through the IaaS Services console.</w:t>
      </w:r>
    </w:p>
    <w:p>
      <w:pPr>
        <w:pStyle w:val="SectionHeading3"/>
      </w:pPr>
      <w:bookmarkStart w:id="237" w:name="_Toc256000778"/>
      <w:r>
        <w:t>Provisioning Resources Using Blueprints</w:t>
      </w:r>
      <w:bookmarkEnd w:id="237"/>
    </w:p>
    <w:p>
      <w:pPr>
        <w:pStyle w:val="BodyText"/>
      </w:pPr>
      <w:r>
        <w:t>When using blueprints, namespaces and the desired resources are dragged and dropped on to the blueprint canvas. The resulting blueprint is then published to the catalog where end users can request it for deployment.</w:t>
      </w:r>
    </w:p>
    <w:p>
      <w:pPr>
        <w:pStyle w:val="BodyText"/>
      </w:pPr>
      <w:r>
        <w:t>Blueprints are recommended when the organization administrator needs better control over the exact resource that are provisioned by end-users. Blueprints are also used when the process of provisioning resources needs to be repeatable.</w:t>
      </w:r>
    </w:p>
    <w:p>
      <w:pPr>
        <w:pStyle w:val="SectionHeading3"/>
      </w:pPr>
      <w:bookmarkStart w:id="238" w:name="_Toc256000779"/>
      <w:r>
        <w:t>Provisioning Resources Using the IaaS Services Console</w:t>
      </w:r>
      <w:bookmarkEnd w:id="238"/>
    </w:p>
    <w:p>
      <w:pPr>
        <w:pStyle w:val="BodyText"/>
      </w:pPr>
      <w:r>
        <w:t xml:space="preserve">When using the IaaS Services console, the desired namespace is selected from the </w:t>
      </w:r>
      <w:r>
        <w:rPr>
          <w:rStyle w:val="InlineUI"/>
        </w:rPr>
        <w:t>Build &amp; Deploy</w:t>
      </w:r>
      <w:r>
        <w:t xml:space="preserve"> page. End users can create the desired resources directly on the selected namespace.</w:t>
      </w:r>
    </w:p>
    <w:p>
      <w:pPr>
        <w:pStyle w:val="BodyText"/>
      </w:pPr>
      <w:r>
        <w:t>The self-service IaaS Services console enables end users to provision resources without depending on blueprints. The IaaS Services console is suitable for development needs when agility and flexibility of provisioning resources are more important than repeatability.</w:t>
      </w:r>
    </w:p>
    <w:p>
      <w:pPr>
        <w:pStyle w:val="Heading3"/>
      </w:pPr>
      <w:bookmarkStart w:id="239" w:name="_Toc256000780"/>
      <w:r>
        <w:t>Requesting an Item from the Catalog in VCF Automation</w:t>
      </w:r>
      <w:bookmarkEnd w:id="239"/>
    </w:p>
    <w:p>
      <w:pPr>
        <w:pStyle w:val="BodyText"/>
      </w:pPr>
      <w:r>
        <w:t>Catalog items are blueprints, VM images, and other infrastructure objects that project users can request for deployment. At request time, the information that the requesting user must provide or configure depends on how the blueprint was designed. When an item is deployed, it is provisioned based on the namespaces that are associated with the selected project.</w:t>
      </w:r>
    </w:p>
    <w:p>
      <w:pPr>
        <w:pStyle w:val="SectionHeading4"/>
      </w:pPr>
      <w:bookmarkStart w:id="240" w:name="_Toc256000781"/>
      <w:r>
        <w:t>Who Works with the Catalog</w:t>
      </w:r>
      <w:bookmarkEnd w:id="240"/>
    </w:p>
    <w:p>
      <w:pPr>
        <w:pStyle w:val="BodyText"/>
      </w:pPr>
      <w:r>
        <w:t>As the organization administrator, you provide the catalog items. The items that are available to users depend on their project membership.</w:t>
      </w:r>
    </w:p>
    <w:p>
      <w:pPr>
        <w:pStyle w:val="BodyText"/>
        <w:numPr>
          <w:numId w:val="195"/>
        </w:numPr>
      </w:pPr>
      <w:r>
        <w:t>If a user is a member of one project, they can see only the catalog items for that project.</w:t>
      </w:r>
    </w:p>
    <w:p>
      <w:pPr>
        <w:pStyle w:val="BodyText"/>
        <w:numPr>
          <w:numId w:val="195"/>
        </w:numPr>
      </w:pPr>
      <w:r>
        <w:t>If a user is a member of several projects, they can see the catalog items for those projects.</w:t>
      </w:r>
    </w:p>
    <w:p>
      <w:pPr>
        <w:pStyle w:val="BodyText"/>
        <w:numPr>
          <w:numId w:val="195"/>
        </w:numPr>
      </w:pPr>
      <w:r>
        <w:t>If a project does not have any configured catalog items, the Catalog section does not appear for members of that project.</w:t>
      </w:r>
    </w:p>
    <w:p>
      <w:pPr>
        <w:pStyle w:val="BodyText"/>
      </w:pPr>
      <w:r>
        <w:t>Projects also determine user options at deployment time.</w:t>
      </w:r>
    </w:p>
    <w:p>
      <w:pPr>
        <w:pStyle w:val="BodyText"/>
      </w:pPr>
      <w:r>
        <w:t xml:space="preserve">For more information on working with the catalog, see </w:t>
      </w:r>
      <w:r>
        <w:t>Request an Item from the Catalog in VCF Automation for All Apps</w:t>
      </w:r>
      <w:r>
        <w:t xml:space="preserve"> in the </w:t>
      </w:r>
      <w:r>
        <w:rPr>
          <w:rStyle w:val="InlineCite"/>
        </w:rPr>
        <w:t>Building Your Applications</w:t>
      </w:r>
      <w:r>
        <w:t xml:space="preserve"> guide.</w:t>
      </w:r>
    </w:p>
    <w:p>
      <w:pPr>
        <w:pStyle w:val="SectionHeading4"/>
      </w:pPr>
      <w:bookmarkStart w:id="241" w:name="_Toc256000782"/>
      <w:r>
        <w:t>Managing Deployed Instances in VCF Automation</w:t>
      </w:r>
      <w:bookmarkEnd w:id="241"/>
    </w:p>
    <w:p>
      <w:pPr>
        <w:pStyle w:val="BodyText"/>
      </w:pPr>
      <w:r>
        <w:t xml:space="preserve">Catalog consumers use the </w:t>
      </w:r>
      <w:r>
        <w:rPr>
          <w:rStyle w:val="InlineUI"/>
        </w:rPr>
        <w:t>Instances</w:t>
      </w:r>
      <w:r>
        <w:t xml:space="preserve"> page in </w:t>
      </w:r>
      <w:r>
        <w:t>VCF Automation</w:t>
      </w:r>
      <w:r>
        <w:t xml:space="preserve"> to view and manage all of their provisioned resources across their projects. Resources include deployed catalog items, virtual machines, Kubernetes clusters, and other custom resources.</w:t>
      </w:r>
    </w:p>
    <w:p>
      <w:pPr>
        <w:pStyle w:val="BodyText"/>
      </w:pPr>
      <w:r>
        <w:t xml:space="preserve">For more information on working with instances, see </w:t>
      </w:r>
      <w:r>
        <w:t>Managing Deployed Instances in for All Apps</w:t>
      </w:r>
      <w:r>
        <w:t xml:space="preserve"> in the </w:t>
      </w:r>
      <w:r>
        <w:rPr>
          <w:rStyle w:val="InlineCite"/>
        </w:rPr>
        <w:t>Building Your Applications</w:t>
      </w:r>
      <w:r>
        <w:t xml:space="preserve"> guide.</w:t>
      </w:r>
    </w:p>
    <w:p>
      <w:pPr>
        <w:pStyle w:val="Heading3"/>
      </w:pPr>
      <w:bookmarkStart w:id="242" w:name="_Toc256000783"/>
      <w:r>
        <w:t>Using the Self-Service IaaS Console in VCF Automation</w:t>
      </w:r>
      <w:bookmarkEnd w:id="242"/>
    </w:p>
    <w:p>
      <w:pPr>
        <w:pStyle w:val="BodyText"/>
      </w:pPr>
      <w:r>
        <w:t>VCF Automation</w:t>
      </w:r>
      <w:r>
        <w:t xml:space="preserve"> provides application teams with access to modern services enabled by </w:t>
      </w:r>
      <w:r>
        <w:t>vSphere Supervisor</w:t>
      </w:r>
      <w:r>
        <w:t xml:space="preserve"> and cloud native applications. Users can consume necessary infrastructure by provisioning resources including VMs, Kubernetes, volumes, load balancers and networking objects, storage, and others, in a public cloud-like fashion, without depending on the organization administrator to create and distribute blueprints through the catalog.</w:t>
      </w:r>
    </w:p>
    <w:p>
      <w:pPr>
        <w:pStyle w:val="SectionHeading4"/>
      </w:pPr>
      <w:bookmarkStart w:id="243" w:name="_Toc256000784"/>
      <w:r>
        <w:t>Who Works with the IaaS Services Console</w:t>
      </w:r>
      <w:bookmarkEnd w:id="243"/>
    </w:p>
    <w:p>
      <w:pPr>
        <w:pStyle w:val="BodyText"/>
      </w:pPr>
      <w:r>
        <w:t xml:space="preserve">The IaaS Services console in the </w:t>
      </w:r>
      <w:r>
        <w:t>VCF Automation</w:t>
      </w:r>
      <w:r>
        <w:t xml:space="preserve"> organization portal is available to users with the </w:t>
      </w:r>
      <w:r>
        <w:rPr>
          <w:rStyle w:val="InlineVar"/>
        </w:rPr>
        <w:t>Project Administrator</w:t>
      </w:r>
      <w:r>
        <w:t xml:space="preserve"> or </w:t>
      </w:r>
      <w:r>
        <w:rPr>
          <w:rStyle w:val="InlineVar"/>
        </w:rPr>
        <w:t>Project Advanced User</w:t>
      </w:r>
      <w:r>
        <w:t xml:space="preserve"> role.</w:t>
      </w:r>
    </w:p>
    <w:p>
      <w:pPr>
        <w:pStyle w:val="SectionHeading4"/>
      </w:pPr>
      <w:bookmarkStart w:id="244" w:name="_Toc256000785"/>
      <w:r>
        <w:t>What IaaS Services Are Supported</w:t>
      </w:r>
      <w:bookmarkEnd w:id="244"/>
    </w:p>
    <w:p>
      <w:pPr>
        <w:pStyle w:val="BodyText"/>
      </w:pPr>
      <w:r>
        <w:t>Supported services include VM Service, VM Image Service, Kubernetes Service, Network Service, Volume Service, Private AI Service, Avi Load Balancer, and extensible VCF services like Secrets, Key Management, and Data Service.</w:t>
      </w:r>
    </w:p>
    <w:p>
      <w:pPr>
        <w:pStyle w:val="BodyText"/>
      </w:pPr>
      <w:r>
        <w:t>IaaS Services are scoped to a namespace. Users can use the namespace selector to switch between namespaces to which they have access. What namespaces are available to users depends on their project membership.</w:t>
      </w:r>
    </w:p>
    <w:p>
      <w:pPr>
        <w:pStyle w:val="BodyText"/>
      </w:pPr>
      <w:r>
        <w:t xml:space="preserve">For more information about using the self-service IaaS Console, see the following topics in the </w:t>
      </w:r>
      <w:r>
        <w:rPr>
          <w:rStyle w:val="InlineCite"/>
        </w:rPr>
        <w:t>Building Your Applications</w:t>
      </w:r>
      <w:r>
        <w:t xml:space="preserve"> guide:</w:t>
      </w:r>
    </w:p>
    <w:p>
      <w:pPr>
        <w:pStyle w:val="BodyText"/>
        <w:numPr>
          <w:numId w:val="196"/>
        </w:numPr>
      </w:pPr>
      <w:r>
        <w:t>Provision a VM Using the IaaS Services Console in VCF Automation</w:t>
      </w:r>
    </w:p>
    <w:p>
      <w:pPr>
        <w:pStyle w:val="BodyText"/>
        <w:numPr>
          <w:numId w:val="196"/>
        </w:numPr>
      </w:pPr>
      <w:r>
        <w:t>Provision a Kubernetes Cluster Using the IaaS Services Console in VCF Automation</w:t>
      </w:r>
    </w:p>
    <w:p>
      <w:pPr>
        <w:pStyle w:val="Heading2"/>
      </w:pPr>
      <w:bookmarkStart w:id="245" w:name="_Toc256000786"/>
      <w:r>
        <w:t>Administering VCF Automation Organizations</w:t>
      </w:r>
      <w:bookmarkEnd w:id="245"/>
    </w:p>
    <w:p>
      <w:pPr>
        <w:pStyle w:val="BodyText"/>
      </w:pPr>
      <w:r>
        <w:t xml:space="preserve">As an administrator, you use the </w:t>
      </w:r>
      <w:r>
        <w:rPr>
          <w:rStyle w:val="InlineUI"/>
        </w:rPr>
        <w:t>Administer</w:t>
      </w:r>
      <w:r>
        <w:t xml:space="preserve"> tab in the organization portal to monitor and manage critical infrastructure and user management aspects of a </w:t>
      </w:r>
      <w:r>
        <w:t>VCF Automation</w:t>
      </w:r>
      <w:r>
        <w:t xml:space="preserve"> organization.</w:t>
      </w:r>
    </w:p>
    <w:p>
      <w:pPr>
        <w:pStyle w:val="Heading3"/>
      </w:pPr>
      <w:bookmarkStart w:id="246" w:name="_Toc256000787"/>
      <w:r>
        <w:t>Integrating VCF Automation with Other Applications</w:t>
      </w:r>
      <w:bookmarkEnd w:id="246"/>
    </w:p>
    <w:p>
      <w:pPr>
        <w:pStyle w:val="BodyText"/>
      </w:pPr>
      <w:r>
        <w:t xml:space="preserve">Integrations enable you to add external systems to </w:t>
      </w:r>
      <w:r>
        <w:t>VCF Automation</w:t>
      </w:r>
      <w:r>
        <w:t xml:space="preserve">. Integrations include Git and </w:t>
      </w:r>
      <w:r>
        <w:t>VCF Operations orchestrator</w:t>
      </w:r>
      <w:r>
        <w:t>.</w:t>
      </w:r>
    </w:p>
    <w:p>
      <w:pPr>
        <w:pStyle w:val="Heading4"/>
      </w:pPr>
      <w:bookmarkStart w:id="247" w:name="B6ec331d37e114dc390d0a7dce7139d04"/>
      <w:bookmarkStart w:id="248" w:name="_Toc256000788"/>
      <w:r>
        <w:t>Integrate VCF Automation with Git</w:t>
      </w:r>
      <w:bookmarkEnd w:id="248"/>
      <w:bookmarkEnd w:id="247"/>
    </w:p>
    <w:p>
      <w:pPr>
        <w:pStyle w:val="BodyText"/>
      </w:pPr>
      <w:r>
        <w:t>VCF Automation</w:t>
      </w:r>
      <w:r>
        <w:t xml:space="preserve"> supports integration with various flavors of Git repositories so that you can manage blueprints and action scripts under source control. This functionality facilitates auditing and accountability of processes around deployment.</w:t>
      </w:r>
    </w:p>
    <w:p>
      <w:pPr>
        <w:pStyle w:val="BodyText"/>
      </w:pPr>
      <w:r>
        <w:t>VCF Automation</w:t>
      </w:r>
      <w:r>
        <w:t xml:space="preserve"> supports different flavors of Git integration as described in the following list. Each of these options is a separate integration.</w:t>
      </w:r>
    </w:p>
    <w:p>
      <w:pPr>
        <w:pStyle w:val="BodyText"/>
        <w:numPr>
          <w:numId w:val="197"/>
        </w:numPr>
      </w:pPr>
      <w:r>
        <w:t>GitHub cloud</w:t>
      </w:r>
    </w:p>
    <w:p>
      <w:pPr>
        <w:pStyle w:val="BodyText"/>
        <w:numPr>
          <w:numId w:val="197"/>
        </w:numPr>
      </w:pPr>
      <w:r>
        <w:t>GitLab cloud</w:t>
      </w:r>
    </w:p>
    <w:p>
      <w:pPr>
        <w:pStyle w:val="BodyText"/>
        <w:numPr>
          <w:numId w:val="197"/>
        </w:numPr>
      </w:pPr>
      <w:r>
        <w:t>GitLab Enterprise</w:t>
      </w:r>
    </w:p>
    <w:p>
      <w:pPr>
        <w:pStyle w:val="BodyText"/>
        <w:numPr>
          <w:numId w:val="197"/>
        </w:numPr>
      </w:pPr>
      <w:r>
        <w:t>GitHub cloud, GitHub Enterprise on-premises</w:t>
      </w:r>
    </w:p>
    <w:p>
      <w:pPr>
        <w:pStyle w:val="BodyText"/>
        <w:numPr>
          <w:numId w:val="197"/>
        </w:numPr>
      </w:pPr>
      <w:r>
        <w:t>GitLab cloud GitLab Enterprise on-premises</w:t>
      </w:r>
    </w:p>
    <w:p>
      <w:pPr>
        <w:pStyle w:val="BodyText"/>
        <w:numPr>
          <w:numId w:val="197"/>
        </w:numPr>
      </w:pPr>
      <w:r>
        <w:t>BitBucket on-premises</w:t>
      </w:r>
    </w:p>
    <w:p>
      <w:pPr>
        <w:pStyle w:val="BodyText"/>
      </w:pPr>
      <w:r>
        <w:t xml:space="preserve">You must have an appropriate local Git repository configured with access for all designated users in order to set up Git integration with VCF Automation. Also, you must save your blueprints in a specific structure in order for them to be detected by Git. To create an integration with GitLab or GitHub, select </w:t>
      </w:r>
      <w:r>
        <w:rPr>
          <w:rStyle w:val="InlineUI"/>
        </w:rPr>
        <w:t>Administer</w:t>
      </w:r>
      <w:r>
        <w:rPr>
          <w:rStyle w:val="InlineUI"/>
        </w:rPr>
        <w:t xml:space="preserve"> &gt; </w:t>
      </w:r>
      <w:r>
        <w:rPr>
          <w:rStyle w:val="InlineUI"/>
        </w:rPr>
        <w:t>Connections</w:t>
      </w:r>
      <w:r>
        <w:rPr>
          <w:rStyle w:val="InlineUI"/>
        </w:rPr>
        <w:t xml:space="preserve"> &gt; </w:t>
      </w:r>
      <w:r>
        <w:rPr>
          <w:rStyle w:val="InlineUI"/>
        </w:rPr>
        <w:t>Integrations</w:t>
      </w:r>
      <w:r>
        <w:t xml:space="preserve"> and then make the appropriate selection. You will need the URL and token for the target repository.</w:t>
      </w:r>
    </w:p>
    <w:p>
      <w:pPr>
        <w:pStyle w:val="BodyText"/>
      </w:pPr>
      <w:r>
        <w:t>When Git integration is configured with an existing repository, all blueprints associated with selected projects become available to qualified users. You can use these blueprints with an existing deployment or as the basis of a new deployment. When you add a project, you must select some properties regarding where and how it is stored in Git.</w:t>
      </w:r>
    </w:p>
    <w:p>
      <w:pPr>
        <w:pStyle w:val="BodyText"/>
      </w:pPr>
      <w:r>
        <w:t xml:space="preserve">You can save actions to a Git repository directly from </w:t>
      </w:r>
      <w:r>
        <w:t>VCF Automation</w:t>
      </w:r>
      <w:r>
        <w:t xml:space="preserve">. You can version action scripts either directly to Git or you can create versions in </w:t>
      </w:r>
      <w:r>
        <w:t>VCF Automation</w:t>
      </w:r>
      <w:r>
        <w:t xml:space="preserve">. If you create a version of an action in </w:t>
      </w:r>
      <w:r>
        <w:t>VCF Automation</w:t>
      </w:r>
      <w:r>
        <w:t xml:space="preserve">, then it is automatically saved to Git as a version. Blueprints are a bit more complicated, because you cannot directly add them to a Git integration from </w:t>
      </w:r>
      <w:r>
        <w:t>VCF Automation</w:t>
      </w:r>
      <w:r>
        <w:t xml:space="preserve">. You must save them directly to a Git instance, and then you can retrieve them from Git when working with the blueprint management page in </w:t>
      </w:r>
      <w:r>
        <w:t>VCF Automation</w:t>
      </w:r>
      <w:r>
        <w:t>.</w:t>
      </w:r>
    </w:p>
    <w:p>
      <w:pPr>
        <w:pStyle w:val="SectionHeading5"/>
      </w:pPr>
      <w:r>
        <w:t>Before you begin</w:t>
      </w:r>
    </w:p>
    <w:p>
      <w:pPr>
        <w:pStyle w:val="BodyText"/>
      </w:pPr>
      <w:r>
        <w:t>You must create and save your blueprints in a specific structure in order for them to be detected by GitLab or GitHub.</w:t>
      </w:r>
    </w:p>
    <w:p>
      <w:pPr>
        <w:pStyle w:val="BodyText"/>
        <w:numPr>
          <w:numId w:val="198"/>
        </w:numPr>
      </w:pPr>
      <w:r>
        <w:t>Configure and store blueprints to be integrated with GitLab correctly. Only valid blueprints are imported into GitLab.</w:t>
      </w:r>
    </w:p>
    <w:p>
      <w:pPr>
        <w:pStyle w:val="BodyText"/>
        <w:numPr>
          <w:ilvl w:val="1"/>
          <w:numId w:val="198"/>
        </w:numPr>
      </w:pPr>
      <w:r>
        <w:t>Create one or more designated folders for the blueprints.</w:t>
      </w:r>
    </w:p>
    <w:p>
      <w:pPr>
        <w:pStyle w:val="BodyText"/>
        <w:numPr>
          <w:ilvl w:val="1"/>
          <w:numId w:val="198"/>
        </w:numPr>
      </w:pPr>
      <w:r>
        <w:t xml:space="preserve">All blueprints must be stored within </w:t>
      </w:r>
      <w:r>
        <w:rPr>
          <w:rStyle w:val="InlineCode"/>
        </w:rPr>
        <w:t>blueprint.yaml</w:t>
      </w:r>
      <w:r>
        <w:t xml:space="preserve"> files.</w:t>
      </w:r>
    </w:p>
    <w:p>
      <w:pPr>
        <w:pStyle w:val="BodyText"/>
        <w:numPr>
          <w:ilvl w:val="1"/>
          <w:numId w:val="198"/>
        </w:numPr>
      </w:pPr>
      <w:r>
        <w:t>Ensure that the top of your blueprints include the name: and version:properties.</w:t>
      </w:r>
    </w:p>
    <w:p>
      <w:pPr>
        <w:pStyle w:val="BodyText"/>
        <w:numPr>
          <w:numId w:val="198"/>
        </w:numPr>
      </w:pPr>
      <w:r>
        <w:t xml:space="preserve">Extract an API key for the applicable repository. In your Git account, select your login in the upper right corner, and click </w:t>
      </w:r>
      <w:r>
        <w:rPr>
          <w:rStyle w:val="InlineUI"/>
        </w:rPr>
        <w:t>Developer Settings</w:t>
      </w:r>
      <w:r>
        <w:t xml:space="preserve">. Navigate to </w:t>
      </w:r>
      <w:r>
        <w:rPr>
          <w:rStyle w:val="InlineUI"/>
        </w:rPr>
        <w:t>Personal Access Tokens</w:t>
      </w:r>
      <w:r>
        <w:t>, and then name your token and set an expiration date. Then, select API and create the token. Copy the resulting value and save it.</w:t>
      </w:r>
    </w:p>
    <w:p>
      <w:pPr>
        <w:pStyle w:val="BodyText"/>
      </w:pPr>
      <w:r>
        <w:t>The following guidelines must be observed for all blueprints used with Git integration.</w:t>
      </w:r>
    </w:p>
    <w:p>
      <w:pPr>
        <w:pStyle w:val="BodyText"/>
        <w:numPr>
          <w:numId w:val="199"/>
        </w:numPr>
      </w:pPr>
      <w:r>
        <w:t>Each blueprint must reside in a separate folder.</w:t>
      </w:r>
    </w:p>
    <w:p>
      <w:pPr>
        <w:pStyle w:val="BodyText"/>
        <w:numPr>
          <w:numId w:val="199"/>
        </w:numPr>
      </w:pPr>
      <w:r>
        <w:t xml:space="preserve">All blueprints must be named </w:t>
      </w:r>
      <w:r>
        <w:rPr>
          <w:rStyle w:val="InlineCode"/>
        </w:rPr>
        <w:t>blueprint.yaml</w:t>
      </w:r>
      <w:r>
        <w:t>.</w:t>
      </w:r>
    </w:p>
    <w:p>
      <w:pPr>
        <w:pStyle w:val="BodyText"/>
        <w:numPr>
          <w:numId w:val="199"/>
        </w:numPr>
      </w:pPr>
      <w:r>
        <w:t>All blueprint YAML files must use name and version fields.</w:t>
      </w:r>
    </w:p>
    <w:p>
      <w:pPr>
        <w:pStyle w:val="BodyText"/>
        <w:numPr>
          <w:numId w:val="199"/>
        </w:numPr>
      </w:pPr>
      <w:r>
        <w:t>Only valid blueprints are imported.</w:t>
      </w:r>
    </w:p>
    <w:p>
      <w:pPr>
        <w:pStyle w:val="BodyText"/>
        <w:numPr>
          <w:numId w:val="199"/>
        </w:numPr>
      </w:pPr>
      <w:r>
        <w:t>If you update a draft blueprint imported from Git, and its content differs from that in the top version, the draft will not be updated in subsequent syncs and a new version is created. If you want to update a blueprint and also allow further sync's from Git, then you must create a new version after final changes.</w:t>
      </w:r>
    </w:p>
    <w:p>
      <w:pPr>
        <w:pStyle w:val="Heading5"/>
      </w:pPr>
      <w:r>
        <w:t>Configure a GitLab Blueprint Integration in VCF Automation</w:t>
      </w:r>
    </w:p>
    <w:p>
      <w:pPr>
        <w:pStyle w:val="BodyText"/>
      </w:pPr>
      <w:r>
        <w:t xml:space="preserve">This procedure demonstrates configuring GitLab integration in </w:t>
      </w:r>
      <w:r>
        <w:t>VCF Automation</w:t>
      </w:r>
      <w:r>
        <w:t xml:space="preserve"> so that you can work with blueprints in the repository and automatically download saved blueprints that are associated with designated projects. To use blueprints with GitLab, you must create a connection to an appropriate GitLab instance, and then save the desired blueprints to that instance.</w:t>
      </w:r>
    </w:p>
    <w:p>
      <w:pPr>
        <w:pStyle w:val="BodyText"/>
        <w:pBdr>
          <w:top w:val="single" w:sz="8" w:space="2" w:color="D3D3D3"/>
          <w:bottom w:val="single" w:sz="8" w:space="2" w:color="D3D3D3"/>
        </w:pBdr>
      </w:pPr>
      <w:r>
        <w:rPr>
          <w:rStyle w:val="NoteLeadernote"/>
        </w:rPr>
        <w:t>Note</w:t>
        <w:tab/>
      </w:r>
      <w:r>
        <w:t xml:space="preserve">You cannot push new or updated blueprints to the Git repository from </w:t>
      </w:r>
      <w:r>
        <w:t>VCF Automation</w:t>
      </w:r>
      <w:r>
        <w:t>. To add blueprints to a repository, developers must use the Git interface.</w:t>
      </w:r>
    </w:p>
    <w:p>
      <w:pPr>
        <w:pStyle w:val="BodyText"/>
      </w:pPr>
      <w:r>
        <w:t>If you update a draft blueprint imported from Git, and its content differs from that in the Git version, the draft will not be updated in subsequent syncs and a new version is created. If you want to update a blueprint and also allow further sync's from Git, then you must create a new version in Git after final changes.</w:t>
      </w:r>
    </w:p>
    <w:p>
      <w:pPr>
        <w:pStyle w:val="BodyText"/>
      </w:pPr>
      <w:r>
        <w:t>After you set up your blueprints for use with GitLab and collect required information, you must set up integration with your GitLab instance. Then, you can import the designated blueprints into GitLab.</w:t>
      </w:r>
    </w:p>
    <w:p>
      <w:pPr>
        <w:pStyle w:val="BodyText"/>
      </w:pPr>
      <w:r>
        <w:rPr>
          <w:rStyle w:val="Strong"/>
        </w:rPr>
        <w:t>Prerequisites</w:t>
      </w:r>
    </w:p>
    <w:p>
      <w:pPr>
        <w:pStyle w:val="BodyText"/>
        <w:numPr>
          <w:numId w:val="200"/>
        </w:numPr>
      </w:pPr>
      <w:r>
        <w:t>Extract an API key for the applicable repository. In your GitLab account, select your login in the upper right corner, and navigate to the Settings menu. Select Access Tokens, then name your token, set an expiration date. Then, select API and create the token. Copy the resulting value and save it.</w:t>
      </w:r>
    </w:p>
    <w:p>
      <w:pPr>
        <w:pStyle w:val="BodyText"/>
      </w:pPr>
      <w:r>
        <w:t>You must have an appropriate local Git repository configured with access for all designated users in order to set up Git integration with VCF Automation. Also, you must create and save your blueprints in a specific structure in order for them to be detected by GitLab.</w:t>
      </w:r>
    </w:p>
    <w:p>
      <w:pPr>
        <w:pStyle w:val="BodyText"/>
        <w:numPr>
          <w:numId w:val="201"/>
        </w:numPr>
      </w:pPr>
      <w:r>
        <w:t>Configure and store blueprints to be integrated with GitLab correctly. Only valid blueprints are imported into GitLab.</w:t>
      </w:r>
    </w:p>
    <w:p>
      <w:pPr>
        <w:pStyle w:val="BodyText"/>
      </w:pPr>
      <w:r>
        <w:t>When GitLab integration is configured with an existing repository, all blueprints associated with selected projects become available to qualified users. You can use these blueprints with an existing deployment or as the basis of a new deployment. When you add a project, you must select some properties regarding where and how it is stored in GitLab.</w:t>
      </w:r>
    </w:p>
    <w:p>
      <w:pPr>
        <w:pStyle w:val="BodyText"/>
      </w:pPr>
      <w:r>
        <w:rPr>
          <w:rStyle w:val="Strong"/>
        </w:rPr>
        <w:t>Procedure</w:t>
      </w:r>
    </w:p>
    <w:p>
      <w:pPr>
        <w:pStyle w:val="BodyText"/>
        <w:numPr>
          <w:numId w:val="202"/>
        </w:numPr>
      </w:pPr>
      <w:r>
        <w:t xml:space="preserve">Set up integration with your GitLab environment in </w:t>
      </w:r>
      <w:r>
        <w:t>VCF Automation</w:t>
      </w:r>
      <w:r>
        <w:t>.</w:t>
      </w:r>
    </w:p>
    <w:p>
      <w:pPr>
        <w:pStyle w:val="BodyText"/>
        <w:numPr>
          <w:ilvl w:val="1"/>
          <w:numId w:val="202"/>
        </w:numPr>
      </w:pPr>
      <w:r>
        <w:t xml:space="preserve">Select </w:t>
      </w:r>
      <w:r>
        <w:rPr>
          <w:rStyle w:val="InlineUI"/>
        </w:rPr>
        <w:t>Administer</w:t>
      </w:r>
      <w:r>
        <w:rPr>
          <w:rStyle w:val="InlineUI"/>
        </w:rPr>
        <w:t xml:space="preserve"> &gt; </w:t>
      </w:r>
      <w:r>
        <w:rPr>
          <w:rStyle w:val="InlineUI"/>
        </w:rPr>
        <w:t>Integrations</w:t>
      </w:r>
      <w:r>
        <w:t>.</w:t>
      </w:r>
    </w:p>
    <w:p>
      <w:pPr>
        <w:pStyle w:val="BodyText"/>
        <w:numPr>
          <w:ilvl w:val="1"/>
          <w:numId w:val="202"/>
        </w:numPr>
      </w:pPr>
      <w:r>
        <w:t xml:space="preserve">Select </w:t>
      </w:r>
      <w:r>
        <w:rPr>
          <w:rStyle w:val="InlineUI"/>
        </w:rPr>
        <w:t>GitLab</w:t>
      </w:r>
      <w:r>
        <w:t>.</w:t>
      </w:r>
    </w:p>
    <w:p>
      <w:pPr>
        <w:pStyle w:val="BodyText"/>
        <w:numPr>
          <w:ilvl w:val="1"/>
          <w:numId w:val="202"/>
        </w:numPr>
      </w:pPr>
      <w:r>
        <w:t>Enter an appropriate name and description.</w:t>
      </w:r>
    </w:p>
    <w:p>
      <w:pPr>
        <w:pStyle w:val="BodyText"/>
        <w:numPr>
          <w:ilvl w:val="1"/>
          <w:numId w:val="202"/>
        </w:numPr>
      </w:pPr>
      <w:r>
        <w:t xml:space="preserve">Enter the </w:t>
      </w:r>
      <w:r>
        <w:rPr>
          <w:rStyle w:val="InlineUI"/>
        </w:rPr>
        <w:t>URL</w:t>
      </w:r>
      <w:r>
        <w:t xml:space="preserve"> for your GitLab instance.</w:t>
      </w:r>
    </w:p>
    <w:p>
      <w:pPr>
        <w:pStyle w:val="BodyText"/>
        <w:numPr>
          <w:ilvl w:val="1"/>
          <w:numId w:val="202"/>
        </w:numPr>
      </w:pPr>
      <w:r>
        <w:t xml:space="preserve">Enter the </w:t>
      </w:r>
      <w:r>
        <w:rPr>
          <w:rStyle w:val="InlineUI"/>
        </w:rPr>
        <w:t>Token</w:t>
      </w:r>
      <w:r>
        <w:t>, also known as an API key, for the specified GitLab instance. See the prerequisites above for information about extracting the token from your GitLab instance.</w:t>
      </w:r>
    </w:p>
    <w:p>
      <w:pPr>
        <w:pStyle w:val="BodyText"/>
        <w:numPr>
          <w:ilvl w:val="1"/>
          <w:numId w:val="202"/>
        </w:numPr>
      </w:pPr>
      <w:r>
        <w:t xml:space="preserve">Click </w:t>
      </w:r>
      <w:r>
        <w:rPr>
          <w:rStyle w:val="InlineUI"/>
        </w:rPr>
        <w:t>Validate</w:t>
      </w:r>
      <w:r>
        <w:t xml:space="preserve"> to verify the connection.</w:t>
      </w:r>
    </w:p>
    <w:p>
      <w:pPr>
        <w:pStyle w:val="BodyText"/>
        <w:numPr>
          <w:ilvl w:val="1"/>
          <w:numId w:val="202"/>
        </w:numPr>
      </w:pPr>
      <w:r>
        <w:t xml:space="preserve">Click </w:t>
      </w:r>
      <w:r>
        <w:rPr>
          <w:rStyle w:val="InlineUI"/>
        </w:rPr>
        <w:t>Add</w:t>
      </w:r>
      <w:r>
        <w:t>.</w:t>
      </w:r>
    </w:p>
    <w:p>
      <w:pPr>
        <w:pStyle w:val="BodyText"/>
        <w:numPr>
          <w:numId w:val="202"/>
        </w:numPr>
      </w:pPr>
      <w:r>
        <w:t>Configure the GitLab connection to accept blueprints in an appropriate repository.</w:t>
      </w:r>
    </w:p>
    <w:p>
      <w:pPr>
        <w:pStyle w:val="BodyText"/>
        <w:numPr>
          <w:ilvl w:val="1"/>
          <w:numId w:val="202"/>
        </w:numPr>
      </w:pPr>
      <w:r>
        <w:t xml:space="preserve">Select </w:t>
      </w:r>
      <w:r>
        <w:rPr>
          <w:rStyle w:val="InlineUI"/>
        </w:rPr>
        <w:t>Administer</w:t>
      </w:r>
      <w:r>
        <w:rPr>
          <w:rStyle w:val="InlineUI"/>
        </w:rPr>
        <w:t xml:space="preserve"> &gt; </w:t>
      </w:r>
      <w:r>
        <w:rPr>
          <w:rStyle w:val="InlineUI"/>
        </w:rPr>
        <w:t>Integrations</w:t>
      </w:r>
      <w:r>
        <w:t xml:space="preserve"> and choose the appropriate GitLab integration.</w:t>
      </w:r>
    </w:p>
    <w:p>
      <w:pPr>
        <w:pStyle w:val="BodyText"/>
        <w:numPr>
          <w:ilvl w:val="1"/>
          <w:numId w:val="202"/>
        </w:numPr>
      </w:pPr>
      <w:r>
        <w:t xml:space="preserve">Select </w:t>
      </w:r>
      <w:r>
        <w:rPr>
          <w:rStyle w:val="InlineUI"/>
        </w:rPr>
        <w:t>Projects</w:t>
      </w:r>
      <w:r>
        <w:t>.</w:t>
      </w:r>
    </w:p>
    <w:p>
      <w:pPr>
        <w:pStyle w:val="BodyText"/>
        <w:numPr>
          <w:ilvl w:val="1"/>
          <w:numId w:val="202"/>
        </w:numPr>
      </w:pPr>
      <w:r>
        <w:t xml:space="preserve">Select </w:t>
      </w:r>
      <w:r>
        <w:rPr>
          <w:rStyle w:val="InlineUI"/>
        </w:rPr>
        <w:t>New Project</w:t>
      </w:r>
      <w:r>
        <w:t xml:space="preserve"> and create a name for the project.</w:t>
      </w:r>
    </w:p>
    <w:p>
      <w:pPr>
        <w:pStyle w:val="BodyText"/>
        <w:numPr>
          <w:ilvl w:val="1"/>
          <w:numId w:val="202"/>
        </w:numPr>
      </w:pPr>
      <w:r>
        <w:t xml:space="preserve">Enter the </w:t>
      </w:r>
      <w:r>
        <w:rPr>
          <w:rStyle w:val="InlineUI"/>
        </w:rPr>
        <w:t>Repository</w:t>
      </w:r>
      <w:r>
        <w:t xml:space="preserve"> path within GitLab. Typically, this is the user name of the main account appended to the repository name.</w:t>
      </w:r>
    </w:p>
    <w:p>
      <w:pPr>
        <w:pStyle w:val="BodyText"/>
        <w:numPr>
          <w:ilvl w:val="1"/>
          <w:numId w:val="202"/>
        </w:numPr>
      </w:pPr>
      <w:r>
        <w:t xml:space="preserve">Enter the appropriate GitLab </w:t>
      </w:r>
      <w:r>
        <w:rPr>
          <w:rStyle w:val="InlineUI"/>
        </w:rPr>
        <w:t>Branch</w:t>
      </w:r>
      <w:r>
        <w:t xml:space="preserve"> that you want to use.</w:t>
      </w:r>
    </w:p>
    <w:p>
      <w:pPr>
        <w:pStyle w:val="BodyText"/>
        <w:numPr>
          <w:ilvl w:val="1"/>
          <w:numId w:val="202"/>
        </w:numPr>
      </w:pPr>
      <w:r>
        <w:t xml:space="preserve">If applicable, enter a </w:t>
      </w:r>
      <w:r>
        <w:rPr>
          <w:rStyle w:val="InlineUI"/>
        </w:rPr>
        <w:t>Folder</w:t>
      </w:r>
      <w:r>
        <w:t xml:space="preserve"> name. If left blank, all folders are available.</w:t>
      </w:r>
    </w:p>
    <w:p>
      <w:pPr>
        <w:pStyle w:val="BodyText"/>
        <w:numPr>
          <w:ilvl w:val="1"/>
          <w:numId w:val="202"/>
        </w:numPr>
      </w:pPr>
      <w:r>
        <w:t xml:space="preserve">Click </w:t>
      </w:r>
      <w:r>
        <w:rPr>
          <w:rStyle w:val="InlineUI"/>
        </w:rPr>
        <w:t>Next</w:t>
      </w:r>
      <w:r>
        <w:t xml:space="preserve"> to finish adding the repository.</w:t>
      </w:r>
    </w:p>
    <w:p>
      <w:pPr>
        <w:pStyle w:val="BodyText"/>
        <w:ind w:left="960"/>
      </w:pPr>
      <w:r>
        <w:t xml:space="preserve">When you click </w:t>
      </w:r>
      <w:r>
        <w:rPr>
          <w:rStyle w:val="InlineUI"/>
        </w:rPr>
        <w:t>Next</w:t>
      </w:r>
      <w:r>
        <w:t>, an automated synchronization task is initiated that imports blueprints into the platform.</w:t>
      </w:r>
    </w:p>
    <w:p>
      <w:pPr>
        <w:pStyle w:val="BodyText"/>
        <w:ind w:left="960"/>
      </w:pPr>
      <w:r>
        <w:t>When the synchronization tasks are complete, a message indicates that the blueprints have been imported.</w:t>
      </w:r>
    </w:p>
    <w:p>
      <w:pPr>
        <w:pStyle w:val="BodyText"/>
      </w:pPr>
      <w:r>
        <w:rPr>
          <w:rStyle w:val="Strong"/>
        </w:rPr>
        <w:t>Results</w:t>
      </w:r>
    </w:p>
    <w:p>
      <w:pPr>
        <w:pStyle w:val="BodyText"/>
      </w:pPr>
      <w:r>
        <w:t>You can now retrieve blueprints from GitLab.</w:t>
      </w:r>
    </w:p>
    <w:p>
      <w:pPr>
        <w:pStyle w:val="Heading5"/>
      </w:pPr>
      <w:r>
        <w:t>Configure a GitHub Integration in VCF Automation</w:t>
      </w:r>
    </w:p>
    <w:p>
      <w:pPr>
        <w:pStyle w:val="BodyText"/>
      </w:pPr>
      <w:r>
        <w:t xml:space="preserve">You can integrate the GitHub cloud-based repository hosting service in </w:t>
      </w:r>
      <w:r>
        <w:t>VCF Automation</w:t>
      </w:r>
      <w:r>
        <w:t>.</w:t>
      </w:r>
    </w:p>
    <w:p>
      <w:pPr>
        <w:pStyle w:val="BodyText"/>
      </w:pPr>
      <w:r>
        <w:t xml:space="preserve">You need a valid GitHub token to configure GitHub integration in </w:t>
      </w:r>
      <w:r>
        <w:t>VCF Automation</w:t>
      </w:r>
      <w:r>
        <w:t>.</w:t>
      </w:r>
    </w:p>
    <w:p>
      <w:pPr>
        <w:pStyle w:val="BodyText"/>
      </w:pPr>
      <w:r>
        <w:t>See the GitHub documentation for information about creating and locating your token.</w:t>
      </w:r>
    </w:p>
    <w:p>
      <w:pPr>
        <w:pStyle w:val="BodyText"/>
      </w:pPr>
      <w:r>
        <w:rPr>
          <w:rStyle w:val="Strong"/>
        </w:rPr>
        <w:t>Prerequisites</w:t>
      </w:r>
    </w:p>
    <w:p>
      <w:pPr>
        <w:pStyle w:val="BodyText"/>
        <w:numPr>
          <w:numId w:val="203"/>
        </w:numPr>
      </w:pPr>
      <w:r>
        <w:t>You must have access to GitHub.</w:t>
      </w:r>
    </w:p>
    <w:p>
      <w:pPr>
        <w:pStyle w:val="BodyText"/>
        <w:numPr>
          <w:numId w:val="203"/>
        </w:numPr>
      </w:pPr>
      <w:r>
        <w:t>Configure and store blueprints to be integrated with GitHub correctly. Only valid blueprints are imported into GitHub.</w:t>
      </w:r>
    </w:p>
    <w:p>
      <w:pPr>
        <w:pStyle w:val="BodyText"/>
      </w:pPr>
      <w:r>
        <w:rPr>
          <w:rStyle w:val="Strong"/>
        </w:rPr>
        <w:t>Procedure</w:t>
      </w:r>
    </w:p>
    <w:p>
      <w:pPr>
        <w:pStyle w:val="BodyText"/>
        <w:numPr>
          <w:numId w:val="204"/>
        </w:numPr>
      </w:pPr>
      <w:r>
        <w:t xml:space="preserve">Select </w:t>
      </w:r>
      <w:r>
        <w:rPr>
          <w:rStyle w:val="InlineUI"/>
        </w:rPr>
        <w:t>Administer</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204"/>
        </w:numPr>
      </w:pPr>
      <w:r>
        <w:t xml:space="preserve">Select </w:t>
      </w:r>
      <w:r>
        <w:rPr>
          <w:rStyle w:val="InlineUI"/>
        </w:rPr>
        <w:t>GitHub</w:t>
      </w:r>
      <w:r>
        <w:t>.</w:t>
      </w:r>
    </w:p>
    <w:p>
      <w:pPr>
        <w:pStyle w:val="BodyText"/>
        <w:numPr>
          <w:numId w:val="204"/>
        </w:numPr>
      </w:pPr>
      <w:r>
        <w:t>Enter the required information on the GitHub configuration page.</w:t>
      </w:r>
    </w:p>
    <w:p>
      <w:pPr>
        <w:pStyle w:val="BodyText"/>
        <w:numPr>
          <w:numId w:val="204"/>
        </w:numPr>
      </w:pPr>
      <w:r>
        <w:t xml:space="preserve">Click </w:t>
      </w:r>
      <w:r>
        <w:rPr>
          <w:rStyle w:val="InlineUI"/>
        </w:rPr>
        <w:t>Validate</w:t>
      </w:r>
      <w:r>
        <w:t xml:space="preserve"> to verify the connection.</w:t>
      </w:r>
    </w:p>
    <w:p>
      <w:pPr>
        <w:pStyle w:val="BodyText"/>
        <w:numPr>
          <w:numId w:val="204"/>
        </w:numPr>
      </w:pPr>
      <w:r>
        <w:t xml:space="preserve">Click </w:t>
      </w:r>
      <w:r>
        <w:rPr>
          <w:rStyle w:val="InlineUI"/>
        </w:rPr>
        <w:t>Add</w:t>
      </w:r>
      <w:r>
        <w:t>.</w:t>
      </w:r>
    </w:p>
    <w:p>
      <w:pPr>
        <w:pStyle w:val="BodyText"/>
        <w:numPr>
          <w:numId w:val="204"/>
        </w:numPr>
      </w:pPr>
      <w:r>
        <w:t>Configure the GitHub connection to accept blueprints in an appropriate repository.</w:t>
      </w:r>
    </w:p>
    <w:p>
      <w:pPr>
        <w:pStyle w:val="BodyText"/>
        <w:numPr>
          <w:ilvl w:val="1"/>
          <w:numId w:val="204"/>
        </w:numPr>
      </w:pPr>
      <w:r>
        <w:t xml:space="preserve">Select </w:t>
      </w:r>
      <w:r>
        <w:rPr>
          <w:rStyle w:val="InlineUI"/>
        </w:rPr>
        <w:t>Administer</w:t>
      </w:r>
      <w:r>
        <w:rPr>
          <w:rStyle w:val="InlineUI"/>
        </w:rPr>
        <w:t xml:space="preserve"> &gt; </w:t>
      </w:r>
      <w:r>
        <w:rPr>
          <w:rStyle w:val="InlineUI"/>
        </w:rPr>
        <w:t>Integrations</w:t>
      </w:r>
      <w:r>
        <w:t xml:space="preserve"> and choose the appropriate GitHub integration.</w:t>
      </w:r>
    </w:p>
    <w:p>
      <w:pPr>
        <w:pStyle w:val="BodyText"/>
        <w:numPr>
          <w:ilvl w:val="1"/>
          <w:numId w:val="204"/>
        </w:numPr>
      </w:pPr>
      <w:r>
        <w:t xml:space="preserve">Select </w:t>
      </w:r>
      <w:r>
        <w:rPr>
          <w:rStyle w:val="InlineUI"/>
        </w:rPr>
        <w:t>Projects</w:t>
      </w:r>
      <w:r>
        <w:t>.</w:t>
      </w:r>
    </w:p>
    <w:p>
      <w:pPr>
        <w:pStyle w:val="BodyText"/>
        <w:numPr>
          <w:ilvl w:val="1"/>
          <w:numId w:val="204"/>
        </w:numPr>
      </w:pPr>
      <w:r>
        <w:t xml:space="preserve">Select </w:t>
      </w:r>
      <w:r>
        <w:rPr>
          <w:rStyle w:val="InlineUI"/>
        </w:rPr>
        <w:t>New Project</w:t>
      </w:r>
      <w:r>
        <w:t xml:space="preserve"> and create a name for the project.</w:t>
      </w:r>
    </w:p>
    <w:p>
      <w:pPr>
        <w:pStyle w:val="BodyText"/>
        <w:numPr>
          <w:ilvl w:val="1"/>
          <w:numId w:val="204"/>
        </w:numPr>
      </w:pPr>
      <w:r>
        <w:t xml:space="preserve">Enter the </w:t>
      </w:r>
      <w:r>
        <w:rPr>
          <w:rStyle w:val="InlineUI"/>
        </w:rPr>
        <w:t>Repository</w:t>
      </w:r>
      <w:r>
        <w:t xml:space="preserve"> path within GitHub. Typically, this is the user name of the main account appended to the repository name.</w:t>
      </w:r>
    </w:p>
    <w:p>
      <w:pPr>
        <w:pStyle w:val="BodyText"/>
        <w:numPr>
          <w:ilvl w:val="1"/>
          <w:numId w:val="204"/>
        </w:numPr>
      </w:pPr>
      <w:r>
        <w:t xml:space="preserve">Enter the appropriate GitHub </w:t>
      </w:r>
      <w:r>
        <w:rPr>
          <w:rStyle w:val="InlineUI"/>
        </w:rPr>
        <w:t>Branch</w:t>
      </w:r>
      <w:r>
        <w:t xml:space="preserve"> that you want to use.If applicable, enter a </w:t>
      </w:r>
      <w:r>
        <w:rPr>
          <w:rStyle w:val="InlineUI"/>
        </w:rPr>
        <w:t>Folder</w:t>
      </w:r>
      <w:r>
        <w:t xml:space="preserve"> name. If left blank, all folders are available.</w:t>
      </w:r>
    </w:p>
    <w:p>
      <w:pPr>
        <w:pStyle w:val="BodyText"/>
        <w:numPr>
          <w:ilvl w:val="1"/>
          <w:numId w:val="204"/>
        </w:numPr>
      </w:pPr>
      <w:r>
        <w:t xml:space="preserve">Click </w:t>
      </w:r>
      <w:r>
        <w:t>Next</w:t>
      </w:r>
      <w:r>
        <w:t xml:space="preserve"> to finish adding the repository.</w:t>
      </w:r>
    </w:p>
    <w:p>
      <w:pPr>
        <w:pStyle w:val="BodyText"/>
        <w:ind w:left="960"/>
      </w:pPr>
      <w:r>
        <w:t>An automated synchronization task is initiated that imports blueprints into the platform.</w:t>
      </w:r>
    </w:p>
    <w:p>
      <w:pPr>
        <w:pStyle w:val="BodyText"/>
        <w:ind w:left="960"/>
      </w:pPr>
      <w:r>
        <w:t>When the synchronization tasks are complete, a message indicates that the blueprints have been imported.</w:t>
      </w:r>
    </w:p>
    <w:p>
      <w:pPr>
        <w:pStyle w:val="BodyText"/>
      </w:pPr>
      <w:r>
        <w:rPr>
          <w:rStyle w:val="Strong"/>
        </w:rPr>
        <w:t>Results</w:t>
      </w:r>
    </w:p>
    <w:p>
      <w:pPr>
        <w:pStyle w:val="BodyText"/>
      </w:pPr>
      <w:r>
        <w:t xml:space="preserve">GitHub is available for use in </w:t>
      </w:r>
      <w:r>
        <w:t>VCF Automation</w:t>
      </w:r>
      <w:r>
        <w:t xml:space="preserve"> blueprints. You can now retrieve blueprints from GitHub.</w:t>
      </w:r>
    </w:p>
    <w:p>
      <w:pPr>
        <w:pStyle w:val="Heading5"/>
      </w:pPr>
      <w:r>
        <w:t>Configure a Bitbucket Integration in VCF Automation</w:t>
      </w:r>
    </w:p>
    <w:p>
      <w:pPr>
        <w:pStyle w:val="BodyText"/>
      </w:pPr>
      <w:r>
        <w:t>VCF Automation</w:t>
      </w:r>
      <w:r>
        <w:t xml:space="preserve"> supports integration with Bitbucket for use as a Git-based repository for blueprints.</w:t>
      </w:r>
    </w:p>
    <w:p>
      <w:pPr>
        <w:pStyle w:val="BodyText"/>
      </w:pPr>
      <w:r>
        <w:t>In VCF Automation, you can work with blueprints (also called templates) using the Bitbucket integration. You must synchronize projects that you want to work with before using a Bitbucket integration. You cannot write back blueprints from the integration. If you want to create new versions of blueprint files, you must do so manually.</w:t>
      </w:r>
    </w:p>
    <w:p>
      <w:pPr>
        <w:pStyle w:val="BodyText"/>
      </w:pPr>
      <w:r>
        <w:rPr>
          <w:rStyle w:val="Strong"/>
        </w:rPr>
        <w:t>Prerequisites</w:t>
      </w:r>
    </w:p>
    <w:p>
      <w:pPr>
        <w:pStyle w:val="BodyText"/>
        <w:numPr>
          <w:numId w:val="205"/>
        </w:numPr>
      </w:pPr>
      <w:r>
        <w:t>Set up an on premises Bitbucket Server deployment with one or more blueprint-based projects that you want to use with your deployments. Bitbucket Cloud is not supported.</w:t>
      </w:r>
    </w:p>
    <w:p>
      <w:pPr>
        <w:pStyle w:val="BodyText"/>
        <w:numPr>
          <w:numId w:val="205"/>
        </w:numPr>
      </w:pPr>
      <w:r>
        <w:t xml:space="preserve">Create or designate a </w:t>
      </w:r>
      <w:r>
        <w:t>VCF Automation</w:t>
      </w:r>
      <w:r>
        <w:t xml:space="preserve"> project to associate your Bitbucket integration.</w:t>
      </w:r>
    </w:p>
    <w:p>
      <w:pPr>
        <w:pStyle w:val="BodyText"/>
        <w:numPr>
          <w:numId w:val="205"/>
        </w:numPr>
      </w:pPr>
      <w:r>
        <w:t xml:space="preserve">Blueprint files to be synched to a Bitbucket integration must be named </w:t>
      </w:r>
      <w:r>
        <w:rPr>
          <w:rStyle w:val="InlineCode"/>
        </w:rPr>
        <w:t>blueprint.yaml</w:t>
      </w:r>
      <w:r>
        <w:t>.</w:t>
      </w:r>
    </w:p>
    <w:p>
      <w:pPr>
        <w:pStyle w:val="BodyText"/>
      </w:pPr>
      <w:r>
        <w:rPr>
          <w:rStyle w:val="Strong"/>
        </w:rPr>
        <w:t>Procedure</w:t>
      </w:r>
    </w:p>
    <w:p>
      <w:pPr>
        <w:pStyle w:val="BodyText"/>
        <w:numPr>
          <w:numId w:val="206"/>
        </w:numPr>
      </w:pPr>
      <w:r>
        <w:t xml:space="preserve">Select </w:t>
      </w:r>
      <w:r>
        <w:rPr>
          <w:rStyle w:val="InlineUI"/>
        </w:rPr>
        <w:t>Administer</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206"/>
        </w:numPr>
      </w:pPr>
      <w:r>
        <w:t xml:space="preserve">Select </w:t>
      </w:r>
      <w:r>
        <w:rPr>
          <w:rStyle w:val="InlineUI"/>
        </w:rPr>
        <w:t>Bitbucket</w:t>
      </w:r>
      <w:r>
        <w:t>.</w:t>
      </w:r>
    </w:p>
    <w:p>
      <w:pPr>
        <w:pStyle w:val="BodyText"/>
        <w:numPr>
          <w:numId w:val="206"/>
        </w:numPr>
      </w:pPr>
      <w:r>
        <w:t>Enter the server URL and Bitbucket credentials.</w:t>
      </w:r>
    </w:p>
    <w:p>
      <w:pPr>
        <w:pStyle w:val="BodyText"/>
        <w:numPr>
          <w:numId w:val="206"/>
        </w:numPr>
      </w:pPr>
      <w:r>
        <w:t xml:space="preserve">Click </w:t>
      </w:r>
      <w:r>
        <w:rPr>
          <w:rStyle w:val="InlineUI"/>
        </w:rPr>
        <w:t>Validate</w:t>
      </w:r>
      <w:r>
        <w:t xml:space="preserve"> to verify the connection.</w:t>
      </w:r>
    </w:p>
    <w:p>
      <w:pPr>
        <w:pStyle w:val="BodyText"/>
        <w:numPr>
          <w:numId w:val="206"/>
        </w:numPr>
      </w:pPr>
      <w:r>
        <w:t xml:space="preserve">Click </w:t>
      </w:r>
      <w:r>
        <w:rPr>
          <w:rStyle w:val="InlineUI"/>
        </w:rPr>
        <w:t>Add</w:t>
      </w:r>
      <w:r>
        <w:t>.</w:t>
      </w:r>
    </w:p>
    <w:p>
      <w:pPr>
        <w:pStyle w:val="BodyText"/>
        <w:numPr>
          <w:numId w:val="206"/>
        </w:numPr>
      </w:pPr>
      <w:r>
        <w:t xml:space="preserve">Open the Bitbucket integration and select the </w:t>
      </w:r>
      <w:r>
        <w:rPr>
          <w:rStyle w:val="InlineUI"/>
        </w:rPr>
        <w:t>Projects</w:t>
      </w:r>
      <w:r>
        <w:t xml:space="preserve"> tab on the main page to associate a project with this Bitbucket integration.</w:t>
      </w:r>
    </w:p>
    <w:p>
      <w:pPr>
        <w:pStyle w:val="BodyText"/>
        <w:numPr>
          <w:numId w:val="206"/>
        </w:numPr>
      </w:pPr>
      <w:r>
        <w:t>Select the project to associate with this Bitbucket integration.</w:t>
      </w:r>
    </w:p>
    <w:p>
      <w:pPr>
        <w:pStyle w:val="BodyText"/>
        <w:numPr>
          <w:numId w:val="206"/>
        </w:numPr>
      </w:pPr>
      <w:r>
        <w:t xml:space="preserve">Click </w:t>
      </w:r>
      <w:r>
        <w:rPr>
          <w:rStyle w:val="InlineUI"/>
        </w:rPr>
        <w:t>Next</w:t>
      </w:r>
      <w:r>
        <w:t xml:space="preserve"> to add a Repository to Bitbucket project and indicate the type of repository you are adding and then specify the </w:t>
      </w:r>
      <w:r>
        <w:rPr>
          <w:rStyle w:val="InlineUI"/>
        </w:rPr>
        <w:t>Repository</w:t>
      </w:r>
      <w:r>
        <w:t xml:space="preserve"> name and </w:t>
      </w:r>
      <w:r>
        <w:rPr>
          <w:rStyle w:val="InlineUI"/>
        </w:rPr>
        <w:t>Branch</w:t>
      </w:r>
      <w:r>
        <w:t xml:space="preserve">, as well as the </w:t>
      </w:r>
      <w:r>
        <w:rPr>
          <w:rStyle w:val="InlineUI"/>
        </w:rPr>
        <w:t>Folder</w:t>
      </w:r>
      <w:r>
        <w:t>.</w:t>
      </w:r>
    </w:p>
    <w:p>
      <w:pPr>
        <w:pStyle w:val="BodyText"/>
        <w:numPr>
          <w:numId w:val="206"/>
        </w:numPr>
      </w:pPr>
      <w:r>
        <w:t xml:space="preserve">Click </w:t>
      </w:r>
      <w:r>
        <w:rPr>
          <w:rStyle w:val="InlineUI"/>
        </w:rPr>
        <w:t>Add</w:t>
      </w:r>
      <w:r>
        <w:t>.</w:t>
      </w:r>
    </w:p>
    <w:p>
      <w:pPr>
        <w:pStyle w:val="BodyText"/>
        <w:ind w:left="480"/>
      </w:pPr>
      <w:r>
        <w:t xml:space="preserve">If you want to add one or more repositories to a project, click </w:t>
      </w:r>
      <w:r>
        <w:rPr>
          <w:rStyle w:val="InlineUI"/>
        </w:rPr>
        <w:t>Add Repository</w:t>
      </w:r>
      <w:r>
        <w:t>.</w:t>
      </w:r>
    </w:p>
    <w:p>
      <w:pPr>
        <w:pStyle w:val="BodyText"/>
      </w:pPr>
      <w:r>
        <w:rPr>
          <w:rStyle w:val="Strong"/>
        </w:rPr>
        <w:t>Results</w:t>
      </w:r>
    </w:p>
    <w:p>
      <w:pPr>
        <w:pStyle w:val="BodyText"/>
      </w:pPr>
      <w:r>
        <w:t xml:space="preserve">The Bitbucket integration is configured with the specified repository configuration, and you can view and work with blueprints contained in configured repositories. When you add a project to a Bitbucket integration, a synch operation runs to pull the latest versions of blueprint files from the designated repository. The History tab on the Bitbucket integration page shows records of all synch operations for the integration. By default, files are automatically synched every 15 minutes, but you can manually synch a file by selecting it and clicking </w:t>
      </w:r>
      <w:r>
        <w:t>SYNC</w:t>
      </w:r>
      <w:r>
        <w:t xml:space="preserve"> at any time.</w:t>
      </w:r>
    </w:p>
    <w:p>
      <w:pPr>
        <w:pStyle w:val="BodyText"/>
      </w:pPr>
      <w:r>
        <w:rPr>
          <w:rStyle w:val="Strong"/>
        </w:rPr>
        <w:t>What to do next</w:t>
      </w:r>
    </w:p>
    <w:p>
      <w:pPr>
        <w:pStyle w:val="BodyText"/>
      </w:pPr>
      <w:r>
        <w:t>You can work with blueprints on the Blueprint Design page.</w:t>
      </w:r>
    </w:p>
    <w:p>
      <w:pPr>
        <w:pStyle w:val="Heading4"/>
      </w:pPr>
      <w:bookmarkStart w:id="249" w:name="B9a25f25d763b4303af569c36ce82699e"/>
      <w:bookmarkStart w:id="250" w:name="_Toc256000789"/>
      <w:r>
        <w:t>Integrate VCF Automation with VCF Operations orchestrator</w:t>
      </w:r>
      <w:bookmarkEnd w:id="250"/>
      <w:bookmarkEnd w:id="249"/>
    </w:p>
    <w:p>
      <w:pPr>
        <w:pStyle w:val="BodyText"/>
      </w:pPr>
      <w:r>
        <w:t xml:space="preserve">As a provider administrator, you integrate a </w:t>
      </w:r>
      <w:r>
        <w:t>VCF Automation</w:t>
      </w:r>
      <w:r>
        <w:t xml:space="preserve"> organization with </w:t>
      </w:r>
      <w:r>
        <w:t>VCF Operations orchestrator</w:t>
      </w:r>
      <w:r>
        <w:t xml:space="preserve"> so that the organization administrator and project users can use </w:t>
      </w:r>
      <w:r>
        <w:t>VCF Operations orchestrator</w:t>
      </w:r>
      <w:r>
        <w:t xml:space="preserve"> workflows in </w:t>
      </w:r>
      <w:r>
        <w:t>VCF Automation</w:t>
      </w:r>
      <w:r>
        <w:t>.</w:t>
      </w:r>
    </w:p>
    <w:p>
      <w:pPr>
        <w:pStyle w:val="BodyText"/>
        <w:pBdr>
          <w:top w:val="single" w:sz="8" w:space="2" w:color="D3D3D3"/>
          <w:bottom w:val="single" w:sz="8" w:space="2" w:color="D3D3D3"/>
        </w:pBdr>
      </w:pPr>
      <w:r>
        <w:rPr>
          <w:rStyle w:val="NoteLeaderimportant"/>
        </w:rPr>
        <w:t>Important</w:t>
        <w:tab/>
      </w:r>
      <w:r>
        <w:t xml:space="preserve">Organization administrators cannot create an integration with </w:t>
      </w:r>
      <w:r>
        <w:t>VCF Operations orchestrator</w:t>
      </w:r>
      <w:r>
        <w:t xml:space="preserve"> in the organization that they manage. Organization administrators must request that the provider administrator creates the </w:t>
      </w:r>
      <w:r>
        <w:t>VCF Operations orchestrator</w:t>
      </w:r>
      <w:r>
        <w:t xml:space="preserve"> integration for the organization.</w:t>
      </w:r>
    </w:p>
    <w:p>
      <w:pPr>
        <w:pStyle w:val="SectionHeading5"/>
      </w:pPr>
      <w:r>
        <w:t>Configure Authentication for a VCF Operations orchestrator Integration in VCF Automation</w:t>
      </w:r>
    </w:p>
    <w:p>
      <w:pPr>
        <w:pStyle w:val="BodyText"/>
      </w:pPr>
      <w:r>
        <w:t xml:space="preserve">When you configure an authentication provider for </w:t>
      </w:r>
      <w:r>
        <w:t>VCF Operations orchestrator</w:t>
      </w:r>
      <w:r>
        <w:t xml:space="preserve">, that </w:t>
      </w:r>
      <w:r>
        <w:t>VCF Operations orchestrator</w:t>
      </w:r>
      <w:r>
        <w:t xml:space="preserve"> instance is restricted to the respective All Apps organization.</w:t>
      </w:r>
    </w:p>
    <w:p>
      <w:pPr>
        <w:pStyle w:val="BodyText"/>
        <w:numPr>
          <w:numId w:val="207"/>
        </w:numPr>
      </w:pPr>
      <w:r>
        <w:t xml:space="preserve">Log in to the </w:t>
      </w:r>
      <w:r>
        <w:t>VCF Operations orchestrator</w:t>
      </w:r>
      <w:r>
        <w:t xml:space="preserve"> virtual appliance as </w:t>
      </w:r>
      <w:r>
        <w:rPr>
          <w:rStyle w:val="InlineCode"/>
        </w:rPr>
        <w:t>root</w:t>
      </w:r>
      <w:r>
        <w:t>.</w:t>
      </w:r>
    </w:p>
    <w:p>
      <w:pPr>
        <w:pStyle w:val="BodyText"/>
        <w:numPr>
          <w:numId w:val="207"/>
        </w:numPr>
      </w:pPr>
      <w:r>
        <w:t>Configure the authentication provider.</w:t>
      </w:r>
    </w:p>
    <w:p>
      <w:pPr>
        <w:pStyle w:val="CodeBlock"/>
        <w:ind w:left="480"/>
      </w:pPr>
      <w:r>
        <w:t xml:space="preserve">vracli vro authentication set -p tm -u </w:t>
      </w:r>
      <w:r>
        <w:rPr>
          <w:rStyle w:val="InlineVar"/>
        </w:rPr>
        <w:t>SERVICE_PROVIDER_ACCOUNT</w:t>
      </w:r>
      <w:r>
        <w:t xml:space="preserve"> -hn https://</w:t>
      </w:r>
      <w:r>
        <w:rPr>
          <w:rStyle w:val="InlineVar"/>
        </w:rPr>
        <w:t>FQDN_VCF_AUTOMATION</w:t>
      </w:r>
      <w:r>
        <w:t xml:space="preserve"> --tenant </w:t>
      </w:r>
      <w:r>
        <w:rPr>
          <w:rStyle w:val="InlineVar"/>
        </w:rPr>
        <w:t>ALL_APPS_ORG_NAME</w:t>
      </w:r>
    </w:p>
    <w:p>
      <w:pPr>
        <w:pStyle w:val="BodyText"/>
        <w:numPr>
          <w:numId w:val="207"/>
        </w:numPr>
      </w:pPr>
      <w:r>
        <w:t xml:space="preserve">Redeploy the </w:t>
      </w:r>
      <w:r>
        <w:t>VCF Operations orchestrator</w:t>
      </w:r>
      <w:r>
        <w:t xml:space="preserve"> pods.</w:t>
      </w:r>
    </w:p>
    <w:p>
      <w:pPr>
        <w:pStyle w:val="CodeBlock"/>
        <w:ind w:left="480"/>
      </w:pPr>
      <w:r>
        <w:t>/opt/scripts/deploy.sh</w:t>
      </w:r>
    </w:p>
    <w:p>
      <w:pPr>
        <w:pStyle w:val="BodyText"/>
      </w:pPr>
      <w:r>
        <w:t xml:space="preserve">The </w:t>
      </w:r>
      <w:r>
        <w:t>VCF Operations orchestrator</w:t>
      </w:r>
      <w:r>
        <w:t xml:space="preserve"> instance is configured and associated with the All Apps organization.</w:t>
      </w:r>
    </w:p>
    <w:p>
      <w:pPr>
        <w:pStyle w:val="SectionHeading5"/>
      </w:pPr>
      <w:r>
        <w:t>Create a VCF Operations orchestrator Integration in VCF Automation</w:t>
      </w:r>
    </w:p>
    <w:p>
      <w:pPr>
        <w:pStyle w:val="BodyText"/>
      </w:pPr>
      <w:r>
        <w:t xml:space="preserve">You integrate </w:t>
      </w:r>
      <w:r>
        <w:t>VCF Operations orchestrator</w:t>
      </w:r>
      <w:r>
        <w:t xml:space="preserve"> into your All Apps organization to use it for extensibility automation tasks.</w:t>
      </w:r>
    </w:p>
    <w:p>
      <w:pPr>
        <w:pStyle w:val="BodyText"/>
        <w:pBdr>
          <w:top w:val="single" w:sz="8" w:space="2" w:color="D3D3D3"/>
          <w:bottom w:val="single" w:sz="8" w:space="2" w:color="D3D3D3"/>
        </w:pBdr>
      </w:pPr>
      <w:r>
        <w:rPr>
          <w:rStyle w:val="NoteLeaderimportant"/>
        </w:rPr>
        <w:t>Important</w:t>
        <w:tab/>
      </w:r>
      <w:r>
        <w:t xml:space="preserve">Only one external </w:t>
      </w:r>
      <w:r>
        <w:t>VCF Operations orchestrator</w:t>
      </w:r>
      <w:r>
        <w:t xml:space="preserve"> instance can be integrated with the organization. Provider Consumption organizations have an embedded </w:t>
      </w:r>
      <w:r>
        <w:t>VCF Operations orchestrator</w:t>
      </w:r>
      <w:r>
        <w:t xml:space="preserve"> instance by default.</w:t>
      </w:r>
    </w:p>
    <w:p>
      <w:pPr>
        <w:pStyle w:val="BodyText"/>
        <w:numPr>
          <w:numId w:val="208"/>
        </w:numPr>
      </w:pPr>
      <w:r>
        <w:t xml:space="preserve">Log in to the </w:t>
      </w:r>
      <w:r>
        <w:t>VCF Automation</w:t>
      </w:r>
      <w:r>
        <w:t xml:space="preserve"> organization portal with provider administrator credentials.</w:t>
      </w:r>
    </w:p>
    <w:p>
      <w:pPr>
        <w:pStyle w:val="BodyText"/>
        <w:numPr>
          <w:numId w:val="208"/>
        </w:numPr>
      </w:pPr>
      <w:r>
        <w:t xml:space="preserve">Select </w:t>
      </w:r>
      <w:r>
        <w:rPr>
          <w:rStyle w:val="InlineUI"/>
        </w:rPr>
        <w:t>Administer</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numId w:val="208"/>
        </w:numPr>
      </w:pPr>
      <w:r>
        <w:t xml:space="preserve">Select </w:t>
      </w:r>
      <w:r>
        <w:rPr>
          <w:rStyle w:val="InlineUI"/>
        </w:rPr>
        <w:t>Orchestrator</w:t>
      </w:r>
      <w:r>
        <w:t>.</w:t>
      </w:r>
    </w:p>
    <w:p>
      <w:pPr>
        <w:pStyle w:val="BodyText"/>
        <w:numPr>
          <w:numId w:val="208"/>
        </w:numPr>
      </w:pPr>
      <w:r>
        <w:t xml:space="preserve">Enter a name and description for the </w:t>
      </w:r>
      <w:r>
        <w:t>VCF Operations orchestrator</w:t>
      </w:r>
      <w:r>
        <w:t xml:space="preserve"> integration.</w:t>
      </w:r>
    </w:p>
    <w:p>
      <w:pPr>
        <w:pStyle w:val="BodyText"/>
        <w:numPr>
          <w:numId w:val="208"/>
        </w:numPr>
      </w:pPr>
      <w:r>
        <w:t xml:space="preserve">Under </w:t>
      </w:r>
      <w:r>
        <w:rPr>
          <w:rStyle w:val="InlineUI"/>
        </w:rPr>
        <w:t>VCF Operations Orchestrator URL</w:t>
      </w:r>
      <w:r>
        <w:t xml:space="preserve">, enter the fully qualified domain name (FQDN) of your external </w:t>
      </w:r>
      <w:r>
        <w:t>VCF Operations orchestrator</w:t>
      </w:r>
      <w:r>
        <w:t xml:space="preserve"> instance.</w:t>
      </w:r>
    </w:p>
    <w:p>
      <w:pPr>
        <w:pStyle w:val="BodyText"/>
        <w:ind w:left="480"/>
      </w:pPr>
      <w:r>
        <w:t xml:space="preserve">For example, </w:t>
      </w:r>
      <w:r>
        <w:rPr>
          <w:rStyle w:val="InlineCode"/>
        </w:rPr>
        <w:t>https://my_Orchestrator_FQDN.com:443</w:t>
      </w:r>
      <w:r>
        <w:t>.</w:t>
      </w:r>
    </w:p>
    <w:p>
      <w:pPr>
        <w:pStyle w:val="BodyText"/>
        <w:pBdr>
          <w:top w:val="single" w:sz="8" w:space="2" w:color="D3D3D3"/>
          <w:bottom w:val="single" w:sz="8" w:space="2" w:color="D3D3D3"/>
        </w:pBdr>
        <w:ind w:left="480"/>
      </w:pPr>
      <w:r>
        <w:rPr>
          <w:rStyle w:val="NoteLeadernote"/>
        </w:rPr>
        <w:t>Note</w:t>
        <w:tab/>
      </w:r>
      <w:r>
        <w:t xml:space="preserve">If you have a clustered </w:t>
      </w:r>
      <w:r>
        <w:t>VCF Operations orchestrator</w:t>
      </w:r>
      <w:r>
        <w:t xml:space="preserve"> environment, enter the URL of the load balancer.</w:t>
      </w:r>
    </w:p>
    <w:p>
      <w:pPr>
        <w:pStyle w:val="BodyText"/>
        <w:numPr>
          <w:numId w:val="208"/>
        </w:numPr>
      </w:pPr>
      <w:r>
        <w:t xml:space="preserve">To validate the integration, click </w:t>
      </w:r>
      <w:r>
        <w:rPr>
          <w:rStyle w:val="InlineUI"/>
        </w:rPr>
        <w:t>Validate</w:t>
      </w:r>
      <w:r>
        <w:t>.</w:t>
      </w:r>
    </w:p>
    <w:p>
      <w:pPr>
        <w:pStyle w:val="BodyText"/>
        <w:numPr>
          <w:numId w:val="208"/>
        </w:numPr>
      </w:pPr>
      <w:r>
        <w:t xml:space="preserve">Click </w:t>
      </w:r>
      <w:r>
        <w:rPr>
          <w:rStyle w:val="InlineUI"/>
        </w:rPr>
        <w:t>Add</w:t>
      </w:r>
      <w:r>
        <w:t>.</w:t>
      </w:r>
    </w:p>
    <w:p>
      <w:pPr>
        <w:pStyle w:val="BodyText"/>
        <w:ind w:left="480"/>
      </w:pPr>
      <w:r>
        <w:t xml:space="preserve">The </w:t>
      </w:r>
      <w:r>
        <w:t>VCF Operations orchestrator</w:t>
      </w:r>
      <w:r>
        <w:t xml:space="preserve"> integration is saved.</w:t>
      </w:r>
    </w:p>
    <w:p>
      <w:pPr>
        <w:pStyle w:val="BodyText"/>
        <w:numPr>
          <w:numId w:val="208"/>
        </w:numPr>
      </w:pPr>
      <w:r>
        <w:t xml:space="preserve">To verify that the integration is configured and that the workflows are added, navigate to the </w:t>
      </w:r>
      <w:r>
        <w:rPr>
          <w:rStyle w:val="InlineUI"/>
        </w:rPr>
        <w:t>Orchestrate</w:t>
      </w:r>
      <w:r>
        <w:t xml:space="preserve"> tab.</w:t>
      </w:r>
    </w:p>
    <w:p>
      <w:pPr>
        <w:pStyle w:val="BodyText"/>
      </w:pPr>
      <w:r>
        <w:t xml:space="preserve">The </w:t>
      </w:r>
      <w:r>
        <w:t>VCF Operations orchestrator</w:t>
      </w:r>
      <w:r>
        <w:t xml:space="preserve"> instance is ready and you can now enable extensibility with </w:t>
      </w:r>
      <w:r>
        <w:t>VCF Operations orchestrator</w:t>
      </w:r>
      <w:r>
        <w:t xml:space="preserve"> for the All Apps organization.</w:t>
      </w:r>
    </w:p>
    <w:p>
      <w:pPr>
        <w:pStyle w:val="SectionHeading5"/>
      </w:pPr>
      <w:r>
        <w:t>Enable VCF Operations orchestrator for the VCF Automation Organization</w:t>
      </w:r>
    </w:p>
    <w:p>
      <w:pPr>
        <w:pStyle w:val="BodyText"/>
      </w:pPr>
      <w:r>
        <w:t xml:space="preserve">To enable extensibility through </w:t>
      </w:r>
      <w:r>
        <w:t>VCF Operations orchestrator</w:t>
      </w:r>
      <w:r>
        <w:t xml:space="preserve"> for the All apps organization, you must publish the Orchestrator rights bundle to that organization.</w:t>
      </w:r>
    </w:p>
    <w:p>
      <w:pPr>
        <w:pStyle w:val="BodyText"/>
        <w:numPr>
          <w:numId w:val="209"/>
        </w:numPr>
      </w:pPr>
      <w:r>
        <w:t xml:space="preserve">Log in to the </w:t>
      </w:r>
      <w:r>
        <w:t>VCF Automation</w:t>
      </w:r>
      <w:r>
        <w:t xml:space="preserve"> Provider Management portal with provider administrator credentials.</w:t>
      </w:r>
    </w:p>
    <w:p>
      <w:pPr>
        <w:pStyle w:val="BodyText"/>
        <w:numPr>
          <w:numId w:val="209"/>
        </w:numPr>
      </w:pPr>
      <w:r>
        <w:t xml:space="preserve">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Rights Bundles</w:t>
      </w:r>
      <w:r>
        <w:t>.</w:t>
      </w:r>
    </w:p>
    <w:p>
      <w:pPr>
        <w:pStyle w:val="BodyText"/>
        <w:numPr>
          <w:numId w:val="209"/>
        </w:numPr>
      </w:pPr>
      <w:r>
        <w:t xml:space="preserve">Select the </w:t>
      </w:r>
      <w:r>
        <w:rPr>
          <w:rStyle w:val="InlineUI"/>
        </w:rPr>
        <w:t>Orchestrator Right Bundle</w:t>
      </w:r>
      <w:r>
        <w:t>.</w:t>
      </w:r>
    </w:p>
    <w:p>
      <w:pPr>
        <w:pStyle w:val="BodyText"/>
        <w:numPr>
          <w:numId w:val="209"/>
        </w:numPr>
      </w:pPr>
      <w:r>
        <w:t xml:space="preserve">On the </w:t>
      </w:r>
      <w:r>
        <w:rPr>
          <w:rStyle w:val="InlineUI"/>
        </w:rPr>
        <w:t>Orchestrator Rights Bundle</w:t>
      </w:r>
      <w:r>
        <w:t xml:space="preserve"> page, click </w:t>
      </w:r>
      <w:r>
        <w:rPr>
          <w:rStyle w:val="InlineUI"/>
        </w:rPr>
        <w:t>Publish</w:t>
      </w:r>
      <w:r>
        <w:t>.</w:t>
      </w:r>
    </w:p>
    <w:p>
      <w:pPr>
        <w:pStyle w:val="BodyText"/>
        <w:numPr>
          <w:numId w:val="209"/>
        </w:numPr>
      </w:pPr>
      <w:r>
        <w:t xml:space="preserve">Select the All Apps organization and click </w:t>
      </w:r>
      <w:r>
        <w:rPr>
          <w:rStyle w:val="InlineUI"/>
        </w:rPr>
        <w:t>Save</w:t>
      </w:r>
      <w:r>
        <w:t>.</w:t>
      </w:r>
    </w:p>
    <w:p>
      <w:pPr>
        <w:pStyle w:val="BodyText"/>
        <w:numPr>
          <w:numId w:val="209"/>
        </w:numPr>
      </w:pPr>
      <w:r>
        <w:t xml:space="preserve">Verify that the organization is added to the </w:t>
      </w:r>
      <w:r>
        <w:rPr>
          <w:rStyle w:val="InlineUI"/>
        </w:rPr>
        <w:t>Published To</w:t>
      </w:r>
      <w:r>
        <w:t xml:space="preserve"> list.</w:t>
      </w:r>
    </w:p>
    <w:p>
      <w:pPr>
        <w:pStyle w:val="BodyText"/>
      </w:pPr>
      <w:r>
        <w:t xml:space="preserve">Next, the organization administrator can manage extensibility with </w:t>
      </w:r>
      <w:r>
        <w:t>VCF Operations orchestrator</w:t>
      </w:r>
      <w:r>
        <w:t>-related authorizations for users in that organization.</w:t>
      </w:r>
    </w:p>
    <w:p>
      <w:pPr>
        <w:pStyle w:val="SectionHeading5"/>
      </w:pPr>
      <w:r>
        <w:t>Data Collection for VCF Operations orchestrator Integrations</w:t>
      </w:r>
    </w:p>
    <w:p>
      <w:pPr>
        <w:pStyle w:val="BodyText"/>
      </w:pPr>
      <w:r>
        <w:t>VCF Operations orchestrator</w:t>
      </w:r>
      <w:r>
        <w:t xml:space="preserve"> performs periodic data collection for your </w:t>
      </w:r>
      <w:r>
        <w:t>VCF Operations orchestrator</w:t>
      </w:r>
      <w:r>
        <w:t xml:space="preserve"> integration. Data collection events for </w:t>
      </w:r>
      <w:r>
        <w:t>VCF Operations orchestrator</w:t>
      </w:r>
      <w:r>
        <w:t xml:space="preserve"> integrations are triggered every 10 minutes.</w:t>
      </w:r>
    </w:p>
    <w:p>
      <w:pPr>
        <w:pStyle w:val="BodyText"/>
        <w:pBdr>
          <w:top w:val="single" w:sz="8" w:space="2" w:color="D3D3D3"/>
          <w:bottom w:val="single" w:sz="8" w:space="2" w:color="D3D3D3"/>
        </w:pBdr>
      </w:pPr>
      <w:r>
        <w:rPr>
          <w:rStyle w:val="NoteLeaderimportant"/>
        </w:rPr>
        <w:t>Important</w:t>
        <w:tab/>
      </w:r>
      <w:r>
        <w:t>Verify that you version up a workflow when you are finished editing it. Changes to non-versioned up workflows are not picked up by the data collector.</w:t>
      </w:r>
    </w:p>
    <w:p>
      <w:pPr>
        <w:pStyle w:val="BodyText"/>
      </w:pPr>
      <w:r>
        <w:t xml:space="preserve">You can find information about the last data collection performed on a </w:t>
      </w:r>
      <w:r>
        <w:t>VCF Operations orchestrator</w:t>
      </w:r>
      <w:r>
        <w:t xml:space="preserve"> integration by navigating to </w:t>
      </w:r>
      <w:r>
        <w:rPr>
          <w:rStyle w:val="InlineUI"/>
        </w:rPr>
        <w:t>Administer</w:t>
      </w:r>
      <w:r>
        <w:rPr>
          <w:rStyle w:val="InlineUI"/>
        </w:rPr>
        <w:t xml:space="preserve"> &gt; </w:t>
      </w:r>
      <w:r>
        <w:rPr>
          <w:rStyle w:val="InlineUI"/>
        </w:rPr>
        <w:t>Connections</w:t>
      </w:r>
      <w:r>
        <w:rPr>
          <w:rStyle w:val="InlineUI"/>
        </w:rPr>
        <w:t xml:space="preserve"> &gt; </w:t>
      </w:r>
      <w:r>
        <w:rPr>
          <w:rStyle w:val="InlineUI"/>
        </w:rPr>
        <w:t>Integrations</w:t>
      </w:r>
      <w:r>
        <w:t xml:space="preserve"> and selecting the </w:t>
      </w:r>
      <w:r>
        <w:t>VCF Operations orchestrator</w:t>
      </w:r>
      <w:r>
        <w:t xml:space="preserve"> integration. You can also trigger a manual data collection event by clicking </w:t>
      </w:r>
      <w:r>
        <w:rPr>
          <w:rStyle w:val="InlineUI"/>
        </w:rPr>
        <w:t>Start Data Collection</w:t>
      </w:r>
      <w:r>
        <w:t>.</w:t>
      </w:r>
    </w:p>
    <w:p>
      <w:pPr>
        <w:pStyle w:val="Heading3"/>
      </w:pPr>
      <w:bookmarkStart w:id="251" w:name="B3383606950c8463a87ce995167a62d85"/>
      <w:bookmarkStart w:id="252" w:name="_Toc256000790"/>
      <w:r>
        <w:t>Terraform Configuration in VCF Automation</w:t>
      </w:r>
      <w:bookmarkEnd w:id="252"/>
      <w:bookmarkEnd w:id="251"/>
    </w:p>
    <w:p>
      <w:pPr>
        <w:pStyle w:val="BodyText"/>
      </w:pPr>
      <w:r>
        <w:t xml:space="preserve">As an organization administrator, you can automate the deployment and configuration of </w:t>
      </w:r>
      <w:r>
        <w:t>VCF Automation</w:t>
      </w:r>
      <w:r>
        <w:t xml:space="preserve"> infrastructure resources using Terraform.</w:t>
      </w:r>
    </w:p>
    <w:p>
      <w:pPr>
        <w:pStyle w:val="BodyText"/>
      </w:pPr>
      <w:hyperlink r:id="rId26" w:tooltip="Terraform" w:history="1">
        <w:r>
          <w:rPr>
            <w:color w:val="0000FF"/>
            <w:u w:val="single"/>
          </w:rPr>
          <w:t>Terraform</w:t>
        </w:r>
      </w:hyperlink>
      <w:r>
        <w:t xml:space="preserve"> is an Infrastructure as Code (IaC) tool developed by HashiCorp. You can use the open-source tool to define and provision your cloud infrastructure using the HashiCorp Configuration Language (HCL). Terraform uses the configuration files with the descriptions of the desired state of your infrastructure to create, manage, and delete the necessary resources across various cloud providers and platforms. Terraform providers are plug-ins that Terraform uses to interact with cloud providers, SaaS providers, third-party tools, and other APIs. Each provider defines its resources and data sources that map directly to the functionalities of the specific service.</w:t>
      </w:r>
    </w:p>
    <w:p>
      <w:pPr>
        <w:pStyle w:val="BodyText"/>
      </w:pPr>
      <w:r>
        <w:t xml:space="preserve">For end-to-end operation of Terraform in </w:t>
      </w:r>
      <w:r>
        <w:t>VCF Automation</w:t>
      </w:r>
      <w:r>
        <w:t>, you can use three open-source Terraform providers.</w:t>
      </w:r>
    </w:p>
    <w:p>
      <w:pPr>
        <w:pStyle w:val="BodyText"/>
        <w:numPr>
          <w:numId w:val="210"/>
        </w:numPr>
      </w:pPr>
      <w:r>
        <w:t xml:space="preserve">Terraform Provider for </w:t>
      </w:r>
      <w:r>
        <w:t>VCF Automation</w:t>
      </w:r>
      <w:r>
        <w:t xml:space="preserve"> - You can use this provider to perform CRUD operations for a subset of the </w:t>
      </w:r>
      <w:r>
        <w:t>VCF Automation</w:t>
      </w:r>
      <w:r>
        <w:t xml:space="preserve"> resources that belong to organizations, such as namespaces. This provider is available on </w:t>
      </w:r>
      <w:hyperlink r:id="rId27" w:tooltip="GitHub" w:history="1">
        <w:r>
          <w:rPr>
            <w:color w:val="0000FF"/>
            <w:u w:val="single"/>
          </w:rPr>
          <w:t>GitHub</w:t>
        </w:r>
      </w:hyperlink>
      <w:r>
        <w:t xml:space="preserve"> and is distributed as part of the </w:t>
      </w:r>
      <w:hyperlink r:id="rId28" w:tooltip="HashiCorp Terraform registry" w:history="1">
        <w:r>
          <w:rPr>
            <w:color w:val="0000FF"/>
            <w:u w:val="single"/>
          </w:rPr>
          <w:t>HashiCorp Terraform registry</w:t>
        </w:r>
      </w:hyperlink>
      <w:r>
        <w:t xml:space="preserve">. The </w:t>
      </w:r>
      <w:hyperlink r:id="rId29" w:tooltip="greenfield" w:history="1">
        <w:r>
          <w:rPr>
            <w:color w:val="0000FF"/>
            <w:u w:val="single"/>
          </w:rPr>
          <w:t>greenfield</w:t>
        </w:r>
      </w:hyperlink>
      <w:r>
        <w:t xml:space="preserve"> folder contains examples of configuration files for fresh </w:t>
      </w:r>
      <w:r>
        <w:t>VCF Automation</w:t>
      </w:r>
      <w:r>
        <w:t xml:space="preserve"> installations that show how all resources interact with each other and provide guidance on how you can use the provider. The folder contains two parts. As an organization administrator, you can use the </w:t>
      </w:r>
      <w:hyperlink r:id="rId30" w:tooltip="tenant" w:history="1">
        <w:r>
          <w:rPr>
            <w:color w:val="0000FF"/>
            <w:u w:val="single"/>
          </w:rPr>
          <w:t>tenant</w:t>
        </w:r>
      </w:hyperlink>
      <w:r>
        <w:t xml:space="preserve"> part to create content libraries and namespaces in your organization.</w:t>
      </w:r>
    </w:p>
    <w:p>
      <w:pPr>
        <w:pStyle w:val="BodyText"/>
        <w:pBdr>
          <w:top w:val="single" w:sz="8" w:space="2" w:color="D3D3D3"/>
          <w:bottom w:val="single" w:sz="8" w:space="2" w:color="D3D3D3"/>
        </w:pBdr>
        <w:ind w:left="480"/>
      </w:pPr>
      <w:r>
        <w:rPr>
          <w:rStyle w:val="NoteLeadernote"/>
        </w:rPr>
        <w:t>Note</w:t>
        <w:tab/>
      </w:r>
      <w:r>
        <w:t xml:space="preserve">The </w:t>
      </w:r>
      <w:hyperlink r:id="rId31" w:tooltip="provider" w:history="1">
        <w:r>
          <w:rPr>
            <w:color w:val="0000FF"/>
            <w:u w:val="single"/>
          </w:rPr>
          <w:t>provider</w:t>
        </w:r>
      </w:hyperlink>
      <w:r>
        <w:t xml:space="preserve"> part is available to provider administrators to create the necessary organizations and configure the underlying infrastructure, such as </w:t>
      </w:r>
      <w:r>
        <w:t>vCenter</w:t>
      </w:r>
      <w:r>
        <w:t xml:space="preserve"> instances, </w:t>
      </w:r>
      <w:r>
        <w:t>NSX</w:t>
      </w:r>
      <w:r>
        <w:t xml:space="preserve"> instances, provider gateways, roles, and so on.</w:t>
      </w:r>
    </w:p>
    <w:p>
      <w:pPr>
        <w:pStyle w:val="BodyText"/>
        <w:numPr>
          <w:numId w:val="210"/>
        </w:numPr>
      </w:pPr>
      <w:r>
        <w:t xml:space="preserve">Terraform Provider for Kubernetes - You can use the </w:t>
      </w:r>
      <w:hyperlink r:id="rId32" w:tooltip="Kubernetes (K8S) provider" w:history="1">
        <w:r>
          <w:rPr>
            <w:color w:val="0000FF"/>
            <w:u w:val="single"/>
          </w:rPr>
          <w:t>Kubernetes (K8S) provider</w:t>
        </w:r>
      </w:hyperlink>
      <w:r>
        <w:t xml:space="preserve"> to perform CRUD operations against the </w:t>
      </w:r>
      <w:r>
        <w:t>VCF Automation</w:t>
      </w:r>
      <w:r>
        <w:t xml:space="preserve"> resources exposed through the </w:t>
      </w:r>
      <w:r>
        <w:t>VCF Automation</w:t>
      </w:r>
      <w:r>
        <w:t xml:space="preserve"> Kubernetes API layer, such as projects.</w:t>
      </w:r>
    </w:p>
    <w:p>
      <w:pPr>
        <w:pStyle w:val="BodyText"/>
        <w:ind w:left="480"/>
      </w:pPr>
      <w:r>
        <w:t xml:space="preserve">To see a usage example, navigate to </w:t>
      </w:r>
      <w:r>
        <w:rPr>
          <w:rStyle w:val="InlineCode"/>
        </w:rPr>
        <w:t>https://&lt;FQDN&gt;/automation/api-docs/#/terraform-provider</w:t>
      </w:r>
      <w:r>
        <w:t>.</w:t>
      </w:r>
    </w:p>
    <w:p>
      <w:pPr>
        <w:pStyle w:val="BodyText"/>
        <w:numPr>
          <w:numId w:val="210"/>
        </w:numPr>
      </w:pPr>
      <w:r>
        <w:t xml:space="preserve">Terraform Provider for VMware Aria Automation - You can use </w:t>
      </w:r>
      <w:hyperlink r:id="rId33" w:tooltip="this provider" w:history="1">
        <w:r>
          <w:rPr>
            <w:color w:val="0000FF"/>
            <w:u w:val="single"/>
          </w:rPr>
          <w:t>this provider</w:t>
        </w:r>
      </w:hyperlink>
      <w:r>
        <w:t xml:space="preserve"> to perform CRUD operations for </w:t>
      </w:r>
      <w:r>
        <w:t>VCF Automation</w:t>
      </w:r>
      <w:r>
        <w:t xml:space="preserve"> resources that are not yet exposed through the </w:t>
      </w:r>
      <w:r>
        <w:t>VCF Automation</w:t>
      </w:r>
      <w:r>
        <w:t xml:space="preserve"> Kubernetes API layers, such as blueprints.</w:t>
      </w:r>
    </w:p>
    <w:p>
      <w:pPr>
        <w:pStyle w:val="SectionHeading4"/>
      </w:pPr>
      <w:bookmarkStart w:id="253" w:name="_Toc256000791"/>
      <w:r>
        <w:t>Terraform providers by VCF Automation role</w:t>
      </w:r>
      <w:bookmarkEnd w:id="253"/>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50"/>
        <w:gridCol w:w="4458"/>
        <w:gridCol w:w="28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Terraform Provider</w:t>
            </w:r>
          </w:p>
        </w:tc>
        <w:tc>
          <w:tcPr>
            <w:tcBorders>
              <w:left w:val="nil"/>
              <w:right w:val="nil"/>
            </w:tcBorders>
            <w:shd w:val="clear" w:color="auto" w:fill="E1E1E1"/>
            <w:tcMar>
              <w:top w:w="60" w:type="dxa"/>
              <w:bottom w:w="60" w:type="dxa"/>
            </w:tcMar>
          </w:tcPr>
          <w:p>
            <w:pPr>
              <w:pStyle w:val="TableHeaderText"/>
            </w:pPr>
            <w:r>
              <w:t>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Administrator</w:t>
            </w:r>
          </w:p>
        </w:tc>
        <w:tc>
          <w:tcPr>
            <w:tcBorders>
              <w:left w:val="nil"/>
              <w:right w:val="nil"/>
            </w:tcBorders>
          </w:tcPr>
          <w:p>
            <w:pPr>
              <w:pStyle w:val="TableBodyText"/>
            </w:pPr>
            <w:r>
              <w:t xml:space="preserve">Terraform Provider for </w:t>
            </w:r>
            <w:r>
              <w:t>VCF Automation</w:t>
            </w:r>
          </w:p>
        </w:tc>
        <w:tc>
          <w:tcPr>
            <w:tcBorders>
              <w:left w:val="nil"/>
              <w:right w:val="nil"/>
            </w:tcBorders>
          </w:tcPr>
          <w:p>
            <w:pPr>
              <w:pStyle w:val="TableBodyText"/>
              <w:numPr>
                <w:numId w:val="211"/>
              </w:numPr>
            </w:pPr>
            <w:r>
              <w:t>Content library</w:t>
            </w:r>
          </w:p>
          <w:p>
            <w:pPr>
              <w:pStyle w:val="TableBodyText"/>
              <w:numPr>
                <w:numId w:val="211"/>
              </w:numPr>
            </w:pPr>
            <w:r>
              <w:t>Namespace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Terraform Provider for Kubernetes</w:t>
            </w:r>
          </w:p>
        </w:tc>
        <w:tc>
          <w:tcPr>
            <w:tcBorders>
              <w:left w:val="nil"/>
              <w:right w:val="nil"/>
            </w:tcBorders>
          </w:tcPr>
          <w:p>
            <w:pPr>
              <w:pStyle w:val="TableBodyText"/>
              <w:numPr>
                <w:numId w:val="212"/>
              </w:numPr>
            </w:pPr>
            <w:r>
              <w:t>VCF</w:t>
            </w:r>
            <w:r>
              <w:t xml:space="preserve"> services projects</w:t>
            </w:r>
          </w:p>
          <w:p>
            <w:pPr>
              <w:pStyle w:val="TableBodyText"/>
              <w:numPr>
                <w:numId w:val="212"/>
              </w:numPr>
            </w:pPr>
            <w:r>
              <w:t>Content library</w:t>
            </w:r>
          </w:p>
          <w:p>
            <w:pPr>
              <w:pStyle w:val="TableBodyText"/>
              <w:numPr>
                <w:numId w:val="212"/>
              </w:numPr>
            </w:pPr>
            <w:r>
              <w:t>Virtual Private Cloud</w:t>
            </w:r>
          </w:p>
          <w:p>
            <w:pPr>
              <w:pStyle w:val="TableBodyText"/>
              <w:numPr>
                <w:numId w:val="212"/>
              </w:numPr>
            </w:pPr>
            <w:r>
              <w:t>Subnets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numPr>
                <w:numId w:val="213"/>
              </w:numPr>
            </w:pPr>
            <w:r>
              <w:t>Blueprint</w:t>
            </w:r>
          </w:p>
          <w:p>
            <w:pPr>
              <w:pStyle w:val="TableBodyText"/>
              <w:numPr>
                <w:numId w:val="213"/>
              </w:numPr>
            </w:pPr>
            <w:r>
              <w:t>Catalog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User</w:t>
            </w:r>
          </w:p>
        </w:tc>
        <w:tc>
          <w:tcPr>
            <w:tcBorders>
              <w:left w:val="nil"/>
              <w:right w:val="nil"/>
            </w:tcBorders>
          </w:tcPr>
          <w:p>
            <w:pPr>
              <w:pStyle w:val="TableBodyText"/>
            </w:pPr>
            <w:r>
              <w:t>Terraform Provider for Kubernetes</w:t>
            </w:r>
          </w:p>
        </w:tc>
        <w:tc>
          <w:tcPr>
            <w:tcBorders>
              <w:left w:val="nil"/>
              <w:right w:val="nil"/>
            </w:tcBorders>
          </w:tcPr>
          <w:p>
            <w:pPr>
              <w:pStyle w:val="TableBodyText"/>
            </w:pPr>
            <w:r>
              <w:t>Provisioning of IaaS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pPr>
            <w:r>
              <w:t>Catalog deployment</w:t>
            </w:r>
          </w:p>
        </w:tc>
      </w:tr>
    </w:tbl>
    <w:p>
      <w:pPr>
        <w:pStyle w:val="Heading3"/>
        <w:spacing w:before="320"/>
      </w:pPr>
      <w:bookmarkStart w:id="254" w:name="_Toc256000792"/>
      <w:r>
        <w:t>Managing Certificates in VCF Automation</w:t>
      </w:r>
      <w:bookmarkEnd w:id="254"/>
    </w:p>
    <w:p>
      <w:pPr>
        <w:pStyle w:val="BodyText"/>
      </w:pPr>
      <w:r>
        <w:t xml:space="preserve">You can import, download, edit, and delete certificates from </w:t>
      </w:r>
      <w:r>
        <w:t>VCF Automation</w:t>
      </w:r>
      <w:r>
        <w:t>.</w:t>
      </w:r>
    </w:p>
    <w:p>
      <w:pPr>
        <w:pStyle w:val="SectionHeading4"/>
      </w:pPr>
      <w:bookmarkStart w:id="255" w:name="_Toc256000793"/>
      <w:r>
        <w:t>Trusted Certificates</w:t>
      </w:r>
      <w:bookmarkEnd w:id="255"/>
    </w:p>
    <w:p>
      <w:pPr>
        <w:pStyle w:val="BodyText"/>
      </w:pPr>
      <w:r>
        <w:t xml:space="preserve">You can import certificates of servers that </w:t>
      </w:r>
      <w:r>
        <w:t>VCF Automation</w:t>
      </w:r>
      <w:r>
        <w:t xml:space="preserve"> communicates with, such as vCenter, NSX Manager, and so on.</w:t>
      </w:r>
    </w:p>
    <w:p>
      <w:pPr>
        <w:pStyle w:val="BodyText"/>
      </w:pPr>
      <w:r>
        <w:t xml:space="preserve">For more information, see </w:t>
      </w:r>
      <w:r>
        <w:t>Import Trusted Certificates Using Your</w:t>
      </w:r>
      <w:r>
        <w:t>.</w:t>
      </w:r>
    </w:p>
    <w:p>
      <w:pPr>
        <w:pStyle w:val="SectionHeading4"/>
      </w:pPr>
      <w:bookmarkStart w:id="256" w:name="_Toc256000794"/>
      <w:r>
        <w:t>Certificate library</w:t>
      </w:r>
      <w:bookmarkEnd w:id="256"/>
    </w:p>
    <w:p>
      <w:pPr>
        <w:pStyle w:val="BodyText"/>
      </w:pPr>
      <w:r>
        <w:t xml:space="preserve">In the </w:t>
      </w:r>
      <w:r>
        <w:t>VCF Automation</w:t>
      </w:r>
      <w:r>
        <w:t xml:space="preserve"> certificates library, you can import certificates used when creating entities that you must secure, such as servers, Edge gateways, and so on.</w:t>
      </w:r>
    </w:p>
    <w:p>
      <w:pPr>
        <w:pStyle w:val="BodyText"/>
      </w:pPr>
      <w:r>
        <w:t xml:space="preserve">For more information, see </w:t>
      </w:r>
      <w:r>
        <w:t>Import Certificates to the Certificates Library Using Your</w:t>
      </w:r>
      <w:r>
        <w:t>.</w:t>
      </w:r>
    </w:p>
    <w:p>
      <w:pPr>
        <w:pStyle w:val="Heading3"/>
      </w:pPr>
      <w:bookmarkStart w:id="257" w:name="Bd92f63a7267246b496a483811f2b9375"/>
      <w:bookmarkStart w:id="258" w:name="_Toc256000795"/>
      <w:r>
        <w:t>Managing Secrets in VCF Automation</w:t>
      </w:r>
      <w:bookmarkEnd w:id="258"/>
      <w:bookmarkEnd w:id="257"/>
    </w:p>
    <w:p>
      <w:pPr>
        <w:pStyle w:val="BodyText"/>
      </w:pPr>
      <w:r>
        <w:t xml:space="preserve">A </w:t>
      </w:r>
      <w:r>
        <w:t>VCF Automation</w:t>
      </w:r>
      <w:r>
        <w:t xml:space="preserve"> secret is a reusable, encrypted value that project users may add to their blueprint designs.</w:t>
      </w:r>
    </w:p>
    <w:p>
      <w:pPr>
        <w:pStyle w:val="BodyText"/>
      </w:pPr>
      <w:r>
        <w:t>Secure access keys and credentials are typical examples of secret properties. Once created and saved, a secret's value can never be unencrypted or read.</w:t>
      </w:r>
    </w:p>
    <w:p>
      <w:pPr>
        <w:pStyle w:val="SectionHeading4"/>
      </w:pPr>
      <w:bookmarkStart w:id="259" w:name="_Toc256000796"/>
      <w:r>
        <w:t>Create a secret</w:t>
      </w:r>
      <w:bookmarkEnd w:id="259"/>
    </w:p>
    <w:p>
      <w:pPr>
        <w:pStyle w:val="BodyText"/>
        <w:numPr>
          <w:numId w:val="214"/>
        </w:numPr>
      </w:pPr>
      <w:r>
        <w:t xml:space="preserve">Log in to </w:t>
      </w:r>
      <w:r>
        <w:t>VCF Automation</w:t>
      </w:r>
      <w:r>
        <w:t xml:space="preserve"> as a project administrator.</w:t>
      </w:r>
    </w:p>
    <w:p>
      <w:pPr>
        <w:pStyle w:val="BodyText"/>
        <w:numPr>
          <w:numId w:val="214"/>
        </w:numPr>
      </w:pPr>
      <w:r>
        <w:t xml:space="preserve">Go to </w:t>
      </w:r>
      <w:r>
        <w:rPr>
          <w:rStyle w:val="InlineUI"/>
        </w:rPr>
        <w:t>Administer</w:t>
      </w:r>
      <w:r>
        <w:rPr>
          <w:rStyle w:val="InlineUI"/>
        </w:rPr>
        <w:t xml:space="preserve"> &gt; </w:t>
      </w:r>
      <w:r>
        <w:rPr>
          <w:rStyle w:val="InlineUI"/>
        </w:rPr>
        <w:t>Certificates</w:t>
      </w:r>
      <w:r>
        <w:rPr>
          <w:rStyle w:val="InlineUI"/>
        </w:rPr>
        <w:t xml:space="preserve"> &gt; </w:t>
      </w:r>
      <w:r>
        <w:rPr>
          <w:rStyle w:val="InlineUI"/>
        </w:rPr>
        <w:t>Secrets</w:t>
      </w:r>
      <w:r>
        <w:t xml:space="preserve"> and click </w:t>
      </w:r>
      <w:r>
        <w:rPr>
          <w:rStyle w:val="InlineUI"/>
        </w:rPr>
        <w:t>New</w:t>
      </w:r>
      <w:r>
        <w:t>.</w:t>
      </w:r>
    </w:p>
    <w:p>
      <w:pPr>
        <w:pStyle w:val="BodyText"/>
        <w:numPr>
          <w:numId w:val="214"/>
        </w:numPr>
      </w:pPr>
      <w:r>
        <w:t>Enter a unique property name for the secret, without spaces or special characters.</w:t>
      </w:r>
    </w:p>
    <w:p>
      <w:pPr>
        <w:pStyle w:val="BodyText"/>
        <w:ind w:left="480"/>
      </w:pPr>
      <w:r>
        <w:t>The name is the visible identifier for the secret.</w:t>
      </w:r>
    </w:p>
    <w:p>
      <w:pPr>
        <w:pStyle w:val="BodyText"/>
        <w:numPr>
          <w:numId w:val="214"/>
        </w:numPr>
      </w:pPr>
      <w:r>
        <w:t>Scope the secret to the entire organization or to specific projects.</w:t>
      </w:r>
    </w:p>
    <w:p>
      <w:pPr>
        <w:pStyle w:val="BodyText"/>
        <w:ind w:left="480"/>
      </w:pPr>
      <w:r>
        <w:t xml:space="preserve">To assign the secret to one or more projects, click </w:t>
      </w:r>
      <w:r>
        <w:rPr>
          <w:rStyle w:val="InlineUI"/>
        </w:rPr>
        <w:t>Assign Projects</w:t>
      </w:r>
      <w:r>
        <w:t xml:space="preserve">, select your projects, and click </w:t>
      </w:r>
      <w:r>
        <w:rPr>
          <w:rStyle w:val="InlineUI"/>
        </w:rPr>
        <w:t>Add</w:t>
      </w:r>
      <w:r>
        <w:t>.</w:t>
      </w:r>
    </w:p>
    <w:p>
      <w:pPr>
        <w:pStyle w:val="BodyText"/>
        <w:ind w:left="480"/>
      </w:pPr>
      <w:r>
        <w:t>You can't associate a secret with the same project twice. You also can't associate two secrets with the same name with the entire organization.</w:t>
      </w:r>
    </w:p>
    <w:p>
      <w:pPr>
        <w:pStyle w:val="BodyText"/>
        <w:numPr>
          <w:numId w:val="214"/>
        </w:numPr>
      </w:pPr>
      <w:r>
        <w:t>Enter the secret value.</w:t>
      </w:r>
    </w:p>
    <w:p>
      <w:pPr>
        <w:pStyle w:val="BodyText"/>
        <w:ind w:left="480"/>
      </w:pPr>
      <w:r>
        <w:t>When typing, the value is obscured by default, which protects it if the screen is shared.</w:t>
      </w:r>
    </w:p>
    <w:p>
      <w:pPr>
        <w:pStyle w:val="BodyText"/>
        <w:ind w:left="480"/>
      </w:pPr>
      <w:r>
        <w:t>If needed, you can click the eye symbol to reveal and verify a value. After it is saved, a secret value becomes encrypted in the database and can never be re-exposed.</w:t>
      </w:r>
    </w:p>
    <w:p>
      <w:pPr>
        <w:pStyle w:val="BodyText"/>
        <w:numPr>
          <w:numId w:val="214"/>
        </w:numPr>
      </w:pPr>
      <w:r>
        <w:t>Optionally, enter a longer description of the secret property.</w:t>
      </w:r>
    </w:p>
    <w:p>
      <w:pPr>
        <w:pStyle w:val="BodyText"/>
        <w:numPr>
          <w:numId w:val="214"/>
        </w:numPr>
      </w:pPr>
      <w:r>
        <w:t xml:space="preserve">Click </w:t>
      </w:r>
      <w:r>
        <w:t>Create</w:t>
      </w:r>
      <w:r>
        <w:t>.</w:t>
      </w:r>
    </w:p>
    <w:p>
      <w:pPr>
        <w:pStyle w:val="SectionHeading4"/>
      </w:pPr>
      <w:bookmarkStart w:id="260" w:name="_Toc256000797"/>
      <w:r>
        <w:t>Adding a secret to a blueprint</w:t>
      </w:r>
      <w:bookmarkEnd w:id="260"/>
    </w:p>
    <w:p>
      <w:pPr>
        <w:pStyle w:val="BodyText"/>
      </w:pPr>
      <w:r>
        <w:t>You can add a secret property as a binding in blueprint code.</w:t>
      </w:r>
    </w:p>
    <w:p>
      <w:pPr>
        <w:pStyle w:val="BodyText"/>
      </w:pPr>
      <w:r>
        <w:t xml:space="preserve">Note that starting to type </w:t>
      </w:r>
      <w:r>
        <w:rPr>
          <w:rStyle w:val="InlineCode"/>
        </w:rPr>
        <w:t>'${secret.characters</w:t>
      </w:r>
      <w:r>
        <w:t xml:space="preserve"> reveals a selection list of secrets that have been created for the project.</w:t>
      </w:r>
    </w:p>
    <w:p>
      <w:pPr>
        <w:pStyle w:val="BodyText"/>
      </w:pPr>
      <w:r>
        <w:t>If two secrets with the same name but different values exist at the project level and at the organization level, the project secret takes precedence. The organization secret is not available for selection in the blueprint.</w:t>
      </w:r>
    </w:p>
    <w:p>
      <w:pPr>
        <w:pStyle w:val="CodeBlock"/>
      </w:pPr>
      <w:r>
        <w:t>properties:
  name: ourvm
  image: mint20
  flavor: small
  remoteAccess:
    authentication: publicPrivateKey
    sshKey: '${secret.ourPublicKey}'
    username: root</w:t>
      </w:r>
    </w:p>
    <w:p>
      <w:pPr>
        <w:pStyle w:val="Heading4"/>
      </w:pPr>
      <w:bookmarkStart w:id="261" w:name="_Toc256000798"/>
      <w:r>
        <w:t>Remote Access to a VCF Automation Deployment</w:t>
      </w:r>
      <w:bookmarkEnd w:id="261"/>
    </w:p>
    <w:p>
      <w:pPr>
        <w:pStyle w:val="BodyText"/>
      </w:pPr>
      <w:r>
        <w:t xml:space="preserve">To remotely access a machine that </w:t>
      </w:r>
      <w:r>
        <w:t>VCF Automation</w:t>
      </w:r>
      <w:r>
        <w:t xml:space="preserve"> has deployed, you add properties, before deployment, to the blueprint for that machine.</w:t>
      </w:r>
    </w:p>
    <w:p>
      <w:pPr>
        <w:pStyle w:val="BodyText"/>
      </w:pPr>
      <w:r>
        <w:t>For remote access, you can configure one of the following authentication options.</w:t>
      </w:r>
    </w:p>
    <w:p>
      <w:pPr>
        <w:pStyle w:val="BodyText"/>
        <w:pBdr>
          <w:top w:val="single" w:sz="8" w:space="2" w:color="D3D3D3"/>
          <w:bottom w:val="single" w:sz="8" w:space="2" w:color="D3D3D3"/>
        </w:pBdr>
      </w:pPr>
      <w:r>
        <w:rPr>
          <w:rStyle w:val="NoteLeadernote"/>
        </w:rPr>
        <w:t>Note</w:t>
        <w:tab/>
      </w:r>
      <w:r>
        <w:t>In cases where keys need to be copied, you might also create a cloudConfig section in the blueprint, to automatically copy the keys upon provisioning.</w:t>
      </w:r>
    </w:p>
    <w:p>
      <w:pPr>
        <w:pStyle w:val="SectionHeading5"/>
      </w:pPr>
      <w:r>
        <w:t>Generate a key pair at provisioning time</w:t>
      </w:r>
    </w:p>
    <w:p>
      <w:pPr>
        <w:pStyle w:val="BodyText"/>
      </w:pPr>
      <w:r>
        <w:t xml:space="preserve">If you don't have your own public-private key pair for remote access authentication, you can have </w:t>
      </w:r>
      <w:r>
        <w:t>VCF Automation</w:t>
      </w:r>
      <w:r>
        <w:t xml:space="preserve"> generate a key pair.</w:t>
      </w:r>
    </w:p>
    <w:p>
      <w:pPr>
        <w:pStyle w:val="BodyText"/>
      </w:pPr>
      <w:r>
        <w:t>Use the following code as a guideline.</w:t>
      </w:r>
    </w:p>
    <w:p>
      <w:pPr>
        <w:pStyle w:val="BodyText"/>
        <w:numPr>
          <w:numId w:val="215"/>
        </w:numPr>
      </w:pPr>
      <w:r>
        <w:t xml:space="preserve">In </w:t>
      </w:r>
      <w:r>
        <w:t>VCF Automation</w:t>
      </w:r>
      <w:r>
        <w:t xml:space="preserve">, before provisioning, add </w:t>
      </w:r>
      <w:r>
        <w:rPr>
          <w:rStyle w:val="InlineCode"/>
        </w:rPr>
        <w:t>remoteAccess</w:t>
      </w:r>
      <w:r>
        <w:t xml:space="preserve"> properties to the blueprint as shown in the example.</w:t>
      </w:r>
    </w:p>
    <w:p>
      <w:pPr>
        <w:pStyle w:val="BodyText"/>
        <w:ind w:left="480"/>
      </w:pPr>
      <w:r>
        <w:t>The username is optional. If you omit it, the system generates a random ID as the username.</w:t>
      </w:r>
    </w:p>
    <w:p>
      <w:pPr>
        <w:pStyle w:val="BodyText"/>
        <w:ind w:left="480"/>
      </w:pPr>
      <w:r>
        <w:t>Example:</w:t>
      </w:r>
    </w:p>
    <w:p>
      <w:pPr>
        <w:pStyle w:val="CodeBlock"/>
        <w:ind w:left="480"/>
      </w:pPr>
      <w:r>
        <w:t xml:space="preserve">properties:
  name: our-vm2
  image: Linux18
  flavor: small
  </w:t>
      </w:r>
      <w:r>
        <w:t xml:space="preserve">remoteAccess:
    authentication: generatedPublicPrivatekey
    username: </w:t>
      </w:r>
      <w:r>
        <w:rPr>
          <w:rStyle w:val="InlineVar"/>
        </w:rPr>
        <w:t>testuser</w:t>
      </w:r>
    </w:p>
    <w:p>
      <w:pPr>
        <w:pStyle w:val="BodyText"/>
        <w:numPr>
          <w:numId w:val="215"/>
        </w:numPr>
      </w:pPr>
      <w:r>
        <w:t xml:space="preserve">In </w:t>
      </w:r>
      <w:r>
        <w:t>VCF Automation</w:t>
      </w:r>
      <w:r>
        <w:t>, provision the machine from its blueprint, and bring it to a started-up state.</w:t>
      </w:r>
    </w:p>
    <w:p>
      <w:pPr>
        <w:pStyle w:val="BodyText"/>
        <w:ind w:left="480"/>
      </w:pPr>
      <w:r>
        <w:t>The provisioning process generates the keys.</w:t>
      </w:r>
    </w:p>
    <w:p>
      <w:pPr>
        <w:pStyle w:val="BodyText"/>
        <w:numPr>
          <w:numId w:val="215"/>
        </w:numPr>
      </w:pPr>
      <w:r>
        <w:t xml:space="preserve">Locate the key name in the </w:t>
      </w:r>
      <w:r>
        <w:rPr>
          <w:rStyle w:val="InlineUI"/>
        </w:rPr>
        <w:t>Instances</w:t>
      </w:r>
      <w:r>
        <w:rPr>
          <w:rStyle w:val="InlineUI"/>
        </w:rPr>
        <w:t xml:space="preserve"> &gt; </w:t>
      </w:r>
      <w:r>
        <w:rPr>
          <w:rStyle w:val="InlineUI"/>
        </w:rPr>
        <w:t>Deployments</w:t>
      </w:r>
      <w:r>
        <w:rPr>
          <w:rStyle w:val="InlineUI"/>
        </w:rPr>
        <w:t xml:space="preserve"> &gt; </w:t>
      </w:r>
      <w:r>
        <w:rPr>
          <w:rStyle w:val="InlineUI"/>
        </w:rPr>
        <w:t>Topology</w:t>
      </w:r>
      <w:r>
        <w:t xml:space="preserve"> properties.</w:t>
      </w:r>
    </w:p>
    <w:p>
      <w:pPr>
        <w:pStyle w:val="BodyText"/>
        <w:numPr>
          <w:numId w:val="215"/>
        </w:numPr>
      </w:pPr>
      <w:r>
        <w:t>Use the cloud provider interface to access the provisioned machine command line.</w:t>
      </w:r>
    </w:p>
    <w:p>
      <w:pPr>
        <w:pStyle w:val="BodyText"/>
        <w:numPr>
          <w:numId w:val="215"/>
        </w:numPr>
      </w:pPr>
      <w:r>
        <w:t>Grant read permission to the private key.</w:t>
      </w:r>
    </w:p>
    <w:p>
      <w:pPr>
        <w:pStyle w:val="BodyText"/>
        <w:ind w:left="480"/>
      </w:pPr>
      <w:r>
        <w:rPr>
          <w:rStyle w:val="InlineCode"/>
        </w:rPr>
        <w:t xml:space="preserve">chmod 600 </w:t>
      </w:r>
      <w:r>
        <w:rPr>
          <w:rStyle w:val="InlineVar"/>
        </w:rPr>
        <w:t>key-name</w:t>
      </w:r>
    </w:p>
    <w:p>
      <w:pPr>
        <w:pStyle w:val="BodyText"/>
        <w:numPr>
          <w:numId w:val="215"/>
        </w:numPr>
      </w:pPr>
      <w:r>
        <w:t xml:space="preserve">Go to the </w:t>
      </w:r>
      <w:r>
        <w:t>VCF Automation</w:t>
      </w:r>
      <w:r>
        <w:t xml:space="preserve"> deployment, select the machine, and click </w:t>
      </w:r>
      <w:r>
        <w:rPr>
          <w:rStyle w:val="InlineUI"/>
        </w:rPr>
        <w:t>Actions</w:t>
      </w:r>
      <w:r>
        <w:rPr>
          <w:rStyle w:val="InlineUI"/>
        </w:rPr>
        <w:t xml:space="preserve"> &gt; </w:t>
      </w:r>
      <w:r>
        <w:rPr>
          <w:rStyle w:val="InlineUI"/>
        </w:rPr>
        <w:t>Get Private Key</w:t>
      </w:r>
      <w:r>
        <w:t>.</w:t>
      </w:r>
    </w:p>
    <w:p>
      <w:pPr>
        <w:pStyle w:val="BodyText"/>
        <w:numPr>
          <w:numId w:val="215"/>
        </w:numPr>
      </w:pPr>
      <w:r>
        <w:t>Copy the private key file to your local machine.</w:t>
      </w:r>
    </w:p>
    <w:p>
      <w:pPr>
        <w:pStyle w:val="BodyText"/>
        <w:ind w:left="480"/>
      </w:pPr>
      <w:r>
        <w:t xml:space="preserve">A typical local file path is </w:t>
      </w:r>
      <w:r>
        <w:rPr>
          <w:rStyle w:val="InlineCode"/>
        </w:rPr>
        <w:t>/home/username/.ssh/</w:t>
      </w:r>
      <w:r>
        <w:rPr>
          <w:rStyle w:val="InlineVar"/>
        </w:rPr>
        <w:t>key-name</w:t>
      </w:r>
      <w:r>
        <w:t>.</w:t>
      </w:r>
    </w:p>
    <w:p>
      <w:pPr>
        <w:pStyle w:val="BodyText"/>
        <w:numPr>
          <w:numId w:val="215"/>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5"/>
      </w:pPr>
      <w:r>
        <w:t>Supply your own public-private key pair</w:t>
      </w:r>
    </w:p>
    <w:p>
      <w:pPr>
        <w:pStyle w:val="BodyText"/>
      </w:pPr>
      <w:r>
        <w:t>Many enterprises create and distribute their own public-private key pairs for authentication.</w:t>
      </w:r>
    </w:p>
    <w:p>
      <w:pPr>
        <w:pStyle w:val="BodyText"/>
      </w:pPr>
      <w:r>
        <w:t>Use the following code as a guideline.</w:t>
      </w:r>
    </w:p>
    <w:p>
      <w:pPr>
        <w:pStyle w:val="BodyText"/>
        <w:numPr>
          <w:numId w:val="216"/>
        </w:numPr>
      </w:pPr>
      <w:r>
        <w:t>In your local environment, obtain or generate your public-private key pair.</w:t>
      </w:r>
    </w:p>
    <w:p>
      <w:pPr>
        <w:pStyle w:val="BodyText"/>
        <w:ind w:left="480"/>
      </w:pPr>
      <w:r>
        <w:t>For now, just generate and save the keys locally.</w:t>
      </w:r>
    </w:p>
    <w:p>
      <w:pPr>
        <w:pStyle w:val="BodyText"/>
        <w:numPr>
          <w:numId w:val="216"/>
        </w:numPr>
      </w:pPr>
      <w:r>
        <w:t xml:space="preserve">In </w:t>
      </w:r>
      <w:r>
        <w:t>VCF Automation</w:t>
      </w:r>
      <w:r>
        <w:t xml:space="preserve">, before provisioning, add </w:t>
      </w:r>
      <w:r>
        <w:rPr>
          <w:rStyle w:val="InlineCode"/>
        </w:rPr>
        <w:t>remoteAccess</w:t>
      </w:r>
      <w:r>
        <w:t xml:space="preserve"> properties to the blueprint as shown in the example.</w:t>
      </w:r>
    </w:p>
    <w:p>
      <w:pPr>
        <w:pStyle w:val="BodyText"/>
        <w:ind w:left="480"/>
      </w:pPr>
      <w:r>
        <w:t xml:space="preserve">The sshKey includes the long alphanumeric found within the public key file </w:t>
      </w:r>
      <w:r>
        <w:rPr>
          <w:rStyle w:val="InlineVar"/>
        </w:rPr>
        <w:t>key-name</w:t>
      </w:r>
      <w:r>
        <w:t>.pub.</w:t>
      </w:r>
    </w:p>
    <w:p>
      <w:pPr>
        <w:pStyle w:val="BodyText"/>
        <w:ind w:left="480"/>
      </w:pPr>
      <w:r>
        <w:t>The username is optional and gets created for you to log in with. If you omit it, the system generates a random ID as the username.</w:t>
      </w:r>
    </w:p>
    <w:p>
      <w:pPr>
        <w:pStyle w:val="BodyText"/>
        <w:ind w:left="480"/>
      </w:pPr>
      <w:r>
        <w:t>Example:</w:t>
      </w:r>
    </w:p>
    <w:p>
      <w:pPr>
        <w:pStyle w:val="CodeBlock"/>
        <w:ind w:left="480"/>
      </w:pPr>
      <w:r>
        <w:t xml:space="preserve">type: Cloud.Machine
properties:
  name: our-vm1
  image: Linux18
  flavor: small
  </w:t>
      </w:r>
      <w:r>
        <w:t xml:space="preserve">remoteAccess:
    authentication: publicPrivateKey
    sshKey: ssh-rsa </w:t>
      </w:r>
      <w:r>
        <w:rPr>
          <w:rStyle w:val="InlineVar"/>
        </w:rPr>
        <w:t>Iq+5aQgBP3ZNT4o1baP5Ii+dstIcowRRkyobbfpA1mj9tslf
qGxvU66PX9IeZax5hZvNWFgjw6ag+ZlzndOLhVdVoW49f274/mIRild7UUW...</w:t>
      </w:r>
      <w:r>
        <w:t xml:space="preserve"> 
    username: </w:t>
      </w:r>
      <w:r>
        <w:rPr>
          <w:rStyle w:val="InlineVar"/>
        </w:rPr>
        <w:t>testuser</w:t>
      </w:r>
    </w:p>
    <w:p>
      <w:pPr>
        <w:pStyle w:val="BodyText"/>
        <w:numPr>
          <w:numId w:val="216"/>
        </w:numPr>
      </w:pPr>
      <w:r>
        <w:t xml:space="preserve">In </w:t>
      </w:r>
      <w:r>
        <w:t>VCF Automation</w:t>
      </w:r>
      <w:r>
        <w:t>, provision the machine from its blueprint, and bring it to a started-up state.</w:t>
      </w:r>
    </w:p>
    <w:p>
      <w:pPr>
        <w:pStyle w:val="BodyText"/>
        <w:numPr>
          <w:numId w:val="216"/>
        </w:numPr>
      </w:pPr>
      <w:r>
        <w:t>Using the cloud vendor client, access the provisioned machine.</w:t>
      </w:r>
    </w:p>
    <w:p>
      <w:pPr>
        <w:pStyle w:val="BodyText"/>
        <w:numPr>
          <w:numId w:val="216"/>
        </w:numPr>
      </w:pPr>
      <w:r>
        <w:t>Add the public key file to the home folder on the machine. Use the key that you specified in remoteAccess.sshKey.</w:t>
      </w:r>
    </w:p>
    <w:p>
      <w:pPr>
        <w:pStyle w:val="BodyText"/>
        <w:numPr>
          <w:numId w:val="216"/>
        </w:numPr>
      </w:pPr>
      <w:r>
        <w:t>Verify that the private key file counterpart is present on your local machine.</w:t>
      </w:r>
    </w:p>
    <w:p>
      <w:pPr>
        <w:pStyle w:val="BodyText"/>
        <w:ind w:left="480"/>
      </w:pPr>
      <w:r>
        <w:t xml:space="preserve">The key is typically </w:t>
      </w:r>
      <w:r>
        <w:rPr>
          <w:rStyle w:val="InlineCode"/>
        </w:rPr>
        <w:t>/home/username/.ssh/</w:t>
      </w:r>
      <w:r>
        <w:rPr>
          <w:rStyle w:val="InlineVar"/>
        </w:rPr>
        <w:t>key-name</w:t>
      </w:r>
      <w:r>
        <w:t xml:space="preserve"> with no .pub extension.</w:t>
      </w:r>
    </w:p>
    <w:p>
      <w:pPr>
        <w:pStyle w:val="BodyText"/>
        <w:numPr>
          <w:numId w:val="216"/>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5"/>
      </w:pPr>
      <w:r>
        <w:t>Supply a username and password</w:t>
      </w:r>
    </w:p>
    <w:p>
      <w:pPr>
        <w:pStyle w:val="BodyText"/>
      </w:pPr>
      <w:r>
        <w:t xml:space="preserve">By adding a username and password to the blueprint, you can have simple remote access to a machine that </w:t>
      </w:r>
      <w:r>
        <w:t>VCF Automation</w:t>
      </w:r>
      <w:r>
        <w:t xml:space="preserve"> deploys.</w:t>
      </w:r>
    </w:p>
    <w:p>
      <w:pPr>
        <w:pStyle w:val="BodyText"/>
      </w:pPr>
      <w:r>
        <w:t>Although it is less secure, logging in remotely with a username and password might be all that your situation requires. Be aware that some cloud vendors or configurations might not support this less secure option.</w:t>
      </w:r>
    </w:p>
    <w:p>
      <w:pPr>
        <w:pStyle w:val="BodyText"/>
        <w:numPr>
          <w:numId w:val="217"/>
        </w:numPr>
      </w:pPr>
      <w:r>
        <w:t xml:space="preserve">In </w:t>
      </w:r>
      <w:r>
        <w:t>VCF Automation</w:t>
      </w:r>
      <w:r>
        <w:t xml:space="preserve">, before provisioning, add </w:t>
      </w:r>
      <w:r>
        <w:rPr>
          <w:rStyle w:val="InlineCode"/>
        </w:rPr>
        <w:t>remoteAccess</w:t>
      </w:r>
      <w:r>
        <w:t xml:space="preserve"> properties to the blueprint as shown in the example.</w:t>
      </w:r>
    </w:p>
    <w:p>
      <w:pPr>
        <w:pStyle w:val="BodyText"/>
        <w:ind w:left="480"/>
      </w:pPr>
      <w:r>
        <w:t>Set the username and password to the account that you expect to log in with.</w:t>
      </w:r>
    </w:p>
    <w:p>
      <w:pPr>
        <w:pStyle w:val="BodyText"/>
        <w:ind w:left="480"/>
      </w:pPr>
      <w:r>
        <w:t>Example:</w:t>
      </w:r>
    </w:p>
    <w:p>
      <w:pPr>
        <w:pStyle w:val="CodeBlock"/>
        <w:ind w:left="480"/>
      </w:pPr>
      <w:r>
        <w:t xml:space="preserve">type: Cloud.Machine
properties:
  name: our-vm3
  image: Linux18
  flavor: small
  </w:t>
      </w:r>
      <w:r>
        <w:t xml:space="preserve">remoteAccess:
    authentication: usernamePassword
    username: </w:t>
      </w:r>
      <w:r>
        <w:rPr>
          <w:rStyle w:val="InlineVar"/>
        </w:rPr>
        <w:t>testuser</w:t>
      </w:r>
      <w:r>
        <w:t xml:space="preserve">
    password: </w:t>
      </w:r>
      <w:r>
        <w:rPr>
          <w:rStyle w:val="InlineVar"/>
        </w:rPr>
        <w:t>admin123</w:t>
      </w:r>
    </w:p>
    <w:p>
      <w:pPr>
        <w:pStyle w:val="BodyText"/>
        <w:numPr>
          <w:numId w:val="217"/>
        </w:numPr>
      </w:pPr>
      <w:r>
        <w:t xml:space="preserve">In </w:t>
      </w:r>
      <w:r>
        <w:t>VCF Automation</w:t>
      </w:r>
      <w:r>
        <w:t>, provision the machine from its blueprint, and bring it to a started-up state.</w:t>
      </w:r>
    </w:p>
    <w:p>
      <w:pPr>
        <w:pStyle w:val="BodyText"/>
        <w:numPr>
          <w:numId w:val="217"/>
        </w:numPr>
      </w:pPr>
      <w:r>
        <w:t>Go to your cloud vendor's interface, and access the provisioned machine.</w:t>
      </w:r>
    </w:p>
    <w:p>
      <w:pPr>
        <w:pStyle w:val="BodyText"/>
        <w:numPr>
          <w:numId w:val="217"/>
        </w:numPr>
      </w:pPr>
      <w:r>
        <w:t>On the provisioned machine, create or enable the account.</w:t>
      </w:r>
    </w:p>
    <w:p>
      <w:pPr>
        <w:pStyle w:val="BodyText"/>
        <w:numPr>
          <w:numId w:val="217"/>
        </w:numPr>
      </w:pPr>
      <w:r>
        <w:t>From your local machine, open a remote session to the provisioned machine IP address or FQDN, and log in with the username and password as usual.</w:t>
      </w:r>
    </w:p>
    <w:p>
      <w:pPr>
        <w:pStyle w:val="Heading3"/>
      </w:pPr>
      <w:bookmarkStart w:id="262" w:name="_Toc256000799"/>
      <w:r>
        <w:t>Display Full User Names in VCF Automation</w:t>
      </w:r>
      <w:bookmarkEnd w:id="262"/>
    </w:p>
    <w:p>
      <w:pPr>
        <w:pStyle w:val="BodyText"/>
      </w:pPr>
      <w:r>
        <w:t>By default, users in</w:t>
      </w:r>
      <w:r>
        <w:t>VCF Automation</w:t>
      </w:r>
      <w:r>
        <w:t xml:space="preserve"> are identified with user IDs, such as Active Directory SAM Account Names or User Principal Names (UPN). You can expose the personal names (first and last name) of your users on different pages across the organization, such as deployed catalog instances and policies.</w:t>
      </w:r>
    </w:p>
    <w:p>
      <w:pPr>
        <w:pStyle w:val="BodyText"/>
      </w:pPr>
      <w:r>
        <w:t>To be legally compliant with regulations such as the California Consumer Privacy Act (CCPA), the General Data Protection Regulation (GDPR) and others, you must provide explicit consent to data compliance when you expose the names of users.</w:t>
      </w:r>
    </w:p>
    <w:p>
      <w:pPr>
        <w:pStyle w:val="BodyText"/>
      </w:pPr>
      <w:r>
        <w:t xml:space="preserve">If you deactivate the feature, you revoke consent and the names of your users will no longer be displayed in the </w:t>
      </w:r>
      <w:r>
        <w:t>VCF Automation</w:t>
      </w:r>
      <w:r>
        <w:t xml:space="preserve"> user interface.</w:t>
      </w:r>
    </w:p>
    <w:p>
      <w:pPr>
        <w:pStyle w:val="BodyText"/>
        <w:pBdr>
          <w:top w:val="single" w:sz="8" w:space="2" w:color="D3D3D3"/>
          <w:bottom w:val="single" w:sz="8" w:space="2" w:color="D3D3D3"/>
        </w:pBdr>
      </w:pPr>
      <w:r>
        <w:rPr>
          <w:rStyle w:val="NoteLeaderimportant"/>
        </w:rPr>
        <w:t>Important</w:t>
        <w:tab/>
      </w:r>
      <w:r>
        <w:t>VCF Automation</w:t>
      </w:r>
      <w:r>
        <w:t xml:space="preserve"> employs a data at rest policy, which means that storing personal user data is necessary for performance and low latency requirements of the application, so storing the data is considered legally data compliant with or without explicit user consent.</w:t>
      </w:r>
    </w:p>
    <w:p>
      <w:pPr>
        <w:pStyle w:val="BodyText"/>
      </w:pPr>
      <w:r>
        <w:t xml:space="preserve">For more information, see the </w:t>
      </w:r>
      <w:hyperlink r:id="rId34" w:tooltip="Privacy and Data Protection" w:history="1">
        <w:r>
          <w:rPr>
            <w:color w:val="0000FF"/>
            <w:u w:val="single"/>
          </w:rPr>
          <w:t>Privacy and Data Protection</w:t>
        </w:r>
      </w:hyperlink>
      <w:r>
        <w:t xml:space="preserve"> policies.</w:t>
      </w:r>
    </w:p>
    <w:p>
      <w:pPr>
        <w:pStyle w:val="BodyText"/>
        <w:numPr>
          <w:numId w:val="218"/>
        </w:numPr>
      </w:pPr>
      <w:r>
        <w:t xml:space="preserve">Log in to the </w:t>
      </w:r>
      <w:r>
        <w:t>VCF Automation</w:t>
      </w:r>
      <w:r>
        <w:t xml:space="preserve"> organization portal as an organization administrator.</w:t>
      </w:r>
    </w:p>
    <w:p>
      <w:pPr>
        <w:pStyle w:val="BodyText"/>
        <w:numPr>
          <w:numId w:val="218"/>
        </w:numPr>
      </w:pPr>
      <w:r>
        <w:t xml:space="preserve">Go to </w:t>
      </w:r>
      <w:r>
        <w:rPr>
          <w:rStyle w:val="InlineUI"/>
        </w:rPr>
        <w:t>Administer</w:t>
      </w:r>
      <w:r>
        <w:rPr>
          <w:rStyle w:val="InlineUI"/>
        </w:rPr>
        <w:t xml:space="preserve"> &gt; </w:t>
      </w:r>
      <w:r>
        <w:rPr>
          <w:rStyle w:val="InlineUI"/>
        </w:rPr>
        <w:t>Configuration</w:t>
      </w:r>
      <w:r>
        <w:rPr>
          <w:rStyle w:val="InlineUI"/>
        </w:rPr>
        <w:t xml:space="preserve"> &gt; </w:t>
      </w:r>
      <w:r>
        <w:rPr>
          <w:rStyle w:val="InlineUI"/>
        </w:rPr>
        <w:t>Settings</w:t>
      </w:r>
      <w:r>
        <w:t xml:space="preserve"> and click </w:t>
      </w:r>
      <w:r>
        <w:rPr>
          <w:rStyle w:val="InlineUI"/>
        </w:rPr>
        <w:t>Show names of users</w:t>
      </w:r>
      <w:r>
        <w:t>.</w:t>
      </w:r>
    </w:p>
    <w:p>
      <w:pPr>
        <w:pStyle w:val="BodyText"/>
        <w:numPr>
          <w:numId w:val="218"/>
        </w:numPr>
      </w:pPr>
      <w:r>
        <w:t>Toggle the feature on or off.</w:t>
      </w:r>
    </w:p>
    <w:p>
      <w:pPr>
        <w:pStyle w:val="BodyText"/>
        <w:numPr>
          <w:numId w:val="218"/>
        </w:numPr>
      </w:pPr>
      <w:r>
        <w:t xml:space="preserve">Click </w:t>
      </w:r>
      <w:r>
        <w:rPr>
          <w:rStyle w:val="InlineUI"/>
        </w:rPr>
        <w:t>Save</w:t>
      </w:r>
      <w:r>
        <w:t>.</w:t>
      </w:r>
    </w:p>
    <w:p>
      <w:pPr>
        <w:pStyle w:val="Heading3"/>
      </w:pPr>
      <w:bookmarkStart w:id="263" w:name="_Toc256000800"/>
      <w:r>
        <w:t>Send Email Notifications to Users in VCF Automation</w:t>
      </w:r>
      <w:bookmarkEnd w:id="263"/>
    </w:p>
    <w:p>
      <w:pPr>
        <w:pStyle w:val="BodyText"/>
      </w:pPr>
      <w:r>
        <w:t xml:space="preserve">As an organization administrator, you can configure </w:t>
      </w:r>
      <w:r>
        <w:t>VCF Automation</w:t>
      </w:r>
      <w:r>
        <w:t xml:space="preserve"> to send users notifications when specific events in </w:t>
      </w:r>
      <w:r>
        <w:t>VCF Automation</w:t>
      </w:r>
      <w:r>
        <w:t xml:space="preserve"> occur.</w:t>
      </w:r>
    </w:p>
    <w:p>
      <w:pPr>
        <w:pStyle w:val="BodyText"/>
      </w:pPr>
      <w:r>
        <w:t>You can send notifications for several types of events, called scenarios, such as the successful completion of a catalog request or a required approval.</w:t>
      </w:r>
    </w:p>
    <w:p>
      <w:pPr>
        <w:pStyle w:val="BodyText"/>
      </w:pPr>
      <w:r>
        <w:t xml:space="preserve">Email messages are sent to users in the following scenarios.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55"/>
        <w:gridCol w:w="660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Deletion</w:t>
            </w:r>
          </w:p>
        </w:tc>
        <w:tc>
          <w:tcPr>
            <w:tcBorders>
              <w:left w:val="nil"/>
              <w:right w:val="nil"/>
            </w:tcBorders>
          </w:tcPr>
          <w:p>
            <w:pPr>
              <w:pStyle w:val="TableBodyText"/>
            </w:pPr>
            <w:r>
              <w:t>A deployment lease expired and the deployment is scheduled for deletion. The message is sent to the deployment owner 15–30 minutes before the deployment is destroyed.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Expired</w:t>
            </w:r>
          </w:p>
        </w:tc>
        <w:tc>
          <w:tcPr>
            <w:tcBorders>
              <w:left w:val="nil"/>
              <w:right w:val="nil"/>
            </w:tcBorders>
          </w:tcPr>
          <w:p>
            <w:pPr>
              <w:pStyle w:val="TableBodyText"/>
            </w:pPr>
            <w:r>
              <w:t>A deployment lease expired and the deployment is about to be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Expiring</w:t>
            </w:r>
          </w:p>
        </w:tc>
        <w:tc>
          <w:tcPr>
            <w:tcBorders>
              <w:left w:val="nil"/>
              <w:right w:val="nil"/>
            </w:tcBorders>
          </w:tcPr>
          <w:p>
            <w:pPr>
              <w:pStyle w:val="TableBodyText"/>
            </w:pPr>
            <w:r>
              <w:t>A deployment lease expires soon. The message is sent to the deployment owner three days before the lease expires.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Approved</w:t>
            </w:r>
          </w:p>
        </w:tc>
        <w:tc>
          <w:tcPr>
            <w:tcBorders>
              <w:left w:val="nil"/>
              <w:right w:val="nil"/>
            </w:tcBorders>
          </w:tcPr>
          <w:p>
            <w:pPr>
              <w:pStyle w:val="TableBodyText"/>
            </w:pPr>
            <w:r>
              <w:t>A request is approved.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Rejected</w:t>
            </w:r>
          </w:p>
        </w:tc>
        <w:tc>
          <w:tcPr>
            <w:tcBorders>
              <w:left w:val="nil"/>
              <w:right w:val="nil"/>
            </w:tcBorders>
          </w:tcPr>
          <w:p>
            <w:pPr>
              <w:pStyle w:val="TableBodyText"/>
            </w:pPr>
            <w:r>
              <w:t>A request is rejected.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Waiting for Approval (Notification sent to requester)</w:t>
            </w:r>
          </w:p>
        </w:tc>
        <w:tc>
          <w:tcPr>
            <w:tcBorders>
              <w:left w:val="nil"/>
              <w:right w:val="nil"/>
            </w:tcBorders>
          </w:tcPr>
          <w:p>
            <w:pPr>
              <w:pStyle w:val="TableBodyText"/>
            </w:pPr>
            <w:r>
              <w:t>A request awaits approval.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Approval Request (Notification sent to approver)</w:t>
            </w:r>
          </w:p>
        </w:tc>
        <w:tc>
          <w:tcPr>
            <w:tcBorders>
              <w:left w:val="nil"/>
              <w:right w:val="nil"/>
            </w:tcBorders>
          </w:tcPr>
          <w:p>
            <w:pPr>
              <w:pStyle w:val="TableBodyText"/>
            </w:pPr>
            <w:r>
              <w:t>A request requires approval. The message is sent to the user who must approve the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Work Item (Notification sent to assignees)</w:t>
            </w:r>
          </w:p>
        </w:tc>
        <w:tc>
          <w:tcPr>
            <w:tcBorders>
              <w:left w:val="nil"/>
              <w:right w:val="nil"/>
            </w:tcBorders>
          </w:tcPr>
          <w:p>
            <w:pPr>
              <w:pStyle w:val="TableBodyText"/>
            </w:pPr>
            <w:r>
              <w:t>A request requires user input to proceed. The message is sent to the user who must provide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Work Item (Notification sent to requester)</w:t>
            </w:r>
          </w:p>
        </w:tc>
        <w:tc>
          <w:tcPr>
            <w:tcBorders>
              <w:left w:val="nil"/>
              <w:right w:val="nil"/>
            </w:tcBorders>
          </w:tcPr>
          <w:p>
            <w:pPr>
              <w:pStyle w:val="TableBodyText"/>
            </w:pPr>
            <w:r>
              <w:t>A request requires user input to proceed.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 Item Answered</w:t>
            </w:r>
          </w:p>
        </w:tc>
        <w:tc>
          <w:tcPr>
            <w:tcBorders>
              <w:left w:val="nil"/>
              <w:right w:val="nil"/>
            </w:tcBorders>
          </w:tcPr>
          <w:p>
            <w:pPr>
              <w:pStyle w:val="TableBodyText"/>
            </w:pPr>
            <w:r>
              <w:t>A request that required user input was answered and the deployment proceeded.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 Item Rejected</w:t>
            </w:r>
          </w:p>
        </w:tc>
        <w:tc>
          <w:tcPr>
            <w:tcBorders>
              <w:left w:val="nil"/>
              <w:right w:val="nil"/>
            </w:tcBorders>
          </w:tcPr>
          <w:p>
            <w:pPr>
              <w:pStyle w:val="TableBodyText"/>
            </w:pPr>
            <w:r>
              <w:t>A request that required user input was rejected and the deployment did not proceed.</w:t>
            </w:r>
          </w:p>
        </w:tc>
      </w:tr>
    </w:tbl>
    <w:p>
      <w:pPr>
        <w:pStyle w:val="BodyText"/>
        <w:spacing w:before="240"/>
      </w:pPr>
      <w:r>
        <w:rPr>
          <w:rStyle w:val="Strong"/>
        </w:rPr>
        <w:t>Prerequisites</w:t>
      </w:r>
    </w:p>
    <w:p>
      <w:pPr>
        <w:pStyle w:val="BodyText"/>
        <w:numPr>
          <w:numId w:val="219"/>
        </w:numPr>
      </w:pPr>
      <w:r>
        <w:t xml:space="preserve">Verify that you configured an outbound email server.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B097459994e044a2283fd07c6916893f5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Email Server in VCF Automation to Send Notifications</w:t>
      </w:r>
      <w:r>
        <w:fldChar w:fldCharType="end"/>
      </w:r>
      <w:r>
        <w:t>.</w:t>
      </w:r>
    </w:p>
    <w:p>
      <w:pPr>
        <w:pStyle w:val="BodyText"/>
      </w:pPr>
      <w:r>
        <w:rPr>
          <w:rStyle w:val="Strong"/>
        </w:rPr>
        <w:t>Procedure</w:t>
      </w:r>
    </w:p>
    <w:p>
      <w:pPr>
        <w:pStyle w:val="BodyText"/>
        <w:numPr>
          <w:numId w:val="220"/>
        </w:numPr>
      </w:pPr>
      <w:r>
        <w:t xml:space="preserve">Log in to </w:t>
      </w:r>
      <w:r>
        <w:t>VCF Automation</w:t>
      </w:r>
      <w:r>
        <w:t>.</w:t>
      </w:r>
    </w:p>
    <w:p>
      <w:pPr>
        <w:pStyle w:val="BodyText"/>
        <w:numPr>
          <w:numId w:val="220"/>
        </w:numPr>
      </w:pPr>
      <w:r>
        <w:t xml:space="preserve">Select </w:t>
      </w:r>
      <w:r>
        <w:rPr>
          <w:rStyle w:val="InlineUI"/>
        </w:rPr>
        <w:t>Administer</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220"/>
        </w:numPr>
      </w:pPr>
      <w:r>
        <w:t>Select one or more events to trigger user notifications.</w:t>
      </w:r>
    </w:p>
    <w:p>
      <w:pPr>
        <w:pStyle w:val="BodyText"/>
      </w:pPr>
      <w:r>
        <w:rPr>
          <w:rStyle w:val="Strong"/>
        </w:rPr>
        <w:t>Results</w:t>
      </w:r>
    </w:p>
    <w:p>
      <w:pPr>
        <w:pStyle w:val="BodyText"/>
      </w:pPr>
      <w:r>
        <w:t>Users are subscribed to the notifications that you enabled.</w:t>
      </w:r>
    </w:p>
    <w:p>
      <w:pPr>
        <w:pStyle w:val="BodyText"/>
      </w:pPr>
      <w:r>
        <w:t xml:space="preserve">When configuring notifications in </w:t>
      </w:r>
      <w:r>
        <w:t>VCF Automation</w:t>
      </w:r>
      <w:r>
        <w:t xml:space="preserve">, consider: </w:t>
      </w:r>
    </w:p>
    <w:p>
      <w:pPr>
        <w:pStyle w:val="BodyText"/>
        <w:numPr>
          <w:numId w:val="221"/>
        </w:numPr>
      </w:pPr>
      <w:r>
        <w:t xml:space="preserve">If a user email is changed in the identity provider, it might take at least 15 minutes before the email address is updated in </w:t>
      </w:r>
      <w:r>
        <w:t>VCF Automation</w:t>
      </w:r>
      <w:r>
        <w:t>. In the meantime, notifications might be sent to the old email address.</w:t>
      </w:r>
    </w:p>
    <w:p>
      <w:pPr>
        <w:pStyle w:val="BodyText"/>
        <w:numPr>
          <w:numId w:val="221"/>
        </w:numPr>
      </w:pPr>
      <w:r>
        <w:t>Notification recipients are limited to 100 users per notification. For identity provider groups, the limit is 10 groups per notification, where each group consists of a maximum of 500 users. If a group consists of more than 500 users, the notification is only sent to 500 users, and not to the rest of the users.</w:t>
      </w:r>
    </w:p>
    <w:p>
      <w:pPr>
        <w:pStyle w:val="Heading4"/>
      </w:pPr>
      <w:bookmarkStart w:id="264" w:name="_Toc256000801"/>
      <w:r>
        <w:t>Customize Email Notifications to Users in VCF Automation</w:t>
      </w:r>
      <w:bookmarkEnd w:id="264"/>
    </w:p>
    <w:p>
      <w:pPr>
        <w:pStyle w:val="BodyText"/>
      </w:pPr>
      <w:r>
        <w:t xml:space="preserve">As an organization administrator, you can customize the email notifications that the users in your organization receive about events in </w:t>
      </w:r>
      <w:r>
        <w:t>VCF Automation</w:t>
      </w:r>
      <w:r>
        <w:t>.</w:t>
      </w:r>
    </w:p>
    <w:p>
      <w:pPr>
        <w:pStyle w:val="BodyText"/>
      </w:pPr>
      <w:r>
        <w:t>You can change the text and the branding elements of the email, such as the logo, so that it matches the requirements of your organization.</w:t>
      </w:r>
    </w:p>
    <w:p>
      <w:pPr>
        <w:pStyle w:val="SectionHeading5"/>
      </w:pPr>
      <w:r>
        <w:t>Customize the branding of email notifications</w:t>
      </w:r>
    </w:p>
    <w:p>
      <w:pPr>
        <w:pStyle w:val="BodyText"/>
      </w:pPr>
      <w:r>
        <w:t>As an organization administrator, you can customize the way that email notifications look.</w:t>
      </w:r>
    </w:p>
    <w:p>
      <w:pPr>
        <w:pStyle w:val="BodyText"/>
      </w:pPr>
      <w:r>
        <w:t>You can change the background color, edit the text, and add a new logo in the header and the footer of email notifications. Branding is applied across all notification templates.</w:t>
      </w:r>
    </w:p>
    <w:p>
      <w:pPr>
        <w:pStyle w:val="BodyText"/>
      </w:pPr>
      <w:r>
        <w:t>In this scenario, you want to replace the default logo and company name in the notifications your users receive with the logo of your company.</w:t>
      </w:r>
    </w:p>
    <w:p>
      <w:pPr>
        <w:pStyle w:val="BodyText"/>
        <w:numPr>
          <w:numId w:val="222"/>
        </w:numPr>
      </w:pPr>
      <w:r>
        <w:t xml:space="preserve">Select </w:t>
      </w:r>
      <w:r>
        <w:rPr>
          <w:rStyle w:val="InlineUI"/>
        </w:rPr>
        <w:t>Administer</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222"/>
        </w:numPr>
      </w:pPr>
      <w:r>
        <w:t xml:space="preserve">Click </w:t>
      </w:r>
      <w:r>
        <w:rPr>
          <w:rStyle w:val="InlineUI"/>
        </w:rPr>
        <w:t>Edit shared branding</w:t>
      </w:r>
      <w:r>
        <w:t>.</w:t>
      </w:r>
    </w:p>
    <w:p>
      <w:pPr>
        <w:pStyle w:val="BodyText"/>
        <w:numPr>
          <w:numId w:val="222"/>
        </w:numPr>
      </w:pPr>
      <w:r>
        <w:t xml:space="preserve">On the </w:t>
      </w:r>
      <w:r>
        <w:rPr>
          <w:rStyle w:val="InlineUI"/>
        </w:rPr>
        <w:t>Edit header</w:t>
      </w:r>
      <w:r>
        <w:t xml:space="preserve"> tab, enter the URL of your logo and the name of your organization.</w:t>
      </w:r>
    </w:p>
    <w:p>
      <w:pPr>
        <w:pStyle w:val="BodyText"/>
        <w:numPr>
          <w:numId w:val="222"/>
        </w:numPr>
      </w:pPr>
      <w:r>
        <w:t xml:space="preserve">To review you changes, click the </w:t>
      </w:r>
      <w:r>
        <w:rPr>
          <w:rStyle w:val="InlineUI"/>
        </w:rPr>
        <w:t>Preview</w:t>
      </w:r>
      <w:r>
        <w:t xml:space="preserve"> tab.</w:t>
      </w:r>
    </w:p>
    <w:p>
      <w:pPr>
        <w:pStyle w:val="BodyText"/>
        <w:numPr>
          <w:numId w:val="222"/>
        </w:numPr>
      </w:pPr>
      <w:r>
        <w:t xml:space="preserve">Click </w:t>
      </w:r>
      <w:r>
        <w:rPr>
          <w:rStyle w:val="InlineUI"/>
        </w:rPr>
        <w:t>Save</w:t>
      </w:r>
      <w:r>
        <w:t>.</w:t>
      </w:r>
    </w:p>
    <w:p>
      <w:pPr>
        <w:pStyle w:val="SectionHeading5"/>
      </w:pPr>
      <w:r>
        <w:t>Customize the subject and body of email notifications</w:t>
      </w:r>
    </w:p>
    <w:p>
      <w:pPr>
        <w:pStyle w:val="BodyText"/>
      </w:pPr>
      <w:r>
        <w:t>You can edit the subject line and the message body of each notification template and use the deployment attributes that are available for the scenario.</w:t>
      </w:r>
    </w:p>
    <w:p>
      <w:pPr>
        <w:pStyle w:val="BodyText"/>
      </w:pPr>
      <w:r>
        <w:t>As an organization administrator, you want to craft an email notification that informs your developers when a cloud service is provisioned and provides details about the deployment.</w:t>
      </w:r>
    </w:p>
    <w:p>
      <w:pPr>
        <w:pStyle w:val="BodyText"/>
      </w:pPr>
      <w:r>
        <w:t>In this scenario, you add the deployment name to the subject of an email notification.</w:t>
      </w:r>
    </w:p>
    <w:p>
      <w:pPr>
        <w:pStyle w:val="BodyText"/>
        <w:numPr>
          <w:numId w:val="223"/>
        </w:numPr>
      </w:pPr>
      <w:r>
        <w:t xml:space="preserve">Select </w:t>
      </w:r>
      <w:r>
        <w:rPr>
          <w:rStyle w:val="InlineUI"/>
        </w:rPr>
        <w:t>Administer</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223"/>
        </w:numPr>
      </w:pPr>
      <w:r>
        <w:t>Click the arrow on the left of the notification scenario you want to customize.</w:t>
      </w:r>
    </w:p>
    <w:p>
      <w:pPr>
        <w:pStyle w:val="BodyText"/>
        <w:ind w:left="480"/>
      </w:pPr>
      <w:r>
        <w:t>A preview of the notification email appears on the right.</w:t>
      </w:r>
    </w:p>
    <w:p>
      <w:pPr>
        <w:pStyle w:val="BodyText"/>
        <w:numPr>
          <w:numId w:val="223"/>
        </w:numPr>
      </w:pPr>
      <w:r>
        <w:t xml:space="preserve">Click </w:t>
      </w:r>
      <w:r>
        <w:rPr>
          <w:rStyle w:val="InlineUI"/>
        </w:rPr>
        <w:t>Customize</w:t>
      </w:r>
      <w:r>
        <w:t>.</w:t>
      </w:r>
    </w:p>
    <w:p>
      <w:pPr>
        <w:pStyle w:val="BodyText"/>
        <w:numPr>
          <w:numId w:val="223"/>
        </w:numPr>
      </w:pPr>
      <w:r>
        <w:t xml:space="preserve">On the </w:t>
      </w:r>
      <w:r>
        <w:rPr>
          <w:rStyle w:val="InlineUI"/>
        </w:rPr>
        <w:t>Edit</w:t>
      </w:r>
      <w:r>
        <w:t xml:space="preserve"> tab, update the subject line and the message body of the notification as necessary.</w:t>
      </w:r>
    </w:p>
    <w:p>
      <w:pPr>
        <w:pStyle w:val="BodyText"/>
        <w:numPr>
          <w:ilvl w:val="1"/>
          <w:numId w:val="223"/>
        </w:numPr>
      </w:pPr>
      <w:r>
        <w:t xml:space="preserve">Click </w:t>
      </w:r>
      <w:r>
        <w:rPr>
          <w:rStyle w:val="InlineUI"/>
        </w:rPr>
        <w:t>Scenario attributes</w:t>
      </w:r>
      <w:r>
        <w:rPr>
          <w:rStyle w:val="InlineUI"/>
        </w:rPr>
        <w:t xml:space="preserve"> &gt; </w:t>
      </w:r>
      <w:r>
        <w:rPr>
          <w:rStyle w:val="InlineUI"/>
        </w:rPr>
        <w:t>properties</w:t>
      </w:r>
      <w:r>
        <w:t>.</w:t>
      </w:r>
    </w:p>
    <w:p>
      <w:pPr>
        <w:pStyle w:val="BodyText"/>
        <w:ind w:left="960"/>
      </w:pPr>
      <w:r>
        <w:t>The available attributes are specific to each notification scenario.</w:t>
      </w:r>
    </w:p>
    <w:p>
      <w:pPr>
        <w:pStyle w:val="BodyText"/>
        <w:numPr>
          <w:ilvl w:val="1"/>
          <w:numId w:val="223"/>
        </w:numPr>
      </w:pPr>
      <w:r>
        <w:t>Click the copy icon next to the name(string)property.</w:t>
      </w:r>
    </w:p>
    <w:p>
      <w:pPr>
        <w:pStyle w:val="BodyText"/>
        <w:numPr>
          <w:ilvl w:val="1"/>
          <w:numId w:val="223"/>
        </w:numPr>
      </w:pPr>
      <w:r>
        <w:t xml:space="preserve">Paste the property in the </w:t>
      </w:r>
      <w:r>
        <w:rPr>
          <w:rStyle w:val="InlineUI"/>
        </w:rPr>
        <w:t>Subject</w:t>
      </w:r>
      <w:r>
        <w:t xml:space="preserve"> field.</w:t>
      </w:r>
    </w:p>
    <w:p>
      <w:pPr>
        <w:pStyle w:val="BodyText"/>
        <w:ind w:left="480"/>
      </w:pPr>
      <w:r>
        <w:t>You can also add the dynamic attributes in the message body. Using custom properties is not supported.</w:t>
      </w:r>
    </w:p>
    <w:p>
      <w:pPr>
        <w:pStyle w:val="BodyText"/>
        <w:numPr>
          <w:numId w:val="223"/>
        </w:numPr>
      </w:pPr>
      <w:r>
        <w:t xml:space="preserve">To review your changes, click the </w:t>
      </w:r>
      <w:r>
        <w:rPr>
          <w:rStyle w:val="InlineUI"/>
        </w:rPr>
        <w:t>Preview</w:t>
      </w:r>
      <w:r>
        <w:t xml:space="preserve"> tab.</w:t>
      </w:r>
    </w:p>
    <w:p>
      <w:pPr>
        <w:pStyle w:val="BodyText"/>
        <w:ind w:left="480"/>
      </w:pPr>
      <w:r>
        <w:t>You see the placeholder text for the deployment name in the subject.</w:t>
      </w:r>
    </w:p>
    <w:p>
      <w:pPr>
        <w:pStyle w:val="BodyText"/>
        <w:numPr>
          <w:numId w:val="223"/>
        </w:numPr>
      </w:pPr>
      <w:r>
        <w:t xml:space="preserve">Click </w:t>
      </w:r>
      <w:r>
        <w:rPr>
          <w:rStyle w:val="InlineUI"/>
        </w:rPr>
        <w:t>Save</w:t>
      </w:r>
      <w:r>
        <w:t>.</w:t>
      </w:r>
    </w:p>
    <w:p>
      <w:pPr>
        <w:pStyle w:val="BodyText"/>
        <w:numPr>
          <w:numId w:val="223"/>
        </w:numPr>
      </w:pPr>
      <w:r>
        <w:t>Test the updated notification.</w:t>
      </w:r>
    </w:p>
    <w:p>
      <w:pPr>
        <w:pStyle w:val="BodyText"/>
        <w:numPr>
          <w:ilvl w:val="1"/>
          <w:numId w:val="223"/>
        </w:numPr>
      </w:pPr>
      <w:r>
        <w:t xml:space="preserve">Click </w:t>
      </w:r>
      <w:r>
        <w:rPr>
          <w:rStyle w:val="InlineUI"/>
        </w:rPr>
        <w:t>Send test</w:t>
      </w:r>
      <w:r>
        <w:t>.</w:t>
      </w:r>
    </w:p>
    <w:p>
      <w:pPr>
        <w:pStyle w:val="BodyText"/>
        <w:numPr>
          <w:ilvl w:val="1"/>
          <w:numId w:val="223"/>
        </w:numPr>
      </w:pPr>
      <w:r>
        <w:t>Enter an email to send the test email to.</w:t>
      </w:r>
    </w:p>
    <w:p>
      <w:pPr>
        <w:pStyle w:val="BodyText"/>
        <w:numPr>
          <w:ilvl w:val="1"/>
          <w:numId w:val="223"/>
        </w:numPr>
      </w:pPr>
      <w:r>
        <w:t xml:space="preserve">Click </w:t>
      </w:r>
      <w:r>
        <w:rPr>
          <w:rStyle w:val="InlineUI"/>
        </w:rPr>
        <w:t>Send</w:t>
      </w:r>
      <w:r>
        <w:t xml:space="preserve"> test.</w:t>
      </w:r>
    </w:p>
    <w:p>
      <w:pPr>
        <w:pStyle w:val="Heading4"/>
      </w:pPr>
      <w:bookmarkStart w:id="265" w:name="B097459994e044a2283fd07c6916893f5"/>
      <w:bookmarkStart w:id="266" w:name="_Toc256000802"/>
      <w:r>
        <w:t>Add an Email Server in VCF Automation to Send Notifications</w:t>
      </w:r>
      <w:bookmarkEnd w:id="266"/>
      <w:bookmarkEnd w:id="265"/>
    </w:p>
    <w:p>
      <w:pPr>
        <w:pStyle w:val="BodyText"/>
      </w:pPr>
      <w:r>
        <w:t xml:space="preserve">As an organization administrator, you configure an email server if you want to send messages to users about events in </w:t>
      </w:r>
      <w:r>
        <w:t>VCF Automation</w:t>
      </w:r>
      <w:r>
        <w:t>. The messages are a courtesy that improves the experience of your consumers.</w:t>
      </w:r>
    </w:p>
    <w:p>
      <w:pPr>
        <w:pStyle w:val="BodyText"/>
      </w:pPr>
      <w:r>
        <w:t>This email server is for outbound messages only.</w:t>
      </w:r>
    </w:p>
    <w:p>
      <w:pPr>
        <w:pStyle w:val="BodyText"/>
      </w:pPr>
      <w:r>
        <w:t>Email messages are sent to users in the following scenarios.</w:t>
      </w:r>
    </w:p>
    <w:p>
      <w:pPr>
        <w:pStyle w:val="BodyText"/>
        <w:numPr>
          <w:numId w:val="224"/>
        </w:numPr>
      </w:pPr>
      <w:r>
        <w:t>A deployment lease expires soon. The message is sent to the deployment owner three days before the lease expires.</w:t>
      </w:r>
    </w:p>
    <w:p>
      <w:pPr>
        <w:pStyle w:val="BodyText"/>
        <w:numPr>
          <w:numId w:val="224"/>
        </w:numPr>
      </w:pPr>
      <w:r>
        <w:t>A deployment lease expired and the deployment is about to be deleted. The message is sent to the deployment owner 15–30 minutes before it is destroyed.</w:t>
      </w:r>
    </w:p>
    <w:p>
      <w:pPr>
        <w:pStyle w:val="BodyText"/>
      </w:pPr>
      <w:r>
        <w:rPr>
          <w:rStyle w:val="Strong"/>
        </w:rPr>
        <w:t>Prerequisites</w:t>
      </w:r>
    </w:p>
    <w:p>
      <w:pPr>
        <w:pStyle w:val="BodyText"/>
      </w:pPr>
      <w:r>
        <w:t>Verify that you know the credentials required to configure the email server. You must provide the server name and an email account that you want to be the message sender. If your email server requires authentication, you must also provide the user name and password.</w:t>
      </w:r>
    </w:p>
    <w:p>
      <w:pPr>
        <w:pStyle w:val="BodyText"/>
      </w:pPr>
      <w:r>
        <w:rPr>
          <w:rStyle w:val="Strong"/>
        </w:rPr>
        <w:t>Procedure</w:t>
      </w:r>
    </w:p>
    <w:p>
      <w:pPr>
        <w:pStyle w:val="BodyText"/>
        <w:numPr>
          <w:numId w:val="225"/>
        </w:numPr>
      </w:pPr>
      <w:r>
        <w:t xml:space="preserve">Select </w:t>
      </w:r>
      <w:r>
        <w:rPr>
          <w:rStyle w:val="InlineUI"/>
        </w:rPr>
        <w:t>Administer</w:t>
      </w:r>
      <w:r>
        <w:rPr>
          <w:rStyle w:val="InlineUI"/>
        </w:rPr>
        <w:t xml:space="preserve"> &gt; </w:t>
      </w:r>
      <w:r>
        <w:rPr>
          <w:rStyle w:val="InlineUI"/>
        </w:rPr>
        <w:t>Notifications</w:t>
      </w:r>
      <w:r>
        <w:rPr>
          <w:rStyle w:val="InlineUI"/>
        </w:rPr>
        <w:t xml:space="preserve"> &gt; </w:t>
      </w:r>
      <w:r>
        <w:rPr>
          <w:rStyle w:val="InlineUI"/>
        </w:rPr>
        <w:t>Email Server</w:t>
      </w:r>
      <w:r>
        <w:t>.</w:t>
      </w:r>
    </w:p>
    <w:p>
      <w:pPr>
        <w:pStyle w:val="BodyText"/>
        <w:numPr>
          <w:numId w:val="225"/>
        </w:numPr>
      </w:pPr>
      <w:r>
        <w:t>Enter the information for each setting.</w:t>
      </w:r>
    </w:p>
    <w:p>
      <w:pPr>
        <w:pStyle w:val="BodyText"/>
        <w:ind w:left="480"/>
      </w:pPr>
      <w:r>
        <w:t>If you need assistance on a particular setting, consult the signpost help.</w:t>
      </w:r>
    </w:p>
    <w:p>
      <w:pPr>
        <w:pStyle w:val="BodyText"/>
        <w:numPr>
          <w:numId w:val="225"/>
        </w:numPr>
      </w:pPr>
      <w:r>
        <w:t xml:space="preserve">To verify the configured settings, click </w:t>
      </w:r>
      <w:r>
        <w:rPr>
          <w:rStyle w:val="InlineUI"/>
        </w:rPr>
        <w:t>Test Connection</w:t>
      </w:r>
      <w:r>
        <w:t>.</w:t>
      </w:r>
    </w:p>
    <w:p>
      <w:pPr>
        <w:pStyle w:val="BodyText"/>
        <w:numPr>
          <w:numId w:val="225"/>
        </w:numPr>
      </w:pPr>
      <w:r>
        <w:t xml:space="preserve">To save, click </w:t>
      </w:r>
      <w:r>
        <w:rPr>
          <w:rStyle w:val="InlineUI"/>
        </w:rPr>
        <w:t>Create</w:t>
      </w:r>
      <w:r>
        <w:t>.</w:t>
      </w:r>
    </w:p>
    <w:p>
      <w:pPr>
        <w:pStyle w:val="BodyText"/>
      </w:pPr>
      <w:r>
        <w:rPr>
          <w:rStyle w:val="Strong"/>
        </w:rPr>
        <w:t>What to do next</w:t>
      </w:r>
    </w:p>
    <w:p>
      <w:pPr>
        <w:pStyle w:val="BodyText"/>
      </w:pPr>
      <w:r>
        <w:t>As the administrator, monitor the leases to ensure that the messages are sent to the deployment owners at the correct time.</w:t>
      </w:r>
    </w:p>
    <w:p>
      <w:pPr>
        <w:pStyle w:val="Heading3"/>
      </w:pPr>
      <w:bookmarkStart w:id="267" w:name="_Toc256000803"/>
      <w:r>
        <w:t>Working with Audit Logs in VCF Automation</w:t>
      </w:r>
      <w:bookmarkEnd w:id="267"/>
    </w:p>
    <w:p>
      <w:pPr>
        <w:pStyle w:val="BodyText"/>
      </w:pPr>
      <w:r>
        <w:t xml:space="preserve">To discover status information about reportable </w:t>
      </w:r>
      <w:r>
        <w:t>VCF Automation</w:t>
      </w:r>
      <w:r>
        <w:t xml:space="preserve"> actions, use audit logs.</w:t>
      </w:r>
    </w:p>
    <w:p>
      <w:pPr>
        <w:pStyle w:val="BodyText"/>
      </w:pPr>
      <w:r>
        <w:t>VCF Automation</w:t>
      </w:r>
      <w:r>
        <w:t xml:space="preserve"> creates an audit log when you perform a reportable action, such as when you deploy a blueprint or catalog item, perform a Day 2 action on a resource or deployment, or create, delete, or update a property group. Audit logs display a status value or a message for each reportable action type, depending on the action. They can also contain information about the action, such as a timestamp, message, user name, project name, and trace ID value.</w:t>
      </w:r>
    </w:p>
    <w:p>
      <w:pPr>
        <w:pStyle w:val="BodyText"/>
      </w:pPr>
      <w:r>
        <w:t xml:space="preserve">Audit logging captures information for the following reportable actions: </w:t>
      </w:r>
    </w:p>
    <w:p>
      <w:pPr>
        <w:pStyle w:val="BodyText"/>
        <w:numPr>
          <w:numId w:val="226"/>
        </w:numPr>
      </w:pPr>
      <w:r>
        <w:t>Catalog deployment operations</w:t>
      </w:r>
    </w:p>
    <w:p>
      <w:pPr>
        <w:pStyle w:val="BodyText"/>
        <w:numPr>
          <w:numId w:val="226"/>
        </w:numPr>
      </w:pPr>
      <w:r>
        <w:t>Blueprint operations</w:t>
      </w:r>
    </w:p>
    <w:p>
      <w:pPr>
        <w:pStyle w:val="BodyText"/>
        <w:numPr>
          <w:numId w:val="226"/>
        </w:numPr>
      </w:pPr>
      <w:r>
        <w:t>IaaS resource operations</w:t>
      </w:r>
    </w:p>
    <w:p>
      <w:pPr>
        <w:pStyle w:val="BodyText"/>
        <w:numPr>
          <w:numId w:val="226"/>
        </w:numPr>
      </w:pPr>
      <w:r>
        <w:t>Day 2 deployment operations</w:t>
      </w:r>
    </w:p>
    <w:p>
      <w:pPr>
        <w:pStyle w:val="BodyText"/>
        <w:numPr>
          <w:numId w:val="226"/>
        </w:numPr>
      </w:pPr>
      <w:r>
        <w:t>Day 2 resource action operations</w:t>
      </w:r>
    </w:p>
    <w:p>
      <w:pPr>
        <w:pStyle w:val="BodyText"/>
        <w:ind w:left="480"/>
      </w:pPr>
      <w:r>
        <w:t xml:space="preserve">Each of the above four action types creates an initial audit log with a </w:t>
      </w:r>
      <w:r>
        <w:rPr>
          <w:rStyle w:val="InlineUI"/>
        </w:rPr>
        <w:t>Submitted</w:t>
      </w:r>
      <w:r>
        <w:t xml:space="preserve"> status. Based on how the action is completed, an additional log is created that displays a </w:t>
      </w:r>
      <w:r>
        <w:rPr>
          <w:rStyle w:val="InlineUI"/>
        </w:rPr>
        <w:t>Successful</w:t>
      </w:r>
      <w:r>
        <w:t xml:space="preserve">, </w:t>
      </w:r>
      <w:r>
        <w:rPr>
          <w:rStyle w:val="InlineUI"/>
        </w:rPr>
        <w:t>Failed</w:t>
      </w:r>
      <w:r>
        <w:t xml:space="preserve">, or </w:t>
      </w:r>
      <w:r>
        <w:rPr>
          <w:rStyle w:val="InlineUI"/>
        </w:rPr>
        <w:t>Canceled</w:t>
      </w:r>
      <w:r>
        <w:t xml:space="preserve"> status</w:t>
      </w:r>
    </w:p>
    <w:p>
      <w:pPr>
        <w:pStyle w:val="BodyText"/>
        <w:numPr>
          <w:numId w:val="226"/>
        </w:numPr>
      </w:pPr>
      <w:r>
        <w:t>Create, delete, and update property group operations</w:t>
      </w:r>
    </w:p>
    <w:p>
      <w:pPr>
        <w:pStyle w:val="BodyText"/>
        <w:numPr>
          <w:numId w:val="226"/>
        </w:numPr>
      </w:pPr>
      <w:r>
        <w:t>Create, delete, and update product feature toggle operations</w:t>
      </w:r>
    </w:p>
    <w:p>
      <w:pPr>
        <w:pStyle w:val="BodyText"/>
        <w:numPr>
          <w:numId w:val="226"/>
        </w:numPr>
      </w:pPr>
      <w:r>
        <w:t xml:space="preserve">Create, delete, and update policy operations in </w:t>
      </w:r>
      <w:r>
        <w:t>VCF Automation</w:t>
      </w:r>
      <w:r>
        <w:t xml:space="preserve"> - such as Day 2 actions, lease, and approval policy operations</w:t>
      </w:r>
    </w:p>
    <w:p>
      <w:pPr>
        <w:pStyle w:val="BodyText"/>
        <w:numPr>
          <w:numId w:val="226"/>
        </w:numPr>
      </w:pPr>
      <w:r>
        <w:t>Create, delete, and update event subscription operations</w:t>
      </w:r>
    </w:p>
    <w:p>
      <w:pPr>
        <w:pStyle w:val="BodyText"/>
        <w:ind w:left="480"/>
      </w:pPr>
      <w:r>
        <w:t>Each of the above four action types creates a message in the audit log display screen.</w:t>
      </w:r>
    </w:p>
    <w:p>
      <w:pPr>
        <w:pStyle w:val="SectionHeading4"/>
      </w:pPr>
      <w:bookmarkStart w:id="268" w:name="_Toc256000804"/>
      <w:r>
        <w:t>Searching, displaying, and exporting an audit log</w:t>
      </w:r>
      <w:bookmarkEnd w:id="268"/>
    </w:p>
    <w:p>
      <w:pPr>
        <w:pStyle w:val="BodyText"/>
      </w:pPr>
      <w:r>
        <w:t>You can filter your search for, and display of, audit logs. You can also output audit logs in CSV format.</w:t>
      </w:r>
    </w:p>
    <w:p>
      <w:pPr>
        <w:pStyle w:val="BodyText"/>
      </w:pPr>
      <w:r>
        <w:t>To display audit logs, use the following procedure.</w:t>
      </w:r>
    </w:p>
    <w:p>
      <w:pPr>
        <w:pStyle w:val="BodyText"/>
        <w:numPr>
          <w:numId w:val="227"/>
        </w:numPr>
      </w:pPr>
      <w:r>
        <w:t xml:space="preserve">Log in to </w:t>
      </w:r>
      <w:r>
        <w:t>VCF Automation</w:t>
      </w:r>
      <w:r>
        <w:t xml:space="preserve"> as an organization administrator.</w:t>
      </w:r>
    </w:p>
    <w:p>
      <w:pPr>
        <w:pStyle w:val="BodyText"/>
        <w:numPr>
          <w:numId w:val="227"/>
        </w:numPr>
      </w:pPr>
      <w:r>
        <w:t xml:space="preserve">Select the </w:t>
      </w:r>
      <w:r>
        <w:rPr>
          <w:rStyle w:val="InlineUI"/>
        </w:rPr>
        <w:t>Administer</w:t>
      </w:r>
      <w:r>
        <w:t xml:space="preserve"> tab and click </w:t>
      </w:r>
      <w:r>
        <w:rPr>
          <w:rStyle w:val="InlineUI"/>
        </w:rPr>
        <w:t>Activity</w:t>
      </w:r>
      <w:r>
        <w:rPr>
          <w:rStyle w:val="InlineUI"/>
        </w:rPr>
        <w:t xml:space="preserve"> &gt; </w:t>
      </w:r>
      <w:r>
        <w:rPr>
          <w:rStyle w:val="InlineUI"/>
        </w:rPr>
        <w:t>Audit Log</w:t>
      </w:r>
      <w:r>
        <w:t>.</w:t>
      </w:r>
    </w:p>
    <w:p>
      <w:pPr>
        <w:pStyle w:val="BodyText"/>
        <w:numPr>
          <w:numId w:val="227"/>
        </w:numPr>
      </w:pPr>
      <w:r>
        <w:t>Open and review the audit log or logs of interest.</w:t>
      </w:r>
    </w:p>
    <w:p>
      <w:pPr>
        <w:pStyle w:val="Heading2"/>
      </w:pPr>
      <w:bookmarkStart w:id="269" w:name="_Toc256000805"/>
      <w:r>
        <w:t>Managing VKS Clusters with VKS Cluster Management</w:t>
      </w:r>
      <w:bookmarkEnd w:id="269"/>
    </w:p>
    <w:p>
      <w:pPr>
        <w:pStyle w:val="BodyText"/>
      </w:pPr>
      <w:r>
        <w:t xml:space="preserve">Use the </w:t>
      </w:r>
      <w:r>
        <w:t>VKS</w:t>
      </w:r>
      <w:r>
        <w:t xml:space="preserve"> cluster management feature to manage the </w:t>
      </w:r>
      <w:r>
        <w:t>VKS</w:t>
      </w:r>
      <w:r>
        <w:t xml:space="preserve"> clusters in your environment. With </w:t>
      </w:r>
      <w:r>
        <w:t>VKS</w:t>
      </w:r>
      <w:r>
        <w:t xml:space="preserve"> cluster management, you get multi-cluster management features and capabilities integrated in your </w:t>
      </w:r>
      <w:r>
        <w:t>VCF Automation</w:t>
      </w:r>
      <w:r>
        <w:t xml:space="preserve"> instance. So, you can now use </w:t>
      </w:r>
      <w:r>
        <w:t>VCF Automation</w:t>
      </w:r>
      <w:r>
        <w:t xml:space="preserve"> to manage your Kubernetes fleets.</w:t>
      </w:r>
    </w:p>
    <w:p>
      <w:pPr>
        <w:pStyle w:val="Heading3"/>
      </w:pPr>
      <w:bookmarkStart w:id="270" w:name="_Toc256000806"/>
      <w:r>
        <w:t>VKS Cluster Management Overview</w:t>
      </w:r>
      <w:bookmarkEnd w:id="270"/>
    </w:p>
    <w:p>
      <w:pPr>
        <w:pStyle w:val="BodyText"/>
      </w:pPr>
      <w:r>
        <w:t>VKS</w:t>
      </w:r>
      <w:r>
        <w:t xml:space="preserve"> cluster management is a feature in </w:t>
      </w:r>
      <w:r>
        <w:t>VCF Automation</w:t>
      </w:r>
      <w:r>
        <w:t xml:space="preserve"> that enables you, as an organization or project administrator, to manage the </w:t>
      </w:r>
      <w:r>
        <w:t>VKS</w:t>
      </w:r>
      <w:r>
        <w:t xml:space="preserve"> clusters in your environment and easily operate modern containerized applications across multiple clusters, teams, and environments. </w:t>
      </w:r>
      <w:r>
        <w:t>VKS</w:t>
      </w:r>
      <w:r>
        <w:t xml:space="preserve"> cluster management ensures easier management of resources, apps, users, and security by enabling you to organize your clusters and namespaces into </w:t>
      </w:r>
      <w:r>
        <w:t>VCF Automation</w:t>
      </w:r>
      <w:r>
        <w:t xml:space="preserve"> projects.</w:t>
      </w:r>
    </w:p>
    <w:p>
      <w:pPr>
        <w:pStyle w:val="BodyText"/>
        <w:pBdr>
          <w:top w:val="single" w:sz="8" w:space="2" w:color="D3D3D3"/>
          <w:bottom w:val="single" w:sz="8" w:space="2" w:color="D3D3D3"/>
        </w:pBdr>
      </w:pPr>
      <w:r>
        <w:rPr>
          <w:rStyle w:val="NoteLeadernote"/>
        </w:rPr>
        <w:t>Note</w:t>
        <w:tab/>
      </w:r>
      <w:r>
        <w:t>VKS</w:t>
      </w:r>
      <w:r>
        <w:t xml:space="preserve"> cluster management is not available for VM Apps organizations in </w:t>
      </w:r>
      <w:r>
        <w:t>VCF Automation</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B218d2e56bab44822b70a45e608b6a4bd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Organization Management</w:t>
      </w:r>
      <w:r>
        <w:fldChar w:fldCharType="end"/>
      </w:r>
      <w:r>
        <w:t>.</w:t>
      </w:r>
    </w:p>
    <w:p>
      <w:pPr>
        <w:pStyle w:val="BodyText"/>
      </w:pPr>
      <w:r>
        <w:t>VKS</w:t>
      </w:r>
      <w:r>
        <w:t xml:space="preserve"> cluster management supports the following core capabilities:</w:t>
      </w:r>
    </w:p>
    <w:p>
      <w:pPr>
        <w:pStyle w:val="BodyText"/>
        <w:numPr>
          <w:numId w:val="228"/>
        </w:numPr>
      </w:pPr>
      <w:r>
        <w:t>Policy management</w:t>
      </w:r>
    </w:p>
    <w:p>
      <w:pPr>
        <w:pStyle w:val="BodyText"/>
      </w:pPr>
      <w:r>
        <w:t xml:space="preserve">Rather than manually dealing with the many aspects of managing your Kubernetes resources and the apps that use them, you can create policies to consistently manage your clusters, namespaces, and workloads. For more information about policy-driven management of your </w:t>
      </w:r>
      <w:r>
        <w:t>VKS</w:t>
      </w:r>
      <w:r>
        <w:t xml:space="preserve"> clusters,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B5544aafc83ef4102bfe2b8f7cb46ef96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VKS Cluster Management Policies</w:t>
      </w:r>
      <w:r>
        <w:fldChar w:fldCharType="end"/>
      </w:r>
      <w:r>
        <w:t>.</w:t>
      </w:r>
    </w:p>
    <w:p>
      <w:pPr>
        <w:pStyle w:val="BodyText"/>
        <w:numPr>
          <w:numId w:val="229"/>
        </w:numPr>
      </w:pPr>
      <w:r>
        <w:t>Add-on management</w:t>
      </w:r>
    </w:p>
    <w:p>
      <w:pPr>
        <w:pStyle w:val="BodyText"/>
      </w:pPr>
      <w:r>
        <w:t xml:space="preserve">You can manage the add-on packages that are installed on your clusters. </w:t>
      </w:r>
      <w:r>
        <w:t>VKS</w:t>
      </w:r>
      <w:r>
        <w:t xml:space="preserve"> cluster management uses Carvel, which is an open-source community standard for package management.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B2edfa27655624ccdb06486e681109897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Add-Ons on VKS Clusters with VKS Cluster Management</w:t>
      </w:r>
      <w:r>
        <w:fldChar w:fldCharType="end"/>
      </w:r>
      <w:r>
        <w:t>.</w:t>
      </w:r>
    </w:p>
    <w:p>
      <w:pPr>
        <w:pStyle w:val="BodyText"/>
        <w:pBdr>
          <w:top w:val="single" w:sz="8" w:space="2" w:color="D3D3D3"/>
          <w:bottom w:val="single" w:sz="8" w:space="2" w:color="D3D3D3"/>
        </w:pBdr>
      </w:pPr>
      <w:r>
        <w:rPr>
          <w:rStyle w:val="NoteLeaderimportant"/>
        </w:rPr>
        <w:t>Important</w:t>
        <w:tab/>
      </w:r>
      <w:r>
        <w:t xml:space="preserve">Managing add-ons is only available with </w:t>
      </w:r>
      <w:r>
        <w:t>VKS</w:t>
      </w:r>
      <w:r>
        <w:t xml:space="preserve"> version 3.5 and later.</w:t>
      </w:r>
    </w:p>
    <w:p>
      <w:pPr>
        <w:pStyle w:val="BodyText"/>
        <w:numPr>
          <w:numId w:val="230"/>
        </w:numPr>
      </w:pPr>
      <w:r>
        <w:t>Data protection</w:t>
      </w:r>
    </w:p>
    <w:p>
      <w:pPr>
        <w:pStyle w:val="BodyText"/>
      </w:pPr>
      <w:r>
        <w:t xml:space="preserve">You can back up and restore your clusters and namespaces using Velero to protect the valuable data resources in your infrastructure.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B3a45e77c89cc4abca90d67fa62cee7b6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Backing Up and Restoring VKS Clusters and VKS Cluster Namespaces with VKS Cluster Management</w:t>
      </w:r>
      <w:r>
        <w:fldChar w:fldCharType="end"/>
      </w:r>
      <w:r>
        <w:t>.</w:t>
      </w:r>
    </w:p>
    <w:p>
      <w:pPr>
        <w:pStyle w:val="SectionHeading4"/>
      </w:pPr>
      <w:bookmarkStart w:id="271" w:name="_Toc256000807"/>
      <w:r>
        <w:t>VKS Cluster Management Architecture</w:t>
      </w:r>
      <w:bookmarkEnd w:id="271"/>
    </w:p>
    <w:p>
      <w:pPr>
        <w:pStyle w:val="BodyText"/>
      </w:pPr>
      <w:r>
        <w:t>VKS</w:t>
      </w:r>
      <w:r>
        <w:t xml:space="preserve"> cluster management is deployed in three parts:</w:t>
      </w:r>
    </w:p>
    <w:p>
      <w:pPr>
        <w:pStyle w:val="BodyText"/>
        <w:numPr>
          <w:numId w:val="231"/>
        </w:numPr>
      </w:pPr>
      <w:r>
        <w:t xml:space="preserve">A set of microservices is deployed inside </w:t>
      </w:r>
      <w:r>
        <w:t>VCF Automation</w:t>
      </w:r>
      <w:r>
        <w:t>.</w:t>
      </w:r>
    </w:p>
    <w:p>
      <w:pPr>
        <w:pStyle w:val="BodyText"/>
        <w:numPr>
          <w:numId w:val="231"/>
        </w:numPr>
      </w:pPr>
      <w:r>
        <w:t xml:space="preserve">The auto-attach service is deployed on the </w:t>
      </w:r>
      <w:r>
        <w:t>Supervisor</w:t>
      </w:r>
      <w:r>
        <w:t xml:space="preserve"> that is registered with </w:t>
      </w:r>
      <w:r>
        <w:t>VCF Automation</w:t>
      </w:r>
      <w:r>
        <w:t>.</w:t>
      </w:r>
    </w:p>
    <w:p>
      <w:pPr>
        <w:pStyle w:val="BodyText"/>
        <w:numPr>
          <w:numId w:val="231"/>
        </w:numPr>
      </w:pPr>
      <w:r>
        <w:t xml:space="preserve">A set of extensions is deployed on each </w:t>
      </w:r>
      <w:r>
        <w:t>VKS</w:t>
      </w:r>
      <w:r>
        <w:t xml:space="preserve"> cluster in the environment.</w:t>
      </w:r>
    </w:p>
    <w:p>
      <w:pPr>
        <w:pStyle w:val="BodyText"/>
      </w:pPr>
      <w:r>
        <w:t xml:space="preserve">If the management and workload layers are on separate networks, the communication between the different planes happens through a </w:t>
      </w:r>
      <w:r>
        <w:t>Supervisor</w:t>
      </w:r>
      <w:r>
        <w:t xml:space="preserve"> management proxy.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B5238fc22316b42839faa5ac4776087c1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Supervisor Management Proxy</w:t>
      </w:r>
      <w:r>
        <w:fldChar w:fldCharType="end"/>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VKS Cluster Management Architecture</w:t>
      </w:r>
    </w:p>
    <w:p>
      <w:pPr>
        <w:pStyle w:val="BodyText"/>
      </w:pPr>
      <w:r>
        <w:drawing>
          <wp:inline>
            <wp:extent cx="6324600" cy="4074502"/>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35">
                      <a:extLst>
                        <a:ext uri="{96DAC541-7B7A-43D3-8B79-37D633B846F1}">
                          <asvg:svgBlip xmlns:asvg="http://schemas.microsoft.com/office/drawing/2016/SVG/main" r:embed="rId36"/>
                        </a:ext>
                      </a:extLst>
                    </a:blip>
                    <a:stretch>
                      <a:fillRect/>
                    </a:stretch>
                  </pic:blipFill>
                  <pic:spPr>
                    <a:xfrm>
                      <a:off x="0" y="0"/>
                      <a:ext cx="6324600" cy="4074502"/>
                    </a:xfrm>
                    <a:prstGeom prst="rect">
                      <a:avLst/>
                    </a:prstGeom>
                  </pic:spPr>
                </pic:pic>
              </a:graphicData>
            </a:graphic>
          </wp:inline>
        </w:drawing>
      </w:r>
    </w:p>
    <w:p>
      <w:pPr>
        <w:pStyle w:val="Heading4"/>
      </w:pPr>
      <w:bookmarkStart w:id="272" w:name="B4422f5aee50c4834ba036ea88d746722"/>
      <w:bookmarkStart w:id="273" w:name="_Toc256000808"/>
      <w:r>
        <w:t>What Is a VKS Cluster?</w:t>
      </w:r>
      <w:bookmarkEnd w:id="273"/>
      <w:bookmarkEnd w:id="272"/>
    </w:p>
    <w:p>
      <w:pPr>
        <w:pStyle w:val="BodyText"/>
      </w:pPr>
      <w:r>
        <w:t xml:space="preserve">A </w:t>
      </w:r>
      <w:r>
        <w:t>VKS</w:t>
      </w:r>
      <w:r>
        <w:t xml:space="preserve"> cluster is a Kubernetes cluster that is built and supported by VMware and that runs your application workloads. </w:t>
      </w:r>
      <w:r>
        <w:t>VKS</w:t>
      </w:r>
      <w:r>
        <w:t xml:space="preserve"> clusters are part of a </w:t>
      </w:r>
      <w:r>
        <w:t>vSphere Kubernetes Service</w:t>
      </w:r>
      <w:r>
        <w:t xml:space="preserve"> ( </w:t>
      </w:r>
      <w:r>
        <w:t>VKS</w:t>
      </w:r>
      <w:r>
        <w:t xml:space="preserve"> ) deployment. You use </w:t>
      </w:r>
      <w:r>
        <w:t>VKS</w:t>
      </w:r>
      <w:r>
        <w:t xml:space="preserve"> cluster management to manage </w:t>
      </w:r>
      <w:r>
        <w:t>VKS</w:t>
      </w:r>
      <w:r>
        <w:t xml:space="preserve"> clusters. Their life cycle, however, is handled by the native </w:t>
      </w:r>
      <w:r>
        <w:t>Supervisor</w:t>
      </w:r>
      <w:r>
        <w:t xml:space="preserve"> APIs.</w:t>
      </w:r>
    </w:p>
    <w:p>
      <w:pPr>
        <w:pStyle w:val="SectionHeading5"/>
      </w:pPr>
      <w:r>
        <w:t>Relation Between VKS and VCF Automation</w:t>
      </w:r>
    </w:p>
    <w:p>
      <w:pPr>
        <w:pStyle w:val="BodyText"/>
      </w:pPr>
      <w:r>
        <w:t>VKS</w:t>
      </w:r>
      <w:r>
        <w:t xml:space="preserve"> provides self-service life cycle management of Kubernetes workload clusters. </w:t>
      </w:r>
      <w:r>
        <w:t>VKS</w:t>
      </w:r>
      <w:r>
        <w:t xml:space="preserve"> is an implementation of the open-source Cluster API project that defines a set of custom resources and controllers to manage the life cycle of Kubernetes clusters. </w:t>
      </w:r>
      <w:r>
        <w:t>VKS</w:t>
      </w:r>
      <w:r>
        <w:t xml:space="preserve"> is a component of </w:t>
      </w:r>
      <w:r>
        <w:t>Supervisor</w:t>
      </w:r>
      <w:r>
        <w:t xml:space="preserve">. The </w:t>
      </w:r>
      <w:r>
        <w:t>Supervisor</w:t>
      </w:r>
      <w:r>
        <w:t xml:space="preserve"> is a source of compute resources that can be registered to </w:t>
      </w:r>
      <w:r>
        <w:t>VCF Automation</w:t>
      </w:r>
      <w:r>
        <w:t xml:space="preserve">. System administrators allocate the </w:t>
      </w:r>
      <w:r>
        <w:t>Supervisor</w:t>
      </w:r>
      <w:r>
        <w:t xml:space="preserve"> resources to the organizations in </w:t>
      </w:r>
      <w:r>
        <w:t>VCF Automation</w:t>
      </w:r>
      <w:r>
        <w:t xml:space="preserve">. The </w:t>
      </w:r>
      <w:r>
        <w:t>Supervisor</w:t>
      </w:r>
      <w:r>
        <w:t xml:space="preserve"> itself does not belong to any organization. Project acministrators request </w:t>
      </w:r>
      <w:r>
        <w:t>vSphere Namespaces</w:t>
      </w:r>
      <w:r>
        <w:t xml:space="preserve"> for projects, and </w:t>
      </w:r>
      <w:r>
        <w:t>VCF Automation</w:t>
      </w:r>
      <w:r>
        <w:t xml:space="preserve"> allocates </w:t>
      </w:r>
      <w:r>
        <w:t>vSphere Namespaces</w:t>
      </w:r>
      <w:r>
        <w:t xml:space="preserve"> matching the request.</w:t>
      </w:r>
    </w:p>
    <w:p>
      <w:pPr>
        <w:pStyle w:val="BodyText"/>
      </w:pPr>
      <w:r>
        <w:t xml:space="preserve">A single </w:t>
      </w:r>
      <w:r>
        <w:t>Supervisor</w:t>
      </w:r>
      <w:r>
        <w:t xml:space="preserve"> can provide resources for multiple </w:t>
      </w:r>
      <w:r>
        <w:t>VCF Automation</w:t>
      </w:r>
      <w:r>
        <w:t xml:space="preserve"> organizations.</w:t>
      </w:r>
    </w:p>
    <w:p>
      <w:pPr>
        <w:pStyle w:val="BodyText"/>
      </w:pPr>
      <w:r>
        <w:t xml:space="preserve">Within a single organization, you can move </w:t>
      </w:r>
      <w:r>
        <w:t>vSphere Namespaces</w:t>
      </w:r>
      <w:r>
        <w:t xml:space="preserve"> from one project to another.</w:t>
      </w:r>
    </w:p>
    <w:p>
      <w:pPr>
        <w:pStyle w:val="BodyText"/>
      </w:pPr>
      <w:r>
        <w:t xml:space="preserve">For more information about organizations and projects within the context of </w:t>
      </w:r>
      <w:r>
        <w:t>VKS</w:t>
      </w:r>
      <w:r>
        <w:t xml:space="preserve"> cluster management,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Be7109467ca6244e9907b9f7d65b6b894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Hierarchy of the Resources That VKS Cluster Management Works With</w:t>
      </w:r>
      <w:r>
        <w:fldChar w:fldCharType="end"/>
      </w:r>
      <w:r>
        <w:t>.</w:t>
      </w:r>
    </w:p>
    <w:p>
      <w:pPr>
        <w:pStyle w:val="BodyText"/>
      </w:pPr>
      <w:r>
        <w:t xml:space="preserve">For more information about </w:t>
      </w:r>
      <w:r>
        <w:t>VKS</w:t>
      </w:r>
      <w:r>
        <w:t xml:space="preserve">, see </w:t>
      </w:r>
      <w:r>
        <w:t>Platform</w:t>
      </w:r>
      <w:r>
        <w:t xml:space="preserve"> and the </w:t>
      </w:r>
      <w:r>
        <w:rPr>
          <w:rStyle w:val="InlineCite"/>
        </w:rPr>
        <w:t>Managing vSphere Kubernetes Service with vSphere Supervisor</w:t>
      </w:r>
      <w:r>
        <w:t xml:space="preserve"> documentation.</w:t>
      </w:r>
    </w:p>
    <w:p>
      <w:pPr>
        <w:pStyle w:val="SectionHeading5"/>
      </w:pPr>
      <w:r>
        <w:t>Agents and Extensions Installed on the VKS Cluster</w:t>
      </w:r>
    </w:p>
    <w:p>
      <w:pPr>
        <w:pStyle w:val="BodyText"/>
      </w:pPr>
      <w:r>
        <w:t xml:space="preserve">To function properly, </w:t>
      </w:r>
      <w:r>
        <w:t>VKS</w:t>
      </w:r>
      <w:r>
        <w:t xml:space="preserve"> cluster management depends on a set of agents and extensions that run in all </w:t>
      </w:r>
      <w:r>
        <w:t>VKS</w:t>
      </w:r>
      <w:r>
        <w:t xml:space="preserve"> clusters. When a </w:t>
      </w:r>
      <w:r>
        <w:t>VKS</w:t>
      </w:r>
      <w:r>
        <w:t xml:space="preserve"> cluster is attached to </w:t>
      </w:r>
      <w:r>
        <w:t>VKS</w:t>
      </w:r>
      <w:r>
        <w:t xml:space="preserve"> cluster management, the </w:t>
      </w:r>
      <w:r>
        <w:t>Supervisor</w:t>
      </w:r>
      <w:r>
        <w:t xml:space="preserve"> auto-attach service installs a set of extensions and cluster resource definitions to the cluster nodes.</w:t>
      </w:r>
    </w:p>
    <w:p>
      <w:pPr>
        <w:pStyle w:val="BodyText"/>
      </w:pPr>
      <w:r>
        <w:t xml:space="preserve">The agents configuration contains information about the correct </w:t>
      </w:r>
      <w:r>
        <w:t>VKS</w:t>
      </w:r>
      <w:r>
        <w:t xml:space="preserve"> cluster management endpoint, the image registry that provides the images, and the proxy configuration.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Memory and CPU Consumed by Cluster Agent Extensions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93"/>
        <w:gridCol w:w="962"/>
        <w:gridCol w:w="1941"/>
        <w:gridCol w:w="1395"/>
        <w:gridCol w:w="1740"/>
        <w:gridCol w:w="11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Extension</w:t>
            </w:r>
          </w:p>
        </w:tc>
        <w:tc>
          <w:tcPr>
            <w:tcBorders>
              <w:left w:val="nil"/>
              <w:right w:val="nil"/>
            </w:tcBorders>
            <w:shd w:val="clear" w:color="auto" w:fill="E1E1E1"/>
            <w:tcMar>
              <w:top w:w="60" w:type="dxa"/>
              <w:bottom w:w="60" w:type="dxa"/>
            </w:tcMar>
          </w:tcPr>
          <w:p>
            <w:pPr>
              <w:pStyle w:val="TableHeaderText"/>
            </w:pPr>
            <w:r>
              <w:t>Node</w:t>
            </w:r>
          </w:p>
        </w:tc>
        <w:tc>
          <w:tcPr>
            <w:tcBorders>
              <w:left w:val="nil"/>
              <w:right w:val="nil"/>
            </w:tcBorders>
            <w:shd w:val="clear" w:color="auto" w:fill="E1E1E1"/>
            <w:tcMar>
              <w:top w:w="60" w:type="dxa"/>
              <w:bottom w:w="60" w:type="dxa"/>
            </w:tcMar>
          </w:tcPr>
          <w:p>
            <w:pPr>
              <w:pStyle w:val="TableHeaderText"/>
            </w:pPr>
            <w:r>
              <w:t>Memory Reservation</w:t>
            </w:r>
          </w:p>
        </w:tc>
        <w:tc>
          <w:tcPr>
            <w:tcBorders>
              <w:left w:val="nil"/>
              <w:right w:val="nil"/>
            </w:tcBorders>
            <w:shd w:val="clear" w:color="auto" w:fill="E1E1E1"/>
            <w:tcMar>
              <w:top w:w="60" w:type="dxa"/>
              <w:bottom w:w="60" w:type="dxa"/>
            </w:tcMar>
          </w:tcPr>
          <w:p>
            <w:pPr>
              <w:pStyle w:val="TableHeaderText"/>
            </w:pPr>
            <w:r>
              <w:t>Memory Limit</w:t>
            </w:r>
          </w:p>
        </w:tc>
        <w:tc>
          <w:tcPr>
            <w:tcBorders>
              <w:left w:val="nil"/>
              <w:right w:val="nil"/>
            </w:tcBorders>
            <w:shd w:val="clear" w:color="auto" w:fill="E1E1E1"/>
            <w:tcMar>
              <w:top w:w="60" w:type="dxa"/>
              <w:bottom w:w="60" w:type="dxa"/>
            </w:tcMar>
          </w:tcPr>
          <w:p>
            <w:pPr>
              <w:pStyle w:val="TableHeaderText"/>
            </w:pPr>
            <w:r>
              <w:t>CPU Reservation</w:t>
            </w:r>
          </w:p>
        </w:tc>
        <w:tc>
          <w:tcPr>
            <w:tcBorders>
              <w:left w:val="nil"/>
              <w:right w:val="nil"/>
            </w:tcBorders>
            <w:shd w:val="clear" w:color="auto" w:fill="E1E1E1"/>
            <w:tcMar>
              <w:top w:w="60" w:type="dxa"/>
              <w:bottom w:w="60" w:type="dxa"/>
            </w:tcMar>
          </w:tcPr>
          <w:p>
            <w:pPr>
              <w:pStyle w:val="TableHeaderText"/>
            </w:pPr>
            <w:r>
              <w:t>CPU Limit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agent-updater</w:t>
            </w:r>
          </w:p>
        </w:tc>
        <w:tc>
          <w:tcPr>
            <w:tcBorders>
              <w:left w:val="nil"/>
              <w:right w:val="nil"/>
            </w:tcBorders>
          </w:tcPr>
          <w:p>
            <w:pPr>
              <w:pStyle w:val="TableBodyText"/>
            </w:pPr>
            <w:r>
              <w:t>Worker</w:t>
            </w:r>
          </w:p>
        </w:tc>
        <w:tc>
          <w:tcPr>
            <w:tcBorders>
              <w:left w:val="nil"/>
              <w:right w:val="nil"/>
            </w:tcBorders>
          </w:tcPr>
          <w:p>
            <w:pPr>
              <w:pStyle w:val="TableBodyText"/>
            </w:pPr>
            <w:r>
              <w:t>100Mi</w:t>
            </w:r>
          </w:p>
        </w:tc>
        <w:tc>
          <w:tcPr>
            <w:tcBorders>
              <w:left w:val="nil"/>
              <w:right w:val="nil"/>
            </w:tcBorders>
          </w:tcPr>
          <w:p>
            <w:pPr>
              <w:pStyle w:val="TableBodyText"/>
            </w:pPr>
            <w:r>
              <w:t>150Mi</w:t>
            </w:r>
          </w:p>
        </w:tc>
        <w:tc>
          <w:tcPr>
            <w:tcBorders>
              <w:left w:val="nil"/>
              <w:right w:val="nil"/>
            </w:tcBorders>
          </w:tcPr>
          <w:p>
            <w:pPr>
              <w:pStyle w:val="TableBodyText"/>
            </w:pPr>
            <w:r>
              <w:t>100m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agentupdater-workload</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256Mi</w:t>
            </w:r>
          </w:p>
        </w:tc>
        <w:tc>
          <w:tcPr>
            <w:tcBorders>
              <w:left w:val="nil"/>
              <w:right w:val="nil"/>
            </w:tcBorders>
          </w:tcPr>
          <w:p>
            <w:pPr>
              <w:pStyle w:val="TableBodyText"/>
            </w:pPr>
            <w:r>
              <w:t>100m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cluster-health-extension</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2Gi</w:t>
            </w:r>
          </w:p>
        </w:tc>
        <w:tc>
          <w:tcPr>
            <w:tcBorders>
              <w:left w:val="nil"/>
              <w:right w:val="nil"/>
            </w:tcBorders>
          </w:tcPr>
          <w:p>
            <w:pPr>
              <w:pStyle w:val="TableBodyText"/>
            </w:pPr>
            <w:r>
              <w:t>100m</w:t>
            </w:r>
          </w:p>
        </w:tc>
        <w:tc>
          <w:tcPr>
            <w:tcBorders>
              <w:left w:val="nil"/>
              <w:right w:val="nil"/>
            </w:tcBorders>
          </w:tcPr>
          <w:p>
            <w:pPr>
              <w:pStyle w:val="TableBodyText"/>
            </w:pPr>
            <w:r>
              <w:t>1000m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manager (</w:t>
            </w:r>
            <w:r>
              <w:rPr>
                <w:rStyle w:val="InlineCode"/>
              </w:rPr>
              <w:t>data-protection</w:t>
            </w:r>
            <w:r>
              <w:t>)</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512Mi</w:t>
            </w:r>
          </w:p>
        </w:tc>
        <w:tc>
          <w:tcPr>
            <w:tcBorders>
              <w:left w:val="nil"/>
              <w:right w:val="nil"/>
            </w:tcBorders>
          </w:tcPr>
          <w:p>
            <w:pPr>
              <w:pStyle w:val="TableBodyText"/>
            </w:pPr>
            <w:r>
              <w:t>50m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extension-manager</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256Mi</w:t>
            </w:r>
          </w:p>
        </w:tc>
        <w:tc>
          <w:tcPr>
            <w:tcBorders>
              <w:left w:val="nil"/>
              <w:right w:val="nil"/>
            </w:tcBorders>
          </w:tcPr>
          <w:p>
            <w:pPr>
              <w:pStyle w:val="TableBodyText"/>
            </w:pPr>
            <w:r>
              <w:t>100m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extension-updater</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1024Mi</w:t>
            </w:r>
          </w:p>
        </w:tc>
        <w:tc>
          <w:tcPr>
            <w:tcBorders>
              <w:left w:val="nil"/>
              <w:right w:val="nil"/>
            </w:tcBorders>
          </w:tcPr>
          <w:p>
            <w:pPr>
              <w:pStyle w:val="TableBodyText"/>
            </w:pPr>
            <w:r>
              <w:t>50m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intent-agent</w:t>
            </w:r>
          </w:p>
        </w:tc>
        <w:tc>
          <w:tcPr>
            <w:tcBorders>
              <w:left w:val="nil"/>
              <w:right w:val="nil"/>
            </w:tcBorders>
          </w:tcPr>
          <w:p>
            <w:pPr>
              <w:pStyle w:val="TableBodyText"/>
            </w:pPr>
            <w:r>
              <w:t>Worker</w:t>
            </w:r>
          </w:p>
        </w:tc>
        <w:tc>
          <w:tcPr>
            <w:tcBorders>
              <w:left w:val="nil"/>
              <w:right w:val="nil"/>
            </w:tcBorders>
          </w:tcPr>
          <w:p>
            <w:pPr>
              <w:pStyle w:val="TableBodyText"/>
            </w:pPr>
            <w:r>
              <w:t>300Mi</w:t>
            </w:r>
          </w:p>
        </w:tc>
        <w:tc>
          <w:tcPr>
            <w:tcBorders>
              <w:left w:val="nil"/>
              <w:right w:val="nil"/>
            </w:tcBorders>
          </w:tcPr>
          <w:p>
            <w:pPr>
              <w:pStyle w:val="TableBodyText"/>
            </w:pPr>
            <w:r>
              <w:t>1Gi</w:t>
            </w:r>
          </w:p>
        </w:tc>
        <w:tc>
          <w:tcPr>
            <w:tcBorders>
              <w:left w:val="nil"/>
              <w:right w:val="nil"/>
            </w:tcBorders>
          </w:tcPr>
          <w:p>
            <w:pPr>
              <w:pStyle w:val="TableBodyText"/>
            </w:pPr>
            <w:r>
              <w:t>100m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manager (</w:t>
            </w:r>
            <w:r>
              <w:rPr>
                <w:rStyle w:val="InlineCode"/>
              </w:rPr>
              <w:t>policy-sync-extension</w:t>
            </w:r>
            <w:r>
              <w:t>)</w:t>
            </w:r>
          </w:p>
        </w:tc>
        <w:tc>
          <w:tcPr>
            <w:tcBorders>
              <w:left w:val="nil"/>
              <w:right w:val="nil"/>
            </w:tcBorders>
          </w:tcPr>
          <w:p>
            <w:pPr>
              <w:pStyle w:val="TableBodyText"/>
            </w:pPr>
            <w:r>
              <w:t>Worker</w:t>
            </w:r>
          </w:p>
        </w:tc>
        <w:tc>
          <w:tcPr>
            <w:tcBorders>
              <w:left w:val="nil"/>
              <w:right w:val="nil"/>
            </w:tcBorders>
          </w:tcPr>
          <w:p>
            <w:pPr>
              <w:pStyle w:val="TableBodyText"/>
            </w:pPr>
            <w:r>
              <w:t>256Mi</w:t>
            </w:r>
          </w:p>
        </w:tc>
        <w:tc>
          <w:tcPr>
            <w:tcBorders>
              <w:left w:val="nil"/>
              <w:right w:val="nil"/>
            </w:tcBorders>
          </w:tcPr>
          <w:p>
            <w:pPr>
              <w:pStyle w:val="TableBodyText"/>
            </w:pPr>
            <w:r>
              <w:t>1Gi</w:t>
            </w:r>
          </w:p>
        </w:tc>
        <w:tc>
          <w:tcPr>
            <w:tcBorders>
              <w:left w:val="nil"/>
              <w:right w:val="nil"/>
            </w:tcBorders>
          </w:tcPr>
          <w:p>
            <w:pPr>
              <w:pStyle w:val="TableBodyText"/>
            </w:pPr>
            <w:r>
              <w:t>10m</w:t>
            </w:r>
          </w:p>
        </w:tc>
        <w:tc>
          <w:tcPr>
            <w:tcBorders>
              <w:left w:val="nil"/>
              <w:right w:val="nil"/>
            </w:tcBorders>
          </w:tcPr>
          <w:p>
            <w:pPr>
              <w:pStyle w:val="TableBodyText"/>
            </w:pPr>
            <w:r>
              <w:t>500m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manager ( </w:t>
            </w:r>
            <w:r>
              <w:rPr>
                <w:rStyle w:val="InlineCode"/>
              </w:rPr>
              <w:t>policy-webhook</w:t>
            </w:r>
            <w:r>
              <w:t xml:space="preserve"> )</w:t>
            </w:r>
          </w:p>
        </w:tc>
        <w:tc>
          <w:tcPr>
            <w:tcBorders>
              <w:left w:val="nil"/>
              <w:right w:val="nil"/>
            </w:tcBorders>
          </w:tcPr>
          <w:p>
            <w:pPr>
              <w:pStyle w:val="TableBodyText"/>
            </w:pPr>
            <w:r>
              <w:t>Worker</w:t>
            </w:r>
          </w:p>
        </w:tc>
        <w:tc>
          <w:tcPr>
            <w:tcBorders>
              <w:left w:val="nil"/>
              <w:right w:val="nil"/>
            </w:tcBorders>
          </w:tcPr>
          <w:p>
            <w:pPr>
              <w:pStyle w:val="TableBodyText"/>
            </w:pPr>
            <w:r>
              <w:t>256Mi</w:t>
            </w:r>
          </w:p>
        </w:tc>
        <w:tc>
          <w:tcPr>
            <w:tcBorders>
              <w:left w:val="nil"/>
              <w:right w:val="nil"/>
            </w:tcBorders>
          </w:tcPr>
          <w:p>
            <w:pPr>
              <w:pStyle w:val="TableBodyText"/>
            </w:pPr>
            <w:r>
              <w:t>512Mi</w:t>
            </w:r>
          </w:p>
        </w:tc>
        <w:tc>
          <w:tcPr>
            <w:tcBorders>
              <w:left w:val="nil"/>
              <w:right w:val="nil"/>
            </w:tcBorders>
          </w:tcPr>
          <w:p>
            <w:pPr>
              <w:pStyle w:val="TableBodyText"/>
            </w:pPr>
            <w:r>
              <w:t>100m</w:t>
            </w:r>
          </w:p>
        </w:tc>
        <w:tc>
          <w:tcPr>
            <w:tcBorders>
              <w:left w:val="nil"/>
              <w:right w:val="nil"/>
            </w:tcBorders>
          </w:tcPr>
          <w:p>
            <w:pPr>
              <w:pStyle w:val="TableBodyText"/>
            </w:pPr>
            <w:r>
              <w:t>100m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sync-agent</w:t>
            </w:r>
          </w:p>
        </w:tc>
        <w:tc>
          <w:tcPr>
            <w:tcBorders>
              <w:left w:val="nil"/>
              <w:right w:val="nil"/>
            </w:tcBorders>
          </w:tcPr>
          <w:p>
            <w:pPr>
              <w:pStyle w:val="TableBodyText"/>
            </w:pPr>
            <w:r>
              <w:t>Worker</w:t>
            </w:r>
          </w:p>
        </w:tc>
        <w:tc>
          <w:tcPr>
            <w:tcBorders>
              <w:left w:val="nil"/>
              <w:right w:val="nil"/>
            </w:tcBorders>
          </w:tcPr>
          <w:p>
            <w:pPr>
              <w:pStyle w:val="TableBodyText"/>
            </w:pPr>
            <w:r>
              <w:t>128Mi</w:t>
            </w:r>
          </w:p>
        </w:tc>
        <w:tc>
          <w:tcPr>
            <w:tcBorders>
              <w:left w:val="nil"/>
              <w:right w:val="nil"/>
            </w:tcBorders>
          </w:tcPr>
          <w:p>
            <w:pPr>
              <w:pStyle w:val="TableBodyText"/>
            </w:pPr>
            <w:r>
              <w:t>8192Mi</w:t>
            </w:r>
          </w:p>
        </w:tc>
        <w:tc>
          <w:tcPr>
            <w:tcBorders>
              <w:left w:val="nil"/>
              <w:right w:val="nil"/>
            </w:tcBorders>
          </w:tcPr>
          <w:p>
            <w:pPr>
              <w:pStyle w:val="TableBodyText"/>
            </w:pPr>
            <w:r>
              <w:t>100m</w:t>
            </w:r>
          </w:p>
        </w:tc>
        <w:tc>
          <w:tcPr>
            <w:tcBorders>
              <w:left w:val="nil"/>
              <w:right w:val="nil"/>
            </w:tcBorders>
          </w:tcPr>
          <w:p>
            <w:pPr>
              <w:pStyle w:val="TableBodyText"/>
            </w:pPr>
            <w:r>
              <w:t>2000m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observer</w:t>
            </w:r>
          </w:p>
        </w:tc>
        <w:tc>
          <w:tcPr>
            <w:tcBorders>
              <w:left w:val="nil"/>
              <w:right w:val="nil"/>
            </w:tcBorders>
          </w:tcPr>
          <w:p>
            <w:pPr>
              <w:pStyle w:val="TableBodyText"/>
            </w:pPr>
            <w:r>
              <w:t>Worker</w:t>
            </w:r>
          </w:p>
        </w:tc>
        <w:tc>
          <w:tcPr>
            <w:tcBorders>
              <w:left w:val="nil"/>
              <w:right w:val="nil"/>
            </w:tcBorders>
          </w:tcPr>
          <w:p>
            <w:pPr>
              <w:pStyle w:val="TableBodyText"/>
            </w:pPr>
            <w:r>
              <w:t>100Mi</w:t>
            </w:r>
          </w:p>
        </w:tc>
        <w:tc>
          <w:tcPr>
            <w:tcBorders>
              <w:left w:val="nil"/>
              <w:right w:val="nil"/>
            </w:tcBorders>
          </w:tcPr>
          <w:p>
            <w:pPr>
              <w:pStyle w:val="TableBodyText"/>
            </w:pPr>
            <w:r>
              <w:t>150Mi</w:t>
            </w:r>
          </w:p>
        </w:tc>
        <w:tc>
          <w:tcPr>
            <w:tcBorders>
              <w:left w:val="nil"/>
              <w:right w:val="nil"/>
            </w:tcBorders>
          </w:tcPr>
          <w:p>
            <w:pPr>
              <w:pStyle w:val="TableBodyText"/>
            </w:pPr>
            <w:r>
              <w:t>50m</w:t>
            </w:r>
          </w:p>
        </w:tc>
        <w:tc>
          <w:tcPr>
            <w:tcBorders>
              <w:left w:val="nil"/>
              <w:right w:val="nil"/>
            </w:tcBorders>
          </w:tcPr>
          <w:p>
            <w:pPr>
              <w:pStyle w:val="TableBodyText"/>
            </w:pPr>
            <w:r>
              <w:t>100m</w:t>
            </w:r>
          </w:p>
        </w:tc>
      </w:tr>
    </w:tbl>
    <w:p>
      <w:pPr>
        <w:pStyle w:val="SectionHeading5"/>
        <w:spacing w:before="120"/>
      </w:pPr>
      <w:r>
        <w:t>Cluster Health</w:t>
      </w:r>
    </w:p>
    <w:p>
      <w:pPr>
        <w:pStyle w:val="BodyText"/>
      </w:pPr>
      <w:r>
        <w:t>The overall health of a cluster is an aggregation of the health of the components and nodes in the cluster.</w:t>
      </w:r>
    </w:p>
    <w:p>
      <w:pPr>
        <w:pStyle w:val="BodyText"/>
      </w:pPr>
      <w:r>
        <w:t>The health status of the cluster can be one of the following values:</w:t>
      </w:r>
    </w:p>
    <w:p>
      <w:pPr>
        <w:pStyle w:val="BodyText"/>
        <w:numPr>
          <w:numId w:val="232"/>
        </w:numPr>
      </w:pPr>
      <w:r>
        <w:rPr>
          <w:rStyle w:val="InlineCode"/>
        </w:rPr>
        <w:t>Healthy</w:t>
      </w:r>
    </w:p>
    <w:p>
      <w:pPr>
        <w:pStyle w:val="BodyText"/>
        <w:ind w:left="480"/>
      </w:pPr>
      <w:r>
        <w:t>A cluster is healthy when all nodes and components are healthy, and a heartbeat for the cluster is received every minute.</w:t>
      </w:r>
    </w:p>
    <w:p>
      <w:pPr>
        <w:pStyle w:val="BodyText"/>
        <w:numPr>
          <w:numId w:val="232"/>
        </w:numPr>
      </w:pPr>
      <w:r>
        <w:rPr>
          <w:rStyle w:val="InlineCode"/>
        </w:rPr>
        <w:t>Unhealthy</w:t>
      </w:r>
    </w:p>
    <w:p>
      <w:pPr>
        <w:pStyle w:val="BodyText"/>
        <w:ind w:left="480"/>
      </w:pPr>
      <w:r>
        <w:t>A cluster is unhealthy if either of the following is reported as unhealthy:</w:t>
      </w:r>
    </w:p>
    <w:p>
      <w:pPr>
        <w:pStyle w:val="BodyText"/>
        <w:numPr>
          <w:ilvl w:val="1"/>
          <w:numId w:val="232"/>
        </w:numPr>
      </w:pPr>
      <w:r>
        <w:t>One or more of the cluster’s control plane nodes</w:t>
      </w:r>
    </w:p>
    <w:p>
      <w:pPr>
        <w:pStyle w:val="BodyText"/>
        <w:numPr>
          <w:ilvl w:val="1"/>
          <w:numId w:val="232"/>
        </w:numPr>
      </w:pPr>
      <w:r>
        <w:t>One or more of the cluster’s components</w:t>
      </w:r>
    </w:p>
    <w:p>
      <w:pPr>
        <w:pStyle w:val="BodyText"/>
        <w:numPr>
          <w:numId w:val="232"/>
        </w:numPr>
      </w:pPr>
      <w:r>
        <w:rPr>
          <w:rStyle w:val="InlineCode"/>
        </w:rPr>
        <w:t>Warning</w:t>
      </w:r>
    </w:p>
    <w:p>
      <w:pPr>
        <w:pStyle w:val="BodyText"/>
        <w:numPr>
          <w:ilvl w:val="1"/>
          <w:numId w:val="232"/>
        </w:numPr>
      </w:pPr>
      <w:r>
        <w:t>A cluster can have a warning status if any of its worker nodes are in an unhealthy or unknown state.</w:t>
      </w:r>
    </w:p>
    <w:p>
      <w:pPr>
        <w:pStyle w:val="BodyText"/>
        <w:numPr>
          <w:ilvl w:val="1"/>
          <w:numId w:val="232"/>
        </w:numPr>
      </w:pPr>
      <w:r>
        <w:t>A cluster can also have a warning status if any nodes (worker or control plane) are in a warning state.</w:t>
      </w:r>
    </w:p>
    <w:p>
      <w:pPr>
        <w:pStyle w:val="BodyText"/>
        <w:numPr>
          <w:numId w:val="232"/>
        </w:numPr>
      </w:pPr>
      <w:r>
        <w:rPr>
          <w:rStyle w:val="InlineCode"/>
        </w:rPr>
        <w:t>Unknown</w:t>
      </w:r>
    </w:p>
    <w:p>
      <w:pPr>
        <w:pStyle w:val="BodyText"/>
        <w:ind w:left="480"/>
      </w:pPr>
      <w:r>
        <w:t>The health status of a cluster in unknown if either of the following is reported as unknown:</w:t>
      </w:r>
    </w:p>
    <w:p>
      <w:pPr>
        <w:pStyle w:val="BodyText"/>
        <w:numPr>
          <w:ilvl w:val="1"/>
          <w:numId w:val="232"/>
        </w:numPr>
      </w:pPr>
      <w:r>
        <w:t>One or more of the cluster’s control plane nodes</w:t>
      </w:r>
    </w:p>
    <w:p>
      <w:pPr>
        <w:pStyle w:val="BodyText"/>
        <w:numPr>
          <w:ilvl w:val="1"/>
          <w:numId w:val="232"/>
        </w:numPr>
      </w:pPr>
      <w:r>
        <w:t>One or more of the cluster’s components</w:t>
      </w:r>
    </w:p>
    <w:p>
      <w:pPr>
        <w:pStyle w:val="BodyText"/>
        <w:numPr>
          <w:numId w:val="232"/>
        </w:numPr>
      </w:pPr>
      <w:r>
        <w:rPr>
          <w:rStyle w:val="InlineCode"/>
        </w:rPr>
        <w:t>Disconnected</w:t>
      </w:r>
    </w:p>
    <w:p>
      <w:pPr>
        <w:pStyle w:val="BodyText"/>
        <w:ind w:left="480"/>
      </w:pPr>
      <w:r>
        <w:t>A cluster is considered disconnected if no heartbeat is received from the cluster for more than 3 minutes.</w:t>
      </w:r>
    </w:p>
    <w:p>
      <w:pPr>
        <w:pStyle w:val="SectionHeading5"/>
      </w:pPr>
      <w:r>
        <w:t>Node Health</w:t>
      </w:r>
    </w:p>
    <w:p>
      <w:pPr>
        <w:pStyle w:val="BodyText"/>
      </w:pPr>
      <w:r>
        <w:t xml:space="preserve">The information received for a node consists of the </w:t>
      </w:r>
      <w:r>
        <w:rPr>
          <w:rStyle w:val="InlineCode"/>
        </w:rPr>
        <w:t>NodeReady</w:t>
      </w:r>
      <w:r>
        <w:t xml:space="preserve"> condition, and a number of other conditions like </w:t>
      </w:r>
      <w:r>
        <w:rPr>
          <w:rStyle w:val="InlineCode"/>
        </w:rPr>
        <w:t>MemoryPressure</w:t>
      </w:r>
      <w:r>
        <w:t xml:space="preserve">, </w:t>
      </w:r>
      <w:r>
        <w:rPr>
          <w:rStyle w:val="InlineCode"/>
        </w:rPr>
        <w:t>DiskPressure</w:t>
      </w:r>
      <w:r>
        <w:t xml:space="preserve">, and </w:t>
      </w:r>
      <w:r>
        <w:rPr>
          <w:rStyle w:val="InlineCode"/>
        </w:rPr>
        <w:t>OutOfDisk</w:t>
      </w:r>
      <w:r>
        <w:t xml:space="preserve">. </w:t>
      </w:r>
      <w:r>
        <w:t>VKS</w:t>
      </w:r>
      <w:r>
        <w:t xml:space="preserve"> cluster management uses the value of these conditions to discover the health of the node. The status of each condition is assumed to be unchanged until the node reports a change.</w:t>
      </w:r>
    </w:p>
    <w:p>
      <w:pPr>
        <w:pStyle w:val="BodyText"/>
      </w:pPr>
      <w:r>
        <w:t>Based on the reported conditions, the health status of a node can be one of the following:</w:t>
      </w:r>
    </w:p>
    <w:p>
      <w:pPr>
        <w:pStyle w:val="BodyText"/>
        <w:numPr>
          <w:numId w:val="233"/>
        </w:numPr>
      </w:pPr>
      <w:r>
        <w:rPr>
          <w:rStyle w:val="InlineCode"/>
        </w:rPr>
        <w:t>Healthy</w:t>
      </w:r>
    </w:p>
    <w:p>
      <w:pPr>
        <w:pStyle w:val="BodyText"/>
        <w:ind w:left="480"/>
      </w:pPr>
      <w:r>
        <w:t xml:space="preserve">If </w:t>
      </w:r>
      <w:r>
        <w:rPr>
          <w:rStyle w:val="InlineCode"/>
        </w:rPr>
        <w:t>NodeReady</w:t>
      </w:r>
      <w:r>
        <w:t xml:space="preserve"> is </w:t>
      </w:r>
      <w:r>
        <w:rPr>
          <w:rStyle w:val="InlineCode"/>
        </w:rPr>
        <w:t>True</w:t>
      </w:r>
      <w:r>
        <w:t xml:space="preserve"> and all other conditions are healthy, the node is healthy.</w:t>
      </w:r>
    </w:p>
    <w:p>
      <w:pPr>
        <w:pStyle w:val="BodyText"/>
        <w:numPr>
          <w:numId w:val="233"/>
        </w:numPr>
      </w:pPr>
      <w:r>
        <w:rPr>
          <w:rStyle w:val="InlineCode"/>
        </w:rPr>
        <w:t>Unhealthy</w:t>
      </w:r>
    </w:p>
    <w:p>
      <w:pPr>
        <w:pStyle w:val="BodyText"/>
        <w:ind w:left="480"/>
      </w:pPr>
      <w:r>
        <w:t xml:space="preserve">The node is unhealthy if </w:t>
      </w:r>
      <w:r>
        <w:rPr>
          <w:rStyle w:val="InlineCode"/>
        </w:rPr>
        <w:t>NodeReady</w:t>
      </w:r>
      <w:r>
        <w:t xml:space="preserve"> is </w:t>
      </w:r>
      <w:r>
        <w:rPr>
          <w:rStyle w:val="InlineCode"/>
        </w:rPr>
        <w:t>False</w:t>
      </w:r>
      <w:r>
        <w:t xml:space="preserve">. The node is also unhealthy if </w:t>
      </w:r>
      <w:r>
        <w:rPr>
          <w:rStyle w:val="InlineCode"/>
        </w:rPr>
        <w:t>NodeReady</w:t>
      </w:r>
      <w:r>
        <w:t xml:space="preserve"> is </w:t>
      </w:r>
      <w:r>
        <w:rPr>
          <w:rStyle w:val="InlineCode"/>
        </w:rPr>
        <w:t>True</w:t>
      </w:r>
      <w:r>
        <w:t>, but more than half of the other conditions are in an unhealthy state.</w:t>
      </w:r>
    </w:p>
    <w:p>
      <w:pPr>
        <w:pStyle w:val="BodyText"/>
        <w:numPr>
          <w:numId w:val="233"/>
        </w:numPr>
      </w:pPr>
      <w:r>
        <w:rPr>
          <w:rStyle w:val="InlineCode"/>
        </w:rPr>
        <w:t>Warning</w:t>
      </w:r>
    </w:p>
    <w:p>
      <w:pPr>
        <w:pStyle w:val="BodyText"/>
        <w:ind w:left="480"/>
      </w:pPr>
      <w:r>
        <w:t xml:space="preserve">The warning status indicates that </w:t>
      </w:r>
      <w:r>
        <w:rPr>
          <w:rStyle w:val="InlineCode"/>
        </w:rPr>
        <w:t>NodeReady</w:t>
      </w:r>
      <w:r>
        <w:t xml:space="preserve"> is </w:t>
      </w:r>
      <w:r>
        <w:rPr>
          <w:rStyle w:val="InlineCode"/>
        </w:rPr>
        <w:t>True</w:t>
      </w:r>
      <w:r>
        <w:t>, and less than half of the other conditions are in an unhealthy state.</w:t>
      </w:r>
    </w:p>
    <w:p>
      <w:pPr>
        <w:pStyle w:val="BodyText"/>
        <w:numPr>
          <w:numId w:val="233"/>
        </w:numPr>
      </w:pPr>
      <w:r>
        <w:rPr>
          <w:rStyle w:val="InlineCode"/>
        </w:rPr>
        <w:t>Unknown</w:t>
      </w:r>
    </w:p>
    <w:p>
      <w:pPr>
        <w:pStyle w:val="BodyText"/>
        <w:ind w:left="480"/>
      </w:pPr>
      <w:r>
        <w:t xml:space="preserve">If </w:t>
      </w:r>
      <w:r>
        <w:rPr>
          <w:rStyle w:val="InlineCode"/>
        </w:rPr>
        <w:t>NodeReady</w:t>
      </w:r>
      <w:r>
        <w:t xml:space="preserve"> has any value other than </w:t>
      </w:r>
      <w:r>
        <w:rPr>
          <w:rStyle w:val="InlineCode"/>
        </w:rPr>
        <w:t>True</w:t>
      </w:r>
      <w:r>
        <w:t xml:space="preserve"> or </w:t>
      </w:r>
      <w:r>
        <w:rPr>
          <w:rStyle w:val="InlineCode"/>
        </w:rPr>
        <w:t>False</w:t>
      </w:r>
      <w:r>
        <w:t xml:space="preserve">, the health status of the node is </w:t>
      </w:r>
      <w:r>
        <w:rPr>
          <w:rStyle w:val="InlineCode"/>
        </w:rPr>
        <w:t>Unknown</w:t>
      </w:r>
      <w:r>
        <w:t xml:space="preserve">. The node can also have an unknown status if </w:t>
      </w:r>
      <w:r>
        <w:t>VKS</w:t>
      </w:r>
      <w:r>
        <w:t xml:space="preserve"> cluster management receives no heartbeat from the cluster for more than three minutes.</w:t>
      </w:r>
    </w:p>
    <w:p>
      <w:pPr>
        <w:pStyle w:val="SectionHeading5"/>
      </w:pPr>
      <w:r>
        <w:t>Component Health</w:t>
      </w:r>
    </w:p>
    <w:p>
      <w:pPr>
        <w:pStyle w:val="BodyText"/>
      </w:pPr>
      <w:r>
        <w:t>VKS</w:t>
      </w:r>
      <w:r>
        <w:t xml:space="preserve"> cluster management monitors the health of the following components running in the cluster:</w:t>
      </w:r>
    </w:p>
    <w:p>
      <w:pPr>
        <w:pStyle w:val="BodyText"/>
        <w:numPr>
          <w:numId w:val="234"/>
        </w:numPr>
      </w:pPr>
      <w:r>
        <w:t xml:space="preserve">The </w:t>
      </w:r>
      <w:r>
        <w:rPr>
          <w:rStyle w:val="InlineCode"/>
        </w:rPr>
        <w:t>kube-apiserver</w:t>
      </w:r>
    </w:p>
    <w:p>
      <w:pPr>
        <w:pStyle w:val="BodyText"/>
        <w:numPr>
          <w:numId w:val="234"/>
        </w:numPr>
      </w:pPr>
      <w:r>
        <w:t xml:space="preserve">The </w:t>
      </w:r>
      <w:r>
        <w:rPr>
          <w:rStyle w:val="InlineCode"/>
        </w:rPr>
        <w:t>scheduler</w:t>
      </w:r>
    </w:p>
    <w:p>
      <w:pPr>
        <w:pStyle w:val="BodyText"/>
        <w:numPr>
          <w:numId w:val="234"/>
        </w:numPr>
      </w:pPr>
      <w:r>
        <w:t xml:space="preserve">The </w:t>
      </w:r>
      <w:r>
        <w:rPr>
          <w:rStyle w:val="InlineCode"/>
        </w:rPr>
        <w:t>controller-manager</w:t>
      </w:r>
    </w:p>
    <w:p>
      <w:pPr>
        <w:pStyle w:val="BodyText"/>
        <w:numPr>
          <w:numId w:val="234"/>
        </w:numPr>
      </w:pPr>
      <w:r>
        <w:t xml:space="preserve">One or more </w:t>
      </w:r>
      <w:r>
        <w:rPr>
          <w:rStyle w:val="InlineCode"/>
        </w:rPr>
        <w:t>etcd</w:t>
      </w:r>
      <w:r>
        <w:t xml:space="preserve"> components (</w:t>
      </w:r>
      <w:r>
        <w:rPr>
          <w:rStyle w:val="InlineCode"/>
        </w:rPr>
        <w:t>etcd-0</w:t>
      </w:r>
      <w:r>
        <w:t xml:space="preserve">, </w:t>
      </w:r>
      <w:r>
        <w:rPr>
          <w:rStyle w:val="InlineCode"/>
        </w:rPr>
        <w:t>etcd-1</w:t>
      </w:r>
      <w:r>
        <w:t xml:space="preserve">, </w:t>
      </w:r>
      <w:r>
        <w:rPr>
          <w:rStyle w:val="InlineCode"/>
        </w:rPr>
        <w:t>etcd-2</w:t>
      </w:r>
      <w:r>
        <w:t>, and so on)</w:t>
      </w:r>
    </w:p>
    <w:p>
      <w:pPr>
        <w:pStyle w:val="BodyText"/>
      </w:pPr>
      <w:r>
        <w:t xml:space="preserve">The component status event reports the </w:t>
      </w:r>
      <w:r>
        <w:rPr>
          <w:rStyle w:val="InlineCode"/>
        </w:rPr>
        <w:t>Healthy</w:t>
      </w:r>
      <w:r>
        <w:t xml:space="preserve"> condition for each of these components every 45 seconds.</w:t>
      </w:r>
    </w:p>
    <w:p>
      <w:pPr>
        <w:pStyle w:val="BodyText"/>
      </w:pPr>
      <w:r>
        <w:t>The health status of each component can be one of the following:</w:t>
      </w:r>
    </w:p>
    <w:p>
      <w:pPr>
        <w:pStyle w:val="BodyText"/>
        <w:numPr>
          <w:numId w:val="235"/>
        </w:numPr>
      </w:pPr>
      <w:r>
        <w:rPr>
          <w:rStyle w:val="InlineCode"/>
        </w:rPr>
        <w:t>Healthy</w:t>
      </w:r>
    </w:p>
    <w:p>
      <w:pPr>
        <w:pStyle w:val="BodyText"/>
        <w:ind w:left="480"/>
      </w:pPr>
      <w:r>
        <w:t xml:space="preserve">If the last reported value of the </w:t>
      </w:r>
      <w:r>
        <w:rPr>
          <w:rStyle w:val="InlineCode"/>
        </w:rPr>
        <w:t>Healthy</w:t>
      </w:r>
      <w:r>
        <w:t xml:space="preserve"> condition of the component is </w:t>
      </w:r>
      <w:r>
        <w:rPr>
          <w:rStyle w:val="InlineCode"/>
        </w:rPr>
        <w:t>True</w:t>
      </w:r>
      <w:r>
        <w:t xml:space="preserve">, the component is </w:t>
      </w:r>
      <w:r>
        <w:rPr>
          <w:rStyle w:val="InlineCode"/>
        </w:rPr>
        <w:t>Healthy</w:t>
      </w:r>
      <w:r>
        <w:t>.</w:t>
      </w:r>
    </w:p>
    <w:p>
      <w:pPr>
        <w:pStyle w:val="BodyText"/>
        <w:numPr>
          <w:numId w:val="235"/>
        </w:numPr>
      </w:pPr>
      <w:r>
        <w:rPr>
          <w:rStyle w:val="InlineCode"/>
        </w:rPr>
        <w:t>Unhealthy</w:t>
      </w:r>
    </w:p>
    <w:p>
      <w:pPr>
        <w:pStyle w:val="BodyText"/>
        <w:ind w:left="480"/>
      </w:pPr>
      <w:r>
        <w:t xml:space="preserve">If the last reported value of the </w:t>
      </w:r>
      <w:r>
        <w:rPr>
          <w:rStyle w:val="InlineCode"/>
        </w:rPr>
        <w:t>Healthy</w:t>
      </w:r>
      <w:r>
        <w:t xml:space="preserve"> condition of the component is </w:t>
      </w:r>
      <w:r>
        <w:rPr>
          <w:rStyle w:val="InlineCode"/>
        </w:rPr>
        <w:t>False</w:t>
      </w:r>
      <w:r>
        <w:t xml:space="preserve">, the component is </w:t>
      </w:r>
      <w:r>
        <w:rPr>
          <w:rStyle w:val="InlineCode"/>
        </w:rPr>
        <w:t>Unhealthy</w:t>
      </w:r>
      <w:r>
        <w:t>.</w:t>
      </w:r>
    </w:p>
    <w:p>
      <w:pPr>
        <w:pStyle w:val="BodyText"/>
        <w:numPr>
          <w:numId w:val="235"/>
        </w:numPr>
      </w:pPr>
      <w:r>
        <w:rPr>
          <w:rStyle w:val="InlineCode"/>
        </w:rPr>
        <w:t>Unknown</w:t>
      </w:r>
    </w:p>
    <w:p>
      <w:pPr>
        <w:pStyle w:val="BodyText"/>
        <w:ind w:left="480"/>
      </w:pPr>
      <w:r>
        <w:t xml:space="preserve">If the last reported value of the </w:t>
      </w:r>
      <w:r>
        <w:rPr>
          <w:rStyle w:val="InlineCode"/>
        </w:rPr>
        <w:t>Healthy</w:t>
      </w:r>
      <w:r>
        <w:t xml:space="preserve"> condition of the component is </w:t>
      </w:r>
      <w:r>
        <w:rPr>
          <w:rStyle w:val="InlineCode"/>
        </w:rPr>
        <w:t>Unknown</w:t>
      </w:r>
      <w:r>
        <w:t xml:space="preserve"> or it is something other than </w:t>
      </w:r>
      <w:r>
        <w:rPr>
          <w:rStyle w:val="InlineCode"/>
        </w:rPr>
        <w:t>True</w:t>
      </w:r>
      <w:r>
        <w:t xml:space="preserve"> or </w:t>
      </w:r>
      <w:r>
        <w:rPr>
          <w:rStyle w:val="InlineCode"/>
        </w:rPr>
        <w:t>False</w:t>
      </w:r>
      <w:r>
        <w:t xml:space="preserve">, the health status of the component is </w:t>
      </w:r>
      <w:r>
        <w:rPr>
          <w:rStyle w:val="InlineCode"/>
        </w:rPr>
        <w:t>Unknown</w:t>
      </w:r>
      <w:r>
        <w:t xml:space="preserve">. The component can also be in this state if </w:t>
      </w:r>
      <w:r>
        <w:t>VKS</w:t>
      </w:r>
      <w:r>
        <w:t xml:space="preserve"> cluster management receives no heartbeat from the cluster for more than three minutes.</w:t>
      </w:r>
    </w:p>
    <w:p>
      <w:pPr>
        <w:pStyle w:val="Heading4"/>
      </w:pPr>
      <w:bookmarkStart w:id="274" w:name="Be7109467ca6244e9907b9f7d65b6b894"/>
      <w:bookmarkStart w:id="275" w:name="_Toc256000809"/>
      <w:r>
        <w:t>Hierarchy of the Resources That VKS Cluster Management Works With</w:t>
      </w:r>
      <w:bookmarkEnd w:id="275"/>
      <w:bookmarkEnd w:id="274"/>
    </w:p>
    <w:p>
      <w:pPr>
        <w:pStyle w:val="BodyText"/>
      </w:pPr>
      <w:r>
        <w:t>VCF Automation</w:t>
      </w:r>
      <w:r>
        <w:t xml:space="preserve"> and </w:t>
      </w:r>
      <w:r>
        <w:t>VKS</w:t>
      </w:r>
      <w:r>
        <w:t xml:space="preserve"> cluster management provide a hierarchy of objects to help you manage your resources. The four core resources that </w:t>
      </w:r>
      <w:r>
        <w:t>VKS</w:t>
      </w:r>
      <w:r>
        <w:t xml:space="preserve"> cluster management uses are the organization, project, cluster, and the </w:t>
      </w:r>
      <w:r>
        <w:t>VKS</w:t>
      </w:r>
      <w:r>
        <w:t xml:space="preserve"> workload cluster namespace.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Resource Hierarchy in VKS Cluster Management</w:t>
      </w:r>
    </w:p>
    <w:p>
      <w:pPr>
        <w:pStyle w:val="BodyText"/>
      </w:pPr>
      <w:r>
        <w:drawing>
          <wp:inline>
            <wp:extent cx="6324600" cy="2656929"/>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6324600" cy="2656929"/>
                    </a:xfrm>
                    <a:prstGeom prst="rect">
                      <a:avLst/>
                    </a:prstGeom>
                  </pic:spPr>
                </pic:pic>
              </a:graphicData>
            </a:graphic>
          </wp:inline>
        </w:drawing>
      </w:r>
    </w:p>
    <w:p>
      <w:pPr>
        <w:pStyle w:val="SectionHeading5"/>
      </w:pPr>
      <w:r>
        <w:t>VCF Automation Organizations</w:t>
      </w:r>
    </w:p>
    <w:p>
      <w:pPr>
        <w:pStyle w:val="BodyText"/>
      </w:pPr>
      <w:r>
        <w:t>An organization is a top-level entity used to group and manage resources, users, policies, IaaS services, and catalog entities, while maintaining a secure boundary from other organizations. Organizations offer a centralized structure for billing, access control, and resource sharing, facilitating collaboration and governance across teams and departments. The organization typically correlates to a business or possibly a line of business within a large enterprise. Under the organization are grouping objects that allow you to separate the concerns of the people that use your resources.</w:t>
      </w:r>
    </w:p>
    <w:p>
      <w:pPr>
        <w:pStyle w:val="SectionHeading5"/>
      </w:pPr>
      <w:r>
        <w:t>VCF Automation Projects</w:t>
      </w:r>
    </w:p>
    <w:p>
      <w:pPr>
        <w:pStyle w:val="BodyText"/>
      </w:pPr>
      <w:r>
        <w:t xml:space="preserve">Projects are logical representations of application teams and consist of users, groups, and resource pools they are entitled to. Projects enable you to organize your </w:t>
      </w:r>
      <w:r>
        <w:t>VKS</w:t>
      </w:r>
      <w:r>
        <w:t xml:space="preserve"> clusters into logical groupings, for example, to align with business units.</w:t>
      </w:r>
    </w:p>
    <w:p>
      <w:pPr>
        <w:pStyle w:val="BodyText"/>
      </w:pPr>
      <w:r>
        <w:t xml:space="preserve">However, projects are also tied to the underlying infrastructure. The resource pools that projects use are called </w:t>
      </w:r>
      <w:r>
        <w:t>vSphere Namespaces</w:t>
      </w:r>
      <w:r>
        <w:t xml:space="preserve">. You can add or remove namespaces to a project at any time. Clusters within the same </w:t>
      </w:r>
      <w:r>
        <w:t>vSphere Namespace</w:t>
      </w:r>
      <w:r>
        <w:t xml:space="preserve"> cannot be in different projects. Also, you cannot move a cluster between different </w:t>
      </w:r>
      <w:r>
        <w:t>vSphere Namespaces</w:t>
      </w:r>
      <w:r>
        <w:t>.</w:t>
      </w:r>
    </w:p>
    <w:p>
      <w:pPr>
        <w:pStyle w:val="BodyText"/>
      </w:pPr>
      <w:r>
        <w:t>By combining your resources into projects, you can simplify management. For example, you can apply policies or perform batch operations at the project level instead of working with separate clusters.</w:t>
      </w:r>
    </w:p>
    <w:p>
      <w:pPr>
        <w:pStyle w:val="BodyText"/>
        <w:pBdr>
          <w:top w:val="single" w:sz="8" w:space="2" w:color="D3D3D3"/>
          <w:bottom w:val="single" w:sz="8" w:space="2" w:color="D3D3D3"/>
        </w:pBdr>
      </w:pPr>
      <w:r>
        <w:rPr>
          <w:rStyle w:val="NoteLeadernote"/>
        </w:rPr>
        <w:t>Note</w:t>
        <w:tab/>
      </w:r>
      <w:r>
        <w:t xml:space="preserve">Since you can change the name of a project at any time, </w:t>
      </w:r>
      <w:r>
        <w:t>VKS</w:t>
      </w:r>
      <w:r>
        <w:t xml:space="preserve"> cluster management uses the project ID as the unique identifier for all project-scoped resources.</w:t>
      </w:r>
    </w:p>
    <w:p>
      <w:pPr>
        <w:pStyle w:val="BodyText"/>
      </w:pPr>
      <w:r>
        <w:t xml:space="preserve">You cannot delete a project if it contains a </w:t>
      </w:r>
      <w:r>
        <w:t>VKS</w:t>
      </w:r>
      <w:r>
        <w:t xml:space="preserve"> cluster.</w:t>
      </w:r>
    </w:p>
    <w:p>
      <w:pPr>
        <w:pStyle w:val="SectionHeading5"/>
      </w:pPr>
      <w:r>
        <w:t>VKS Clusters</w:t>
      </w:r>
    </w:p>
    <w:p>
      <w:pPr>
        <w:pStyle w:val="BodyText"/>
      </w:pPr>
      <w:r>
        <w:t xml:space="preserve">A </w:t>
      </w:r>
      <w:r>
        <w:t>VKS</w:t>
      </w:r>
      <w:r>
        <w:t xml:space="preserve"> cluster is a vSphere-based Kubernetes cluster that runs your workloads.</w:t>
      </w:r>
    </w:p>
    <w:p>
      <w:pPr>
        <w:pStyle w:val="BodyText"/>
      </w:pPr>
      <w:r>
        <w:t xml:space="preserve">For more information about </w:t>
      </w:r>
      <w:r>
        <w:t>VKS</w:t>
      </w:r>
      <w:r>
        <w:t xml:space="preserve"> and </w:t>
      </w:r>
      <w:r>
        <w:t>VKS</w:t>
      </w:r>
      <w:r>
        <w:t xml:space="preserve"> clusters, see the </w:t>
      </w:r>
      <w:r>
        <w:rPr>
          <w:rStyle w:val="InlineCite"/>
        </w:rPr>
        <w:t>Managing vSphere Kubernetes Service with vSphere Supervisor</w:t>
      </w:r>
      <w:r>
        <w:t xml:space="preserve"> documentation.</w:t>
      </w:r>
    </w:p>
    <w:p>
      <w:pPr>
        <w:pStyle w:val="SectionHeading5"/>
      </w:pPr>
      <w:r>
        <w:t>VKS Cluster Namespaces</w:t>
      </w:r>
    </w:p>
    <w:p>
      <w:pPr>
        <w:pStyle w:val="BodyText"/>
      </w:pPr>
      <w:r>
        <w:t xml:space="preserve">Each </w:t>
      </w:r>
      <w:r>
        <w:t>VKS</w:t>
      </w:r>
      <w:r>
        <w:t xml:space="preserve"> cluster can have one or multiple Kubernetes namespaces that you can view with </w:t>
      </w:r>
      <w:r>
        <w:t>VKS</w:t>
      </w:r>
      <w:r>
        <w:t xml:space="preserve"> cluster management. Your </w:t>
      </w:r>
      <w:r>
        <w:t>VKS</w:t>
      </w:r>
      <w:r>
        <w:t xml:space="preserve"> clusters can also have unmanaged namespaces. Unmanaged namespaces are namespaces that are created externally and that you do not manage with </w:t>
      </w:r>
      <w:r>
        <w:t>VKS</w:t>
      </w:r>
      <w:r>
        <w:t xml:space="preserve"> cluster management.</w:t>
      </w:r>
    </w:p>
    <w:p>
      <w:pPr>
        <w:pStyle w:val="BodyText"/>
        <w:pBdr>
          <w:top w:val="single" w:sz="8" w:space="2" w:color="D3D3D3"/>
          <w:bottom w:val="single" w:sz="8" w:space="2" w:color="D3D3D3"/>
        </w:pBdr>
      </w:pPr>
      <w:r>
        <w:rPr>
          <w:rStyle w:val="NoteLeadernote"/>
        </w:rPr>
        <w:t>Note</w:t>
        <w:tab/>
      </w:r>
      <w:r>
        <w:t>VKS</w:t>
      </w:r>
      <w:r>
        <w:t xml:space="preserve"> cluster namespaces are different from </w:t>
      </w:r>
      <w:r>
        <w:t>vSphere Namespaces</w:t>
      </w:r>
      <w:r>
        <w:t xml:space="preserve">. A </w:t>
      </w:r>
      <w:r>
        <w:t>vSphere Namespace</w:t>
      </w:r>
      <w:r>
        <w:t xml:space="preserve"> is a resource pool that comprises CPU, memory, and storage resources that the provider administrator allocates to organizations and projects in </w:t>
      </w:r>
      <w:r>
        <w:t>VCF Automation</w:t>
      </w:r>
      <w:r>
        <w:t xml:space="preserve">. You do not manage </w:t>
      </w:r>
      <w:r>
        <w:t>vSphere Namespaces</w:t>
      </w:r>
      <w:r>
        <w:t xml:space="preserve"> through </w:t>
      </w:r>
      <w:r>
        <w:t>VKS</w:t>
      </w:r>
      <w:r>
        <w:t xml:space="preserve"> cluster management.</w:t>
      </w:r>
    </w:p>
    <w:p>
      <w:pPr>
        <w:pStyle w:val="SectionHeading5"/>
      </w:pPr>
      <w:r>
        <w:t>Synchronization of Organizations and Projects From VCF Automation to VKS Cluster Management</w:t>
      </w:r>
    </w:p>
    <w:p>
      <w:pPr>
        <w:pStyle w:val="BodyText"/>
      </w:pPr>
      <w:r>
        <w:t xml:space="preserve">Upon deployment, </w:t>
      </w:r>
      <w:r>
        <w:t>VKS</w:t>
      </w:r>
      <w:r>
        <w:t xml:space="preserve"> cluster management subscribes to the </w:t>
      </w:r>
      <w:r>
        <w:t>VCF Automation</w:t>
      </w:r>
      <w:r>
        <w:t xml:space="preserve"> event broker service to synchronize organizations and projects. After subscribing to event broker, you get an event every time an organization or a project changes. This way </w:t>
      </w:r>
      <w:r>
        <w:t>VKS</w:t>
      </w:r>
      <w:r>
        <w:t xml:space="preserve"> cluster management remains in sync with </w:t>
      </w:r>
      <w:r>
        <w:t>VCF Automation</w:t>
      </w:r>
      <w:r>
        <w:t>. For any events that might get missed, there is also a regular periodic re-synchronization.</w:t>
      </w:r>
    </w:p>
    <w:p>
      <w:pPr>
        <w:pStyle w:val="BodyText"/>
        <w:pBdr>
          <w:top w:val="single" w:sz="8" w:space="2" w:color="D3D3D3"/>
          <w:bottom w:val="single" w:sz="8" w:space="2" w:color="D3D3D3"/>
        </w:pBdr>
      </w:pPr>
      <w:r>
        <w:rPr>
          <w:rStyle w:val="NoteLeadernote"/>
        </w:rPr>
        <w:t>Note</w:t>
        <w:tab/>
      </w:r>
      <w:r>
        <w:t>VKS</w:t>
      </w:r>
      <w:r>
        <w:t xml:space="preserve"> cluster management is not available for VM Apps organizations in </w:t>
      </w:r>
      <w:r>
        <w:t>VCF Automation</w:t>
      </w:r>
      <w:r>
        <w:t xml:space="preserve">. Those organizations and the projects in them do not get sychronized with </w:t>
      </w:r>
      <w:r>
        <w:t>VKS</w:t>
      </w:r>
      <w:r>
        <w:t xml:space="preserve"> cluster management. For more information about VM Apps organizations and All Apps organizations in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B218d2e56bab44822b70a45e608b6a4bd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Organization Management</w:t>
      </w:r>
      <w:r>
        <w:fldChar w:fldCharType="end"/>
      </w:r>
      <w:r>
        <w:t>.</w:t>
      </w:r>
    </w:p>
    <w:p>
      <w:pPr>
        <w:pStyle w:val="Heading3"/>
      </w:pPr>
      <w:bookmarkStart w:id="276" w:name="_Toc256000810"/>
      <w:r>
        <w:t>Enabling VKS Cluster Management</w:t>
      </w:r>
      <w:bookmarkEnd w:id="276"/>
    </w:p>
    <w:p>
      <w:pPr>
        <w:pStyle w:val="BodyText"/>
      </w:pPr>
      <w:r>
        <w:t>VKS</w:t>
      </w:r>
      <w:r>
        <w:t xml:space="preserve"> cluster management is a feature within </w:t>
      </w:r>
      <w:r>
        <w:t>VCF Automation</w:t>
      </w:r>
      <w:r>
        <w:t xml:space="preserve">. Starting with </w:t>
      </w:r>
      <w:r>
        <w:t>VCF</w:t>
      </w:r>
      <w:r>
        <w:t xml:space="preserve"> 9.0.1, </w:t>
      </w:r>
      <w:r>
        <w:t>VKS</w:t>
      </w:r>
      <w:r>
        <w:t xml:space="preserve"> cluster management is enabled automatically with the deployment of </w:t>
      </w:r>
      <w:r>
        <w:t>VCF Automation</w:t>
      </w:r>
      <w:r>
        <w:t xml:space="preserve"> alongside the rest of the </w:t>
      </w:r>
      <w:r>
        <w:t>VCF Automation</w:t>
      </w:r>
      <w:r>
        <w:t xml:space="preserve"> services.</w:t>
      </w:r>
    </w:p>
    <w:p>
      <w:pPr>
        <w:pStyle w:val="BodyText"/>
      </w:pPr>
      <w:r>
        <w:t xml:space="preserve">The only thing you must do to have </w:t>
      </w:r>
      <w:r>
        <w:t>VKS</w:t>
      </w:r>
      <w:r>
        <w:t xml:space="preserve"> cluster management working properly, is install the </w:t>
      </w:r>
      <w:r>
        <w:t>Supervisor</w:t>
      </w:r>
      <w:r>
        <w:t xml:space="preserve"> management proxy with the correct configuration that supports </w:t>
      </w:r>
      <w:r>
        <w:t>VKS</w:t>
      </w:r>
      <w:r>
        <w:t xml:space="preserve"> cluster management. For more information about installing the </w:t>
      </w:r>
      <w:r>
        <w:t>Supervisor</w:t>
      </w:r>
      <w:r>
        <w:t xml:space="preserve"> management proxy,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B5238fc22316b42839faa5ac4776087c1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Supervisor Management Proxy</w:t>
      </w:r>
      <w:r>
        <w:fldChar w:fldCharType="end"/>
      </w:r>
      <w:r>
        <w:t>.</w:t>
      </w:r>
    </w:p>
    <w:p>
      <w:pPr>
        <w:pStyle w:val="SectionHeading4"/>
      </w:pPr>
      <w:bookmarkStart w:id="277" w:name="_Toc256000811"/>
      <w:r>
        <w:t>Dependencies</w:t>
      </w:r>
      <w:bookmarkEnd w:id="277"/>
    </w:p>
    <w:p>
      <w:pPr>
        <w:pStyle w:val="BodyText"/>
      </w:pPr>
      <w:r>
        <w:t>VKS</w:t>
      </w:r>
      <w:r>
        <w:t xml:space="preserve"> cluster management has the following stateful dependencies:</w:t>
      </w:r>
    </w:p>
    <w:p>
      <w:pPr>
        <w:pStyle w:val="BodyText"/>
        <w:numPr>
          <w:numId w:val="236"/>
        </w:numPr>
      </w:pPr>
      <w:r>
        <w:t>PostgreSQL</w:t>
      </w:r>
    </w:p>
    <w:p>
      <w:pPr>
        <w:pStyle w:val="BodyText"/>
        <w:numPr>
          <w:numId w:val="236"/>
        </w:numPr>
      </w:pPr>
      <w:r>
        <w:t>SeaweedFS</w:t>
      </w:r>
    </w:p>
    <w:p>
      <w:pPr>
        <w:pStyle w:val="BodyText"/>
        <w:numPr>
          <w:numId w:val="236"/>
        </w:numPr>
      </w:pPr>
      <w:r>
        <w:t>Kafka</w:t>
      </w:r>
    </w:p>
    <w:p>
      <w:pPr>
        <w:pStyle w:val="BodyText"/>
        <w:numPr>
          <w:numId w:val="236"/>
        </w:numPr>
      </w:pPr>
      <w:r>
        <w:t>OCI repository</w:t>
      </w:r>
    </w:p>
    <w:p>
      <w:pPr>
        <w:pStyle w:val="SectionHeading4"/>
      </w:pPr>
      <w:bookmarkStart w:id="278" w:name="_Toc256000812"/>
      <w:r>
        <w:t>VKS Cluster Management Image Registry</w:t>
      </w:r>
      <w:bookmarkEnd w:id="278"/>
    </w:p>
    <w:p>
      <w:pPr>
        <w:pStyle w:val="BodyText"/>
      </w:pPr>
      <w:r>
        <w:t xml:space="preserve">The images that </w:t>
      </w:r>
      <w:r>
        <w:t>VKS</w:t>
      </w:r>
      <w:r>
        <w:t xml:space="preserve"> cluster management uses for the deployment of agents and extensions on </w:t>
      </w:r>
      <w:r>
        <w:t>VKS</w:t>
      </w:r>
      <w:r>
        <w:t xml:space="preserve"> clusters, are hosted on a public, unautheticated OCI repository. The default extension image registry is located at </w:t>
      </w:r>
      <w:hyperlink r:id="rId39" w:tooltip="http://projects.packages.broadcom.com" w:history="1">
        <w:r>
          <w:rPr>
            <w:color w:val="0000FF"/>
            <w:u w:val="single"/>
          </w:rPr>
          <w:t>http://projects.packages.broadcom.com</w:t>
        </w:r>
      </w:hyperlink>
      <w:r>
        <w:t>. In an air-gapped environment, you can use your own OCI-compliant registry and relocate the images that you need.</w:t>
      </w:r>
    </w:p>
    <w:p>
      <w:pPr>
        <w:pStyle w:val="SectionHeading4"/>
      </w:pPr>
      <w:bookmarkStart w:id="279" w:name="_Toc256000813"/>
      <w:r>
        <w:t>Enabling VKS Cluster Management in Air-Gapped Environments</w:t>
      </w:r>
      <w:bookmarkEnd w:id="279"/>
    </w:p>
    <w:p>
      <w:pPr>
        <w:pStyle w:val="BodyText"/>
      </w:pPr>
      <w:r>
        <w:t>VKS</w:t>
      </w:r>
      <w:r>
        <w:t xml:space="preserve"> cluster management supports relocating the extension images to a private, air-gapped OCI-compatible registry, for example Harbor. You might need a private, local registry when you configure </w:t>
      </w:r>
      <w:r>
        <w:t>VKS</w:t>
      </w:r>
      <w:r>
        <w:t xml:space="preserve"> cluster management policies or when you configure data protection for the </w:t>
      </w:r>
      <w:r>
        <w:t>VKS</w:t>
      </w:r>
      <w:r>
        <w:t xml:space="preserve"> clusters that you manage with </w:t>
      </w:r>
      <w:r>
        <w:t>VKS</w:t>
      </w:r>
      <w:r>
        <w:t xml:space="preserve"> cluster management.</w:t>
      </w:r>
    </w:p>
    <w:p>
      <w:pPr>
        <w:pStyle w:val="BodyText"/>
      </w:pPr>
      <w:r>
        <w:t>By using a local image registry you can perform the following actions.</w:t>
      </w:r>
    </w:p>
    <w:p>
      <w:pPr>
        <w:pStyle w:val="BodyText"/>
        <w:numPr>
          <w:numId w:val="237"/>
        </w:numPr>
      </w:pPr>
      <w:r>
        <w:t xml:space="preserve">Configure </w:t>
      </w:r>
      <w:r>
        <w:t>VKS</w:t>
      </w:r>
      <w:r>
        <w:t xml:space="preserve"> cluster management to deploy its agents and extensions from your private registry.</w:t>
      </w:r>
    </w:p>
    <w:p>
      <w:pPr>
        <w:pStyle w:val="BodyText"/>
        <w:numPr>
          <w:numId w:val="237"/>
        </w:numPr>
      </w:pPr>
      <w:r>
        <w:t>Run security and vulnerability scans on all images in your private registry before deploying workloads to your production clusters.</w:t>
      </w:r>
    </w:p>
    <w:p>
      <w:pPr>
        <w:pStyle w:val="BodyText"/>
        <w:numPr>
          <w:numId w:val="237"/>
        </w:numPr>
      </w:pPr>
      <w:r>
        <w:t xml:space="preserve">Control when </w:t>
      </w:r>
      <w:r>
        <w:t>VKS</w:t>
      </w:r>
      <w:r>
        <w:t xml:space="preserve"> cluster management agent and extension images are replicated from the default image registry to your private registry, for example, off-peak for edge locations.</w:t>
      </w:r>
    </w:p>
    <w:p>
      <w:pPr>
        <w:pStyle w:val="BodyText"/>
      </w:pPr>
      <w:r>
        <w:t xml:space="preserve">That registry must be unauthenticated and reachable by </w:t>
      </w:r>
      <w:r>
        <w:t>VKS</w:t>
      </w:r>
      <w:r>
        <w:t xml:space="preserve"> cluster management and by all </w:t>
      </w:r>
      <w:r>
        <w:t>VKS</w:t>
      </w:r>
      <w:r>
        <w:t xml:space="preserve"> clusters. Other requirements for using a local registry also exist:</w:t>
      </w:r>
    </w:p>
    <w:p>
      <w:pPr>
        <w:pStyle w:val="BodyText"/>
        <w:numPr>
          <w:numId w:val="238"/>
        </w:numPr>
      </w:pPr>
      <w:r>
        <w:t>Supported protocols are HTTP and HTTPS.</w:t>
      </w:r>
    </w:p>
    <w:p>
      <w:pPr>
        <w:pStyle w:val="BodyText"/>
        <w:numPr>
          <w:numId w:val="238"/>
        </w:numPr>
      </w:pPr>
      <w:r>
        <w:t>The registry must be OCI-compliant.</w:t>
      </w:r>
    </w:p>
    <w:p>
      <w:pPr>
        <w:pStyle w:val="BodyText"/>
        <w:numPr>
          <w:numId w:val="238"/>
        </w:numPr>
      </w:pPr>
      <w:r>
        <w:t>You need internal or trusted CA certificate for clusters that you preconfigured with CA certificates.</w:t>
      </w:r>
    </w:p>
    <w:p>
      <w:pPr>
        <w:pStyle w:val="BodyText"/>
      </w:pPr>
      <w:r>
        <w:t>To start using your own image registry, you need to perform the following actions:</w:t>
      </w:r>
    </w:p>
    <w:p>
      <w:pPr>
        <w:pStyle w:val="BodyText"/>
        <w:numPr>
          <w:numId w:val="239"/>
        </w:numPr>
      </w:pPr>
      <w:r>
        <w:t>Download and relocate extension images to your own private OCI registry.</w:t>
      </w:r>
    </w:p>
    <w:p>
      <w:pPr>
        <w:pStyle w:val="BodyText"/>
        <w:numPr>
          <w:numId w:val="239"/>
        </w:numPr>
      </w:pPr>
      <w:r>
        <w:t>Run the following bash commands:</w:t>
      </w:r>
    </w:p>
    <w:p>
      <w:pPr>
        <w:pStyle w:val="CodeBlock"/>
        <w:ind w:left="480"/>
      </w:pPr>
      <w:r>
        <w:t>K8S_TOKEN=$(kubectl get secrets synthetic-checker-krp -n vmsp-platform -ojsonpath={.data.token} | base64 -d)
PRIMARY_VIP=$(kubectl get gateway/vmsp-gateway -n istio-ingress -ojson | jq -j '.status.addresses[0].value')
curl -k -XPOST -H "Authorization: Bearer $K8S_TOKEN" \
  https://${PRIMARY_VIP}:30005/webhooks/vmsp-platform/kubectl/patch-merge \
  -d '{"name":"vcfa-bundle", "namespace": "prelude", "type": "packageDeployment", "patch":{"spec":{"values":{"vksm":{"extensionsRegistry": "hello.world.registry.com"}}}}}'
</w:t>
      </w:r>
    </w:p>
    <w:p>
      <w:pPr>
        <w:pStyle w:val="BodyText"/>
        <w:pBdr>
          <w:top w:val="single" w:sz="8" w:space="2" w:color="D3D3D3"/>
          <w:bottom w:val="single" w:sz="8" w:space="2" w:color="D3D3D3"/>
        </w:pBdr>
      </w:pPr>
      <w:r>
        <w:rPr>
          <w:rStyle w:val="NoteLeadernote"/>
        </w:rPr>
        <w:t>Note</w:t>
        <w:tab/>
      </w:r>
      <w:r>
        <w:t xml:space="preserve">After you run the commands, the extension registry address changes to </w:t>
      </w:r>
      <w:r>
        <w:rPr>
          <w:rStyle w:val="InlineCode"/>
        </w:rPr>
        <w:t>hello.world.registry.com</w:t>
      </w:r>
      <w:r>
        <w:t>.</w:t>
      </w:r>
    </w:p>
    <w:p>
      <w:pPr>
        <w:pStyle w:val="Heading4"/>
      </w:pPr>
      <w:bookmarkStart w:id="280" w:name="_Toc256000814"/>
      <w:r>
        <w:t>What is the Supervisor Auto-Attach Service?</w:t>
      </w:r>
      <w:bookmarkEnd w:id="280"/>
    </w:p>
    <w:p>
      <w:pPr>
        <w:pStyle w:val="BodyText"/>
      </w:pPr>
      <w:r>
        <w:t xml:space="preserve">A </w:t>
      </w:r>
      <w:r>
        <w:t>VKS</w:t>
      </w:r>
      <w:r>
        <w:t xml:space="preserve"> cluster must be attached to </w:t>
      </w:r>
      <w:r>
        <w:t>VKS</w:t>
      </w:r>
      <w:r>
        <w:t xml:space="preserve"> cluster management to activate its functionality. The attachment happens automatically and is realized by the </w:t>
      </w:r>
      <w:r>
        <w:t>Supervisor</w:t>
      </w:r>
      <w:r>
        <w:t xml:space="preserve"> auto-attach service. Both new and existing </w:t>
      </w:r>
      <w:r>
        <w:t>VKS</w:t>
      </w:r>
      <w:r>
        <w:t xml:space="preserve"> clusters are automatically attached to </w:t>
      </w:r>
      <w:r>
        <w:t>VKS</w:t>
      </w:r>
      <w:r>
        <w:t xml:space="preserve"> cluster management.</w:t>
      </w:r>
    </w:p>
    <w:p>
      <w:pPr>
        <w:pStyle w:val="BodyText"/>
      </w:pPr>
      <w:r>
        <w:t xml:space="preserve">Auto-attach is a service that runs on each </w:t>
      </w:r>
      <w:r>
        <w:t>Supervisor</w:t>
      </w:r>
      <w:r>
        <w:t xml:space="preserve">. When a </w:t>
      </w:r>
      <w:r>
        <w:t>Supervisor</w:t>
      </w:r>
      <w:r>
        <w:t xml:space="preserve"> is registered with </w:t>
      </w:r>
      <w:r>
        <w:t>VCF Automation</w:t>
      </w:r>
      <w:r>
        <w:t xml:space="preserve">, the auto-attach service is installed on the </w:t>
      </w:r>
      <w:r>
        <w:t>Supervisor</w:t>
      </w:r>
      <w:r>
        <w:t xml:space="preserve"> automatically. The auto-attach </w:t>
      </w:r>
      <w:r>
        <w:t>Supervisor</w:t>
      </w:r>
      <w:r>
        <w:t xml:space="preserve"> service is automatically configured at the time it gets enabled. The </w:t>
      </w:r>
      <w:r>
        <w:t>Supervisor</w:t>
      </w:r>
      <w:r>
        <w:t xml:space="preserve"> auto-attach service watches </w:t>
      </w:r>
      <w:r>
        <w:t>VKS</w:t>
      </w:r>
      <w:r>
        <w:t xml:space="preserve"> cluster resources across all </w:t>
      </w:r>
      <w:r>
        <w:t>vSphere Namespaces</w:t>
      </w:r>
      <w:r>
        <w:t xml:space="preserve"> inside the </w:t>
      </w:r>
      <w:r>
        <w:t>Supervisor</w:t>
      </w:r>
      <w:r>
        <w:t xml:space="preserve">. When the auto-attach service detects a new cluster, the service starts the process of attaching the cluster to </w:t>
      </w:r>
      <w:r>
        <w:t>VKS</w:t>
      </w:r>
      <w:r>
        <w:t xml:space="preserve"> cluster management. When the cluster is in ready state, the auto-attach agent takes the response payload, which is in a YAML format, and applies it to the detected cluster.</w:t>
      </w:r>
    </w:p>
    <w:p>
      <w:pPr>
        <w:pStyle w:val="BodyText"/>
      </w:pPr>
      <w:r>
        <w:t xml:space="preserve">The auto-attach service maintains a cluster's organization and project tenancy. The auto-attach service also manages information about proxy and registry location. This means that when a cluster is detected and attached to </w:t>
      </w:r>
      <w:r>
        <w:t>VKS</w:t>
      </w:r>
      <w:r>
        <w:t xml:space="preserve"> cluster management, the cluster keeps its place within a organization and project.</w:t>
      </w:r>
    </w:p>
    <w:p>
      <w:pPr>
        <w:pStyle w:val="BodyText"/>
      </w:pPr>
      <w:r>
        <w:t xml:space="preserve">When a </w:t>
      </w:r>
      <w:r>
        <w:t>VCF Automation</w:t>
      </w:r>
      <w:r>
        <w:t xml:space="preserve"> instance is deployed, the auto-attach service is enabled and in ready-to-be-installed state. When the provider administrator registers a </w:t>
      </w:r>
      <w:r>
        <w:t>Supervisor</w:t>
      </w:r>
      <w:r>
        <w:t xml:space="preserve"> to the </w:t>
      </w:r>
      <w:r>
        <w:t>VCF Automation</w:t>
      </w:r>
      <w:r>
        <w:t xml:space="preserve"> instance, the auto-attach service gets installed on the </w:t>
      </w:r>
      <w:r>
        <w:t>Supervisor</w:t>
      </w:r>
      <w:r>
        <w:t xml:space="preserve"> automatically.</w:t>
      </w:r>
    </w:p>
    <w:p>
      <w:pPr>
        <w:pStyle w:val="BodyText"/>
      </w:pPr>
      <w:r>
        <w:t xml:space="preserve">When you delete a </w:t>
      </w:r>
      <w:r>
        <w:t>VKS</w:t>
      </w:r>
      <w:r>
        <w:t xml:space="preserve"> cluster, the cluster gets automatically detached from </w:t>
      </w:r>
      <w:r>
        <w:t>VKS</w:t>
      </w:r>
      <w:r>
        <w:t xml:space="preserve"> cluster management.</w:t>
      </w:r>
    </w:p>
    <w:p>
      <w:pPr>
        <w:pStyle w:val="Heading4"/>
      </w:pPr>
      <w:bookmarkStart w:id="281" w:name="B5238fc22316b42839faa5ac4776087c1"/>
      <w:bookmarkStart w:id="282" w:name="_Toc256000815"/>
      <w:r>
        <w:t>Configuring the Supervisor Management Proxy</w:t>
      </w:r>
      <w:bookmarkEnd w:id="282"/>
      <w:bookmarkEnd w:id="281"/>
    </w:p>
    <w:p>
      <w:pPr>
        <w:pStyle w:val="BodyText"/>
      </w:pPr>
      <w:r>
        <w:t xml:space="preserve">You need a proxy to enable the communication between the auto-attach service that runs in the </w:t>
      </w:r>
      <w:r>
        <w:t>Supervisor</w:t>
      </w:r>
      <w:r>
        <w:t xml:space="preserve"> and the </w:t>
      </w:r>
      <w:r>
        <w:t>VKS</w:t>
      </w:r>
      <w:r>
        <w:t xml:space="preserve"> cluster management feature in </w:t>
      </w:r>
      <w:r>
        <w:t>VCF Automation</w:t>
      </w:r>
      <w:r>
        <w:t xml:space="preserve"> . Proxy is also necessary so that a </w:t>
      </w:r>
      <w:r>
        <w:t>VKS</w:t>
      </w:r>
      <w:r>
        <w:t xml:space="preserve"> cluster can reach the </w:t>
      </w:r>
      <w:r>
        <w:t>VKS</w:t>
      </w:r>
      <w:r>
        <w:t xml:space="preserve"> cluster management service endpoint.</w:t>
      </w:r>
    </w:p>
    <w:p>
      <w:pPr>
        <w:pStyle w:val="BodyText"/>
        <w:pBdr>
          <w:top w:val="single" w:sz="8" w:space="2" w:color="D3D3D3"/>
          <w:bottom w:val="single" w:sz="8" w:space="2" w:color="D3D3D3"/>
        </w:pBdr>
      </w:pPr>
      <w:r>
        <w:rPr>
          <w:rStyle w:val="NoteLeaderimportant"/>
        </w:rPr>
        <w:t>Important</w:t>
        <w:tab/>
      </w:r>
      <w:r>
        <w:t xml:space="preserve">You can configure the </w:t>
      </w:r>
      <w:r>
        <w:t>Supervisor</w:t>
      </w:r>
      <w:r>
        <w:t xml:space="preserve"> management proxy only if you have the </w:t>
      </w:r>
      <w:r>
        <w:rPr>
          <w:rStyle w:val="InlineUI"/>
        </w:rPr>
        <w:t>Provider Administrator</w:t>
      </w:r>
      <w:r>
        <w:t xml:space="preserve"> role.</w:t>
      </w:r>
    </w:p>
    <w:p>
      <w:pPr>
        <w:pStyle w:val="BodyText"/>
      </w:pPr>
      <w:r>
        <w:t xml:space="preserve">The </w:t>
      </w:r>
      <w:r>
        <w:t>Supervisor</w:t>
      </w:r>
      <w:r>
        <w:t xml:space="preserve"> auto-attach service is deployed in and uses the workload network, which might not have connectivity to </w:t>
      </w:r>
      <w:r>
        <w:t>VCF Automation</w:t>
      </w:r>
      <w:r>
        <w:t xml:space="preserve">. </w:t>
      </w:r>
      <w:r>
        <w:t>VKS</w:t>
      </w:r>
      <w:r>
        <w:t xml:space="preserve"> clusters use a workload network that might be different from the network that the </w:t>
      </w:r>
      <w:r>
        <w:t>Supervisor</w:t>
      </w:r>
      <w:r>
        <w:t xml:space="preserve"> uses. </w:t>
      </w:r>
      <w:r>
        <w:t>VKS</w:t>
      </w:r>
      <w:r>
        <w:t xml:space="preserve"> cluster management uses the management network. To overcome the network isolation between the management and workload networks, you need a </w:t>
      </w:r>
      <w:r>
        <w:t>Supervisor</w:t>
      </w:r>
      <w:r>
        <w:t xml:space="preserve"> management proxy. Because </w:t>
      </w:r>
      <w:r>
        <w:t>VKS</w:t>
      </w:r>
      <w:r>
        <w:t xml:space="preserve"> cluster management runs in the management network and the auto-attach service and the </w:t>
      </w:r>
      <w:r>
        <w:t>VKS</w:t>
      </w:r>
      <w:r>
        <w:t xml:space="preserve"> clusters use the workload network, you must deploy the </w:t>
      </w:r>
      <w:r>
        <w:t>Supervisor</w:t>
      </w:r>
      <w:r>
        <w:t xml:space="preserve"> management proxy with a configuration that supports </w:t>
      </w:r>
      <w:r>
        <w:t>VKS</w:t>
      </w:r>
      <w:r>
        <w:t xml:space="preserve"> cluster management.</w:t>
      </w:r>
    </w:p>
    <w:p>
      <w:pPr>
        <w:pStyle w:val="BodyText"/>
      </w:pPr>
      <w:r>
        <w:t xml:space="preserve">The </w:t>
      </w:r>
      <w:r>
        <w:t>Supervisor</w:t>
      </w:r>
      <w:r>
        <w:t xml:space="preserve"> proxy configuration is loaded into the auto-attach service. When a </w:t>
      </w:r>
      <w:r>
        <w:t>VKS</w:t>
      </w:r>
      <w:r>
        <w:t xml:space="preserve"> cluster is detected and attached to </w:t>
      </w:r>
      <w:r>
        <w:t>VKS</w:t>
      </w:r>
      <w:r>
        <w:t xml:space="preserve"> cluster management, the auto-attach service configures the proxy in the manifest of the cluster that is attached.</w:t>
      </w:r>
    </w:p>
    <w:p>
      <w:pPr>
        <w:pStyle w:val="SectionHeading5"/>
      </w:pPr>
      <w:r>
        <w:t>Proxy Requirements for Managing Clusters with VKS Cluster Management</w:t>
      </w:r>
    </w:p>
    <w:p>
      <w:pPr>
        <w:pStyle w:val="BodyText"/>
        <w:numPr>
          <w:numId w:val="240"/>
        </w:numPr>
      </w:pPr>
      <w:r>
        <w:t xml:space="preserve">The proxy must support HTTP 2.0 traffic because the </w:t>
      </w:r>
      <w:r>
        <w:t>VKS</w:t>
      </w:r>
      <w:r>
        <w:t xml:space="preserve"> cluster management cluster agent extensions communicate using gRPC protocol over HTTP 2.0.</w:t>
      </w:r>
    </w:p>
    <w:p>
      <w:pPr>
        <w:pStyle w:val="BodyText"/>
        <w:numPr>
          <w:numId w:val="240"/>
        </w:numPr>
      </w:pPr>
      <w:r>
        <w:t>If your proxy uses SSL inspection, you must enable the streaming of large objects in the settings of your proxy.</w:t>
      </w:r>
    </w:p>
    <w:p>
      <w:pPr>
        <w:pStyle w:val="SectionHeading5"/>
      </w:pPr>
      <w:r>
        <w:t>Configure the Supervisor Management Proxy to Enable VKS Cluster Management</w:t>
      </w:r>
    </w:p>
    <w:p>
      <w:pPr>
        <w:pStyle w:val="BodyText"/>
      </w:pPr>
      <w:r>
        <w:t xml:space="preserve">So that the auto-attach and </w:t>
      </w:r>
      <w:r>
        <w:t>VKS</w:t>
      </w:r>
      <w:r>
        <w:t xml:space="preserve"> cluster management can function properly, you must deploy the </w:t>
      </w:r>
      <w:r>
        <w:t>Supervisor</w:t>
      </w:r>
      <w:r>
        <w:t xml:space="preserve"> management proxy with the following configuration:</w:t>
      </w:r>
    </w:p>
    <w:p>
      <w:pPr>
        <w:pStyle w:val="CodeBlock"/>
      </w:pPr>
      <w:r>
        <w:t xml:space="preserve">vksmHTTPRemoteEndpoint:
  host: "&lt;vcfa-url&gt;/vksm"
  port: 443
vksmAPIPort: 10094 </w:t>
      </w:r>
    </w:p>
    <w:p>
      <w:pPr>
        <w:pStyle w:val="Heading3"/>
      </w:pPr>
      <w:bookmarkStart w:id="283" w:name="_Toc256000816"/>
      <w:r>
        <w:t>Configuring Role-Based Access Control to VKS Cluster Management Resources</w:t>
      </w:r>
      <w:bookmarkEnd w:id="283"/>
    </w:p>
    <w:p>
      <w:pPr>
        <w:pStyle w:val="BodyText"/>
      </w:pPr>
      <w:r>
        <w:t xml:space="preserve">As an organization administrator, you secure the resources in your organization by controlling which users and groups can see and edit them. As part of </w:t>
      </w:r>
      <w:r>
        <w:t>VCF Automation</w:t>
      </w:r>
      <w:r>
        <w:t xml:space="preserve">, </w:t>
      </w:r>
      <w:r>
        <w:t>VKS</w:t>
      </w:r>
      <w:r>
        <w:t xml:space="preserve"> cluster management uses the secure-by-default predefined </w:t>
      </w:r>
      <w:r>
        <w:t>VCF Automation</w:t>
      </w:r>
      <w:r>
        <w:t xml:space="preserve"> roles and rights to let you manage user permissions at each level of the hierarchical structure of your organization. You do not need to make any additional configurations.</w:t>
      </w:r>
    </w:p>
    <w:p>
      <w:pPr>
        <w:pStyle w:val="BodyText"/>
      </w:pPr>
      <w:r>
        <w:t xml:space="preserve">In </w:t>
      </w:r>
      <w:r>
        <w:t>VCF Automation</w:t>
      </w:r>
      <w:r>
        <w:t xml:space="preserve">, there are no user roles specific to </w:t>
      </w:r>
      <w:r>
        <w:t>VKS</w:t>
      </w:r>
      <w:r>
        <w:t xml:space="preserve"> cluster management. However, starting with </w:t>
      </w:r>
      <w:r>
        <w:t>VCF</w:t>
      </w:r>
      <w:r>
        <w:t xml:space="preserve"> 9.0.1, new </w:t>
      </w:r>
      <w:r>
        <w:rPr>
          <w:rStyle w:val="InlineCode"/>
        </w:rPr>
        <w:t>View</w:t>
      </w:r>
      <w:r>
        <w:t xml:space="preserve"> and </w:t>
      </w:r>
      <w:r>
        <w:rPr>
          <w:rStyle w:val="InlineCode"/>
        </w:rPr>
        <w:t>Manage</w:t>
      </w:r>
      <w:r>
        <w:t xml:space="preserve"> rights are introduced and bundled into the existing </w:t>
      </w:r>
      <w:r>
        <w:t>VCF Automation</w:t>
      </w:r>
      <w:r>
        <w:t xml:space="preserve"> roles.</w:t>
      </w:r>
    </w:p>
    <w:p>
      <w:pPr>
        <w:pStyle w:val="BodyText"/>
        <w:numPr>
          <w:numId w:val="241"/>
        </w:numPr>
      </w:pPr>
      <w:r>
        <w:rPr>
          <w:rStyle w:val="InlineCode"/>
        </w:rPr>
        <w:t>Administrator View</w:t>
      </w:r>
      <w:r>
        <w:t xml:space="preserve"> (</w:t>
      </w:r>
      <w:r>
        <w:rPr>
          <w:rStyle w:val="InlineCode"/>
        </w:rPr>
        <w:t>View</w:t>
      </w:r>
      <w:r>
        <w:t xml:space="preserve"> right)</w:t>
      </w:r>
    </w:p>
    <w:p>
      <w:pPr>
        <w:pStyle w:val="BodyText"/>
        <w:ind w:left="480"/>
      </w:pPr>
      <w:r>
        <w:t xml:space="preserve">Roles that have the </w:t>
      </w:r>
      <w:r>
        <w:rPr>
          <w:rStyle w:val="InlineCode"/>
        </w:rPr>
        <w:t>Administrator View</w:t>
      </w:r>
      <w:r>
        <w:t xml:space="preserve"> permissions can access all parts of the </w:t>
      </w:r>
      <w:r>
        <w:t>VKS</w:t>
      </w:r>
      <w:r>
        <w:t xml:space="preserve"> cluster management UI at the project or organization level but cannot perform any actions.</w:t>
      </w:r>
    </w:p>
    <w:p>
      <w:pPr>
        <w:pStyle w:val="BodyText"/>
        <w:numPr>
          <w:numId w:val="241"/>
        </w:numPr>
      </w:pPr>
      <w:r>
        <w:rPr>
          <w:rStyle w:val="InlineCode"/>
        </w:rPr>
        <w:t>Administrator Full Control</w:t>
      </w:r>
      <w:r>
        <w:t xml:space="preserve"> (</w:t>
      </w:r>
      <w:r>
        <w:rPr>
          <w:rStyle w:val="InlineCode"/>
        </w:rPr>
        <w:t>Manage</w:t>
      </w:r>
      <w:r>
        <w:t xml:space="preserve"> right)</w:t>
      </w:r>
    </w:p>
    <w:p>
      <w:pPr>
        <w:pStyle w:val="BodyText"/>
        <w:ind w:left="480"/>
      </w:pPr>
      <w:r>
        <w:t xml:space="preserve">Roles that have the </w:t>
      </w:r>
      <w:r>
        <w:rPr>
          <w:rStyle w:val="InlineCode"/>
        </w:rPr>
        <w:t>Administrator Full Control</w:t>
      </w:r>
      <w:r>
        <w:t xml:space="preserve"> permissions can access all parts of </w:t>
      </w:r>
      <w:r>
        <w:t>VKS</w:t>
      </w:r>
      <w:r>
        <w:t xml:space="preserve"> cluster management UI and perform all actions at the project or organization level.</w:t>
      </w:r>
    </w:p>
    <w:p>
      <w:pPr>
        <w:pStyle w:val="BodyText"/>
      </w:pPr>
      <w:r>
        <w:t xml:space="preserve">For detailed information about </w:t>
      </w:r>
      <w:r>
        <w:t>VCF Automation</w:t>
      </w:r>
      <w:r>
        <w:t xml:space="preserve"> organization and project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B146d770842104303aba5c7b7adf26c4a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Predefined User Roles in VCF Automation</w:t>
      </w:r>
      <w:r>
        <w:fldChar w:fldCharType="end"/>
      </w:r>
      <w:r>
        <w:t>.</w:t>
      </w:r>
    </w:p>
    <w:p>
      <w:pPr>
        <w:pStyle w:val="BodyText"/>
      </w:pPr>
      <w:r>
        <w:t xml:space="preserve">If the existing roles do not fit your needs, you can create a custom role for use in the context of </w:t>
      </w:r>
      <w:r>
        <w:t>VKS</w:t>
      </w:r>
      <w:r>
        <w:t xml:space="preserve"> cluster management. The custom roles that you create are specific to your organization. For instructions how to create a custom role with </w:t>
      </w:r>
      <w:r>
        <w:t>VKS</w:t>
      </w:r>
      <w:r>
        <w:t xml:space="preserve"> cluster management-related rights,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Bad1341470d3d4688867034b4c01dc34d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Custom VKS Cluster Management Role</w:t>
      </w:r>
      <w:r>
        <w:fldChar w:fldCharType="end"/>
      </w:r>
      <w:r>
        <w:t>.</w:t>
      </w:r>
    </w:p>
    <w:p>
      <w:pPr>
        <w:pStyle w:val="SectionHeading4"/>
      </w:pPr>
      <w:bookmarkStart w:id="284" w:name="_Toc256000817"/>
      <w:r>
        <w:t>Viewing Roles and Their Associated Rights</w:t>
      </w:r>
      <w:bookmarkEnd w:id="284"/>
    </w:p>
    <w:p>
      <w:pPr>
        <w:pStyle w:val="BodyText"/>
      </w:pPr>
      <w:r>
        <w:t xml:space="preserve">To view the rights associated with a particular role, in the </w:t>
      </w:r>
      <w:r>
        <w:t>VCF Automation</w:t>
      </w:r>
      <w:r>
        <w:t xml:space="preserve"> organization portal, you must navigate to </w:t>
      </w:r>
      <w:r>
        <w:rPr>
          <w:rStyle w:val="InlineUI"/>
        </w:rPr>
        <w:t>Administer</w:t>
      </w:r>
      <w:r>
        <w:rPr>
          <w:rStyle w:val="InlineUI"/>
        </w:rPr>
        <w:t xml:space="preserve"> &gt; </w:t>
      </w:r>
      <w:r>
        <w:rPr>
          <w:rStyle w:val="InlineUI"/>
        </w:rPr>
        <w:t>Acces Control</w:t>
      </w:r>
      <w:r>
        <w:rPr>
          <w:rStyle w:val="InlineUI"/>
        </w:rPr>
        <w:t xml:space="preserve"> &gt; </w:t>
      </w:r>
      <w:r>
        <w:rPr>
          <w:rStyle w:val="InlineUI"/>
        </w:rPr>
        <w:t>Roles</w:t>
      </w:r>
      <w:r>
        <w:t xml:space="preserve">. For each role, you see the list of all rights that the role has. The rights related to </w:t>
      </w:r>
      <w:r>
        <w:t>VKS</w:t>
      </w:r>
      <w:r>
        <w:t xml:space="preserve"> cluster management are at the bottom of the list, under the </w:t>
      </w:r>
      <w:r>
        <w:rPr>
          <w:rStyle w:val="InlineUI"/>
        </w:rPr>
        <w:t>VCF Services</w:t>
      </w:r>
      <w:r>
        <w:t xml:space="preserve"> category.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List of Rights for the Oganization Administrator Role</w:t>
      </w:r>
    </w:p>
    <w:p>
      <w:pPr>
        <w:pStyle w:val="BodyText"/>
      </w:pPr>
      <w:r>
        <w:drawing>
          <wp:inline>
            <wp:extent cx="6324600" cy="3389093"/>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40"/>
                    <a:stretch>
                      <a:fillRect/>
                    </a:stretch>
                  </pic:blipFill>
                  <pic:spPr>
                    <a:xfrm>
                      <a:off x="0" y="0"/>
                      <a:ext cx="6324600" cy="3389093"/>
                    </a:xfrm>
                    <a:prstGeom prst="rect">
                      <a:avLst/>
                    </a:prstGeom>
                  </pic:spPr>
                </pic:pic>
              </a:graphicData>
            </a:graphic>
          </wp:inline>
        </w:drawing>
      </w:r>
    </w:p>
    <w:p>
      <w:pPr>
        <w:pStyle w:val="SectionHeading4"/>
      </w:pPr>
      <w:bookmarkStart w:id="285" w:name="_Toc256000818"/>
      <w:r>
        <w:t>VCF Automation Predefined Roles and Associated Permissions Specific to VKS Cluster Management</w:t>
      </w:r>
      <w:bookmarkEnd w:id="285"/>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4"/>
        <w:gridCol w:w="2291"/>
        <w:gridCol w:w="2459"/>
        <w:gridCol w:w="33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VCF Automation</w:t>
            </w:r>
            <w:r>
              <w:t xml:space="preserve"> User Role</w:t>
            </w:r>
          </w:p>
        </w:tc>
        <w:tc>
          <w:tcPr>
            <w:tcBorders>
              <w:left w:val="nil"/>
              <w:right w:val="nil"/>
            </w:tcBorders>
            <w:shd w:val="clear" w:color="auto" w:fill="E1E1E1"/>
            <w:tcMar>
              <w:top w:w="60" w:type="dxa"/>
              <w:bottom w:w="60" w:type="dxa"/>
            </w:tcMar>
          </w:tcPr>
          <w:p>
            <w:pPr>
              <w:pStyle w:val="TableHeaderText"/>
            </w:pPr>
            <w:r>
              <w:t>VKS</w:t>
            </w:r>
            <w:r>
              <w:t xml:space="preserve"> Cluster Management View Permissions</w:t>
            </w:r>
          </w:p>
        </w:tc>
        <w:tc>
          <w:tcPr>
            <w:tcBorders>
              <w:left w:val="nil"/>
              <w:right w:val="nil"/>
            </w:tcBorders>
            <w:shd w:val="clear" w:color="auto" w:fill="E1E1E1"/>
            <w:tcMar>
              <w:top w:w="60" w:type="dxa"/>
              <w:bottom w:w="60" w:type="dxa"/>
            </w:tcMar>
          </w:tcPr>
          <w:p>
            <w:pPr>
              <w:pStyle w:val="TableHeaderText"/>
            </w:pPr>
            <w:r>
              <w:t>VKS</w:t>
            </w:r>
            <w:r>
              <w:t xml:space="preserve"> Cluster Management Full Control Permissions</w:t>
            </w:r>
          </w:p>
        </w:tc>
        <w:tc>
          <w:tcPr>
            <w:tcBorders>
              <w:left w:val="nil"/>
              <w:right w:val="nil"/>
            </w:tcBorders>
            <w:shd w:val="clear" w:color="auto" w:fill="E1E1E1"/>
            <w:tcMar>
              <w:top w:w="60" w:type="dxa"/>
              <w:bottom w:w="60" w:type="dxa"/>
            </w:tcMar>
          </w:tcPr>
          <w:p>
            <w:pPr>
              <w:pStyle w:val="TableHeaderText"/>
            </w:pPr>
            <w:r>
              <w:t xml:space="preserve">Allowed </w:t>
            </w:r>
            <w:r>
              <w:t>VKS</w:t>
            </w:r>
            <w:r>
              <w:t xml:space="preserve"> Cluster Management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Administrator</w:t>
            </w:r>
          </w:p>
        </w:tc>
        <w:tc>
          <w:tcPr>
            <w:tcBorders>
              <w:left w:val="nil"/>
              <w:right w:val="nil"/>
            </w:tcBorders>
          </w:tcPr>
          <w:p>
            <w:pPr>
              <w:pStyle w:val="TableBodyText"/>
            </w:pPr>
            <w:r>
              <w:t>Included</w:t>
            </w:r>
          </w:p>
        </w:tc>
        <w:tc>
          <w:tcPr>
            <w:tcBorders>
              <w:left w:val="nil"/>
              <w:right w:val="nil"/>
            </w:tcBorders>
          </w:tcPr>
          <w:p>
            <w:pPr>
              <w:pStyle w:val="TableBodyText"/>
            </w:pPr>
            <w:r>
              <w:t>Included</w:t>
            </w:r>
          </w:p>
        </w:tc>
        <w:tc>
          <w:tcPr>
            <w:tcBorders>
              <w:left w:val="nil"/>
              <w:right w:val="nil"/>
            </w:tcBorders>
          </w:tcPr>
          <w:p>
            <w:pPr>
              <w:pStyle w:val="TableBodyText"/>
              <w:numPr>
                <w:numId w:val="242"/>
              </w:numPr>
            </w:pPr>
            <w:r>
              <w:t>Sees everything in the</w:t>
            </w:r>
          </w:p>
          <w:p>
            <w:pPr>
              <w:pStyle w:val="TableBodyText"/>
              <w:ind w:left="480"/>
            </w:pPr>
            <w:r>
              <w:t>VKS</w:t>
            </w:r>
            <w:r>
              <w:t xml:space="preserve"> cluster management UI</w:t>
            </w:r>
          </w:p>
          <w:p>
            <w:pPr>
              <w:pStyle w:val="TableBodyText"/>
              <w:numPr>
                <w:numId w:val="242"/>
              </w:numPr>
            </w:pPr>
            <w:r>
              <w:t>Can perform all actions in</w:t>
            </w:r>
          </w:p>
          <w:p>
            <w:pPr>
              <w:pStyle w:val="TableBodyText"/>
              <w:ind w:left="480"/>
            </w:pPr>
            <w:r>
              <w:t>VKS</w:t>
            </w:r>
            <w:r>
              <w:t xml:space="preserve"> cluster management</w:t>
            </w:r>
          </w:p>
          <w:p>
            <w:pPr>
              <w:pStyle w:val="TableBodyText"/>
              <w:numPr>
                <w:numId w:val="242"/>
              </w:numPr>
            </w:pPr>
            <w:r>
              <w:t>All actions are within a single 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Auditor</w:t>
            </w:r>
          </w:p>
        </w:tc>
        <w:tc>
          <w:tcPr>
            <w:tcBorders>
              <w:left w:val="nil"/>
              <w:right w:val="nil"/>
            </w:tcBorders>
          </w:tcPr>
          <w:p>
            <w:pPr>
              <w:pStyle w:val="TableBodyText"/>
            </w:pPr>
            <w:r>
              <w:t>Included</w:t>
            </w:r>
          </w:p>
        </w:tc>
        <w:tc>
          <w:tcPr>
            <w:tcBorders>
              <w:left w:val="nil"/>
              <w:right w:val="nil"/>
            </w:tcBorders>
          </w:tcPr>
          <w:p>
            <w:pPr>
              <w:pStyle w:val="TableBodyText"/>
            </w:pPr>
            <w:r>
              <w:t>Not included</w:t>
            </w:r>
          </w:p>
        </w:tc>
        <w:tc>
          <w:tcPr>
            <w:tcBorders>
              <w:left w:val="nil"/>
              <w:right w:val="nil"/>
            </w:tcBorders>
          </w:tcPr>
          <w:p>
            <w:pPr>
              <w:pStyle w:val="TableBodyText"/>
              <w:numPr>
                <w:numId w:val="243"/>
              </w:numPr>
            </w:pPr>
            <w:r>
              <w:t>Sees everything in the</w:t>
            </w:r>
          </w:p>
          <w:p>
            <w:pPr>
              <w:pStyle w:val="TableBodyText"/>
              <w:ind w:left="480"/>
            </w:pPr>
            <w:r>
              <w:t>VKS</w:t>
            </w:r>
            <w:r>
              <w:t xml:space="preserve"> cluster management UI</w:t>
            </w:r>
          </w:p>
          <w:p>
            <w:pPr>
              <w:pStyle w:val="TableBodyText"/>
              <w:numPr>
                <w:numId w:val="243"/>
              </w:numPr>
            </w:pPr>
            <w:r>
              <w:t>All actions are within a single 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User</w:t>
            </w:r>
          </w:p>
        </w:tc>
        <w:tc>
          <w:tcPr>
            <w:tcBorders>
              <w:left w:val="nil"/>
              <w:right w:val="nil"/>
            </w:tcBorders>
          </w:tcPr>
          <w:p>
            <w:pPr>
              <w:pStyle w:val="TableBodyText"/>
            </w:pPr>
            <w:r>
              <w:t>Not included</w:t>
            </w:r>
          </w:p>
        </w:tc>
        <w:tc>
          <w:tcPr>
            <w:tcBorders>
              <w:left w:val="nil"/>
              <w:right w:val="nil"/>
            </w:tcBorders>
          </w:tcPr>
          <w:p>
            <w:pPr>
              <w:pStyle w:val="TableBodyText"/>
            </w:pPr>
            <w:r>
              <w:t>Not included</w:t>
            </w:r>
          </w:p>
        </w:tc>
        <w:tc>
          <w:tcPr>
            <w:tcBorders>
              <w:left w:val="nil"/>
              <w:right w:val="nil"/>
            </w:tcBorders>
          </w:tcPr>
          <w:p>
            <w:pPr>
              <w:pStyle w:val="TableBodyText"/>
            </w:pPr>
            <w:r>
              <w:t>Does not see anything related to</w:t>
            </w:r>
          </w:p>
          <w:p>
            <w:pPr>
              <w:pStyle w:val="TableBodyText"/>
            </w:pPr>
            <w:r>
              <w:t>VKS</w:t>
            </w:r>
            <w:r>
              <w:t xml:space="preserve"> cluster management unless the user is assigned a proper project role.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Administrator</w:t>
            </w:r>
          </w:p>
        </w:tc>
        <w:tc>
          <w:tcPr>
            <w:tcBorders>
              <w:left w:val="nil"/>
              <w:right w:val="nil"/>
            </w:tcBorders>
          </w:tcPr>
          <w:p>
            <w:pPr>
              <w:pStyle w:val="TableBodyText"/>
            </w:pPr>
            <w:r>
              <w:t>Included</w:t>
            </w:r>
          </w:p>
        </w:tc>
        <w:tc>
          <w:tcPr>
            <w:tcBorders>
              <w:left w:val="nil"/>
              <w:right w:val="nil"/>
            </w:tcBorders>
          </w:tcPr>
          <w:p>
            <w:pPr>
              <w:pStyle w:val="TableBodyText"/>
            </w:pPr>
            <w:r>
              <w:t>Included</w:t>
            </w:r>
          </w:p>
        </w:tc>
        <w:tc>
          <w:tcPr>
            <w:tcBorders>
              <w:left w:val="nil"/>
              <w:right w:val="nil"/>
            </w:tcBorders>
          </w:tcPr>
          <w:p>
            <w:pPr>
              <w:pStyle w:val="TableBodyText"/>
              <w:numPr>
                <w:numId w:val="244"/>
              </w:numPr>
            </w:pPr>
            <w:r>
              <w:t xml:space="preserve">Sees everything related to </w:t>
            </w:r>
            <w:r>
              <w:t>VKS</w:t>
            </w:r>
            <w:r>
              <w:t xml:space="preserve"> cluster management in the scope of their project</w:t>
            </w:r>
          </w:p>
          <w:p>
            <w:pPr>
              <w:pStyle w:val="TableBodyText"/>
              <w:numPr>
                <w:numId w:val="244"/>
              </w:numPr>
            </w:pPr>
            <w:r>
              <w:t>Can perform all actions</w:t>
            </w:r>
          </w:p>
          <w:p>
            <w:pPr>
              <w:pStyle w:val="TableBodyText"/>
              <w:ind w:left="480"/>
            </w:pPr>
            <w:r>
              <w:t>in</w:t>
            </w:r>
          </w:p>
          <w:p>
            <w:pPr>
              <w:pStyle w:val="TableBodyText"/>
              <w:ind w:left="480"/>
            </w:pPr>
            <w:r>
              <w:t>VKS</w:t>
            </w:r>
            <w:r>
              <w:t xml:space="preserve"> cluster management</w:t>
            </w:r>
          </w:p>
          <w:p>
            <w:pPr>
              <w:pStyle w:val="TableBodyText"/>
              <w:numPr>
                <w:numId w:val="244"/>
              </w:numPr>
            </w:pPr>
            <w:r>
              <w:t>All actions are within the scope of their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Auditor</w:t>
            </w:r>
          </w:p>
        </w:tc>
        <w:tc>
          <w:tcPr>
            <w:tcBorders>
              <w:left w:val="nil"/>
              <w:right w:val="nil"/>
            </w:tcBorders>
          </w:tcPr>
          <w:p>
            <w:pPr>
              <w:pStyle w:val="TableBodyText"/>
            </w:pPr>
            <w:r>
              <w:t>Included</w:t>
            </w:r>
          </w:p>
        </w:tc>
        <w:tc>
          <w:tcPr>
            <w:tcBorders>
              <w:left w:val="nil"/>
              <w:right w:val="nil"/>
            </w:tcBorders>
          </w:tcPr>
          <w:p>
            <w:pPr>
              <w:pStyle w:val="TableBodyText"/>
            </w:pPr>
            <w:r>
              <w:t>Not included</w:t>
            </w:r>
          </w:p>
        </w:tc>
        <w:tc>
          <w:tcPr>
            <w:tcBorders>
              <w:left w:val="nil"/>
              <w:right w:val="nil"/>
            </w:tcBorders>
          </w:tcPr>
          <w:p>
            <w:pPr>
              <w:pStyle w:val="TableBodyText"/>
            </w:pPr>
            <w:r>
              <w:t xml:space="preserve">Sees everything related to </w:t>
            </w:r>
            <w:r>
              <w:t>VKS</w:t>
            </w:r>
            <w:r>
              <w:t xml:space="preserve"> cluster management in the scope of their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Advanced User</w:t>
            </w:r>
          </w:p>
        </w:tc>
        <w:tc>
          <w:tcPr>
            <w:tcBorders>
              <w:left w:val="nil"/>
              <w:right w:val="nil"/>
            </w:tcBorders>
          </w:tcPr>
          <w:p>
            <w:pPr>
              <w:pStyle w:val="TableBodyText"/>
            </w:pPr>
            <w:r>
              <w:t>Not included</w:t>
            </w:r>
          </w:p>
        </w:tc>
        <w:tc>
          <w:tcPr>
            <w:tcBorders>
              <w:left w:val="nil"/>
              <w:right w:val="nil"/>
            </w:tcBorders>
          </w:tcPr>
          <w:p>
            <w:pPr>
              <w:pStyle w:val="TableBodyText"/>
            </w:pPr>
            <w:r>
              <w:t>Not included</w:t>
            </w:r>
          </w:p>
        </w:tc>
        <w:tc>
          <w:tcPr>
            <w:tcBorders>
              <w:left w:val="nil"/>
              <w:right w:val="nil"/>
            </w:tcBorders>
          </w:tcPr>
          <w:p>
            <w:pPr>
              <w:pStyle w:val="TableBodyText"/>
            </w:pPr>
            <w:r>
              <w:t>Does not see anyhing related to</w:t>
            </w:r>
          </w:p>
          <w:p>
            <w:pPr>
              <w:pStyle w:val="TableBodyText"/>
            </w:pPr>
            <w:r>
              <w:t>VKS</w:t>
            </w:r>
            <w:r>
              <w:t xml:space="preserve"> cluster management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User</w:t>
            </w:r>
          </w:p>
        </w:tc>
        <w:tc>
          <w:tcPr>
            <w:tcBorders>
              <w:left w:val="nil"/>
              <w:right w:val="nil"/>
            </w:tcBorders>
          </w:tcPr>
          <w:p>
            <w:pPr>
              <w:pStyle w:val="TableBodyText"/>
            </w:pPr>
            <w:r>
              <w:t>Not included</w:t>
            </w:r>
          </w:p>
        </w:tc>
        <w:tc>
          <w:tcPr>
            <w:tcBorders>
              <w:left w:val="nil"/>
              <w:right w:val="nil"/>
            </w:tcBorders>
          </w:tcPr>
          <w:p>
            <w:pPr>
              <w:pStyle w:val="TableBodyText"/>
            </w:pPr>
            <w:r>
              <w:t>Not included</w:t>
            </w:r>
          </w:p>
        </w:tc>
        <w:tc>
          <w:tcPr>
            <w:tcBorders>
              <w:left w:val="nil"/>
              <w:right w:val="nil"/>
            </w:tcBorders>
          </w:tcPr>
          <w:p>
            <w:pPr>
              <w:pStyle w:val="TableBodyText"/>
            </w:pPr>
            <w:r>
              <w:t>Does not see anything related to</w:t>
            </w:r>
          </w:p>
          <w:p>
            <w:pPr>
              <w:pStyle w:val="TableBodyText"/>
            </w:pPr>
            <w:r>
              <w:t>VKS</w:t>
            </w:r>
            <w:r>
              <w:t xml:space="preserve"> cluster management</w:t>
            </w:r>
          </w:p>
        </w:tc>
      </w:tr>
    </w:tbl>
    <w:p>
      <w:pPr>
        <w:pStyle w:val="Heading4"/>
        <w:spacing w:before="120"/>
      </w:pPr>
      <w:bookmarkStart w:id="286" w:name="Bad1341470d3d4688867034b4c01dc34d"/>
      <w:bookmarkStart w:id="287" w:name="_Toc256000819"/>
      <w:r>
        <w:t>Create a Custom VKS Cluster Management Role</w:t>
      </w:r>
      <w:bookmarkEnd w:id="287"/>
      <w:bookmarkEnd w:id="286"/>
    </w:p>
    <w:p>
      <w:pPr>
        <w:pStyle w:val="BodyText"/>
      </w:pPr>
      <w:r>
        <w:t xml:space="preserve">You can create a custom role and grant </w:t>
      </w:r>
      <w:r>
        <w:t>VKS</w:t>
      </w:r>
      <w:r>
        <w:t xml:space="preserve"> cluster management rights to the newly created role.</w:t>
      </w:r>
    </w:p>
    <w:p>
      <w:pPr>
        <w:pStyle w:val="BodyText"/>
      </w:pPr>
      <w:r>
        <w:t>VCF Automation</w:t>
      </w:r>
      <w:r>
        <w:t xml:space="preserve"> provides a set of standard roles that you can use to establish a baseline security posture for your organization. To suit the needs of your organization, you can also create custom roles that have a more specific focus. For example, your organization has a small group that manages the data protection aspects of all your clusters. In such a case, you can create a custom role that contains all of the necessary permissions for this set of tasks without adding other administrative permissions that the members of this group do not need.</w:t>
      </w:r>
    </w:p>
    <w:p>
      <w:pPr>
        <w:pStyle w:val="BodyText"/>
      </w:pPr>
      <w:r>
        <w:t>For more information about users, organization roles and their associated rights, see</w:t>
      </w:r>
      <w:r>
        <w:t>Managing Rights and Roles</w:t>
      </w:r>
      <w:r>
        <w:t>.</w:t>
      </w:r>
    </w:p>
    <w:p>
      <w:pPr>
        <w:pStyle w:val="BodyText"/>
      </w:pPr>
      <w:r>
        <w:rPr>
          <w:rStyle w:val="Strong"/>
        </w:rPr>
        <w:t>Prerequisites</w:t>
      </w:r>
    </w:p>
    <w:p>
      <w:pPr>
        <w:pStyle w:val="BodyText"/>
      </w:pPr>
      <w:r>
        <w:t xml:space="preserve">Verify that you have the </w:t>
      </w:r>
      <w:r>
        <w:rPr>
          <w:rStyle w:val="InlineUI"/>
        </w:rPr>
        <w:t>Organization Administrator</w:t>
      </w:r>
      <w:r>
        <w:t xml:space="preserve"> role.</w:t>
      </w:r>
    </w:p>
    <w:p>
      <w:pPr>
        <w:pStyle w:val="BodyText"/>
      </w:pPr>
      <w:r>
        <w:rPr>
          <w:rStyle w:val="Strong"/>
        </w:rPr>
        <w:t>Procedure</w:t>
      </w:r>
    </w:p>
    <w:p>
      <w:pPr>
        <w:pStyle w:val="BodyText"/>
        <w:numPr>
          <w:numId w:val="245"/>
        </w:numPr>
      </w:pPr>
      <w:r>
        <w:t xml:space="preserve">Log in to the </w:t>
      </w:r>
      <w:r>
        <w:t>VCF Automation</w:t>
      </w:r>
      <w:r>
        <w:t xml:space="preserve"> organization portal.</w:t>
      </w:r>
    </w:p>
    <w:p>
      <w:pPr>
        <w:pStyle w:val="BodyText"/>
        <w:numPr>
          <w:numId w:val="245"/>
        </w:numPr>
      </w:pPr>
      <w:r>
        <w:t xml:space="preserve">Click the </w:t>
      </w:r>
      <w:r>
        <w:rPr>
          <w:rStyle w:val="InlineUI"/>
        </w:rPr>
        <w:t>Administer</w:t>
      </w:r>
      <w:r>
        <w:t xml:space="preserve"> tab.</w:t>
      </w:r>
    </w:p>
    <w:p>
      <w:pPr>
        <w:pStyle w:val="BodyText"/>
        <w:numPr>
          <w:numId w:val="245"/>
        </w:numPr>
      </w:pPr>
      <w:r>
        <w:t xml:space="preserve">From the left-hand navigation, select </w:t>
      </w:r>
      <w:r>
        <w:rPr>
          <w:rStyle w:val="InlineUI"/>
        </w:rPr>
        <w:t>Access Control</w:t>
      </w:r>
      <w:r>
        <w:t>.</w:t>
      </w:r>
    </w:p>
    <w:p>
      <w:pPr>
        <w:pStyle w:val="BodyText"/>
        <w:numPr>
          <w:numId w:val="245"/>
        </w:numPr>
      </w:pPr>
      <w:r>
        <w:t xml:space="preserve">To view the roles for the organization, click the </w:t>
      </w:r>
      <w:r>
        <w:rPr>
          <w:rStyle w:val="InlineUI"/>
        </w:rPr>
        <w:t>Roles</w:t>
      </w:r>
      <w:r>
        <w:t xml:space="preserve"> tab.</w:t>
      </w:r>
    </w:p>
    <w:p>
      <w:pPr>
        <w:pStyle w:val="BodyText"/>
        <w:numPr>
          <w:numId w:val="245"/>
        </w:numPr>
      </w:pPr>
      <w:r>
        <w:t xml:space="preserve">Click the </w:t>
      </w:r>
      <w:r>
        <w:rPr>
          <w:rStyle w:val="InlineUI"/>
        </w:rPr>
        <w:t>Roles</w:t>
      </w:r>
      <w:r>
        <w:t xml:space="preserve"> button.</w:t>
      </w:r>
    </w:p>
    <w:p>
      <w:pPr>
        <w:pStyle w:val="BodyText"/>
        <w:numPr>
          <w:numId w:val="245"/>
        </w:numPr>
      </w:pPr>
      <w:r>
        <w:t xml:space="preserve">In the </w:t>
      </w:r>
      <w:r>
        <w:rPr>
          <w:rStyle w:val="InlineUI"/>
        </w:rPr>
        <w:t>Add Role</w:t>
      </w:r>
      <w:r>
        <w:t xml:space="preserve"> dialog box, enter a name and, optionally, a description of the role in the respective boxes.</w:t>
      </w:r>
    </w:p>
    <w:p>
      <w:pPr>
        <w:pStyle w:val="BodyText"/>
        <w:numPr>
          <w:numId w:val="245"/>
        </w:numPr>
      </w:pPr>
      <w:r>
        <w:t xml:space="preserve">Select the </w:t>
      </w:r>
      <w:r>
        <w:t>VKS</w:t>
      </w:r>
      <w:r>
        <w:t xml:space="preserve"> Cluster Management rights for the role.</w:t>
      </w:r>
    </w:p>
    <w:p>
      <w:pPr>
        <w:pStyle w:val="BodyText"/>
        <w:numPr>
          <w:ilvl w:val="1"/>
          <w:numId w:val="245"/>
        </w:numPr>
      </w:pPr>
      <w:r>
        <w:t xml:space="preserve">Under the </w:t>
      </w:r>
      <w:r>
        <w:rPr>
          <w:rStyle w:val="InlineUI"/>
        </w:rPr>
        <w:t>VCF Services</w:t>
      </w:r>
      <w:r>
        <w:t xml:space="preserve"> category, expand </w:t>
      </w:r>
      <w:r>
        <w:rPr>
          <w:rStyle w:val="InlineUI"/>
        </w:rPr>
        <w:t>Cluster Management</w:t>
      </w:r>
      <w:r>
        <w:t>.</w:t>
      </w:r>
    </w:p>
    <w:p>
      <w:pPr>
        <w:pStyle w:val="BodyText"/>
        <w:numPr>
          <w:ilvl w:val="1"/>
          <w:numId w:val="245"/>
        </w:numPr>
      </w:pPr>
      <w:r>
        <w:t xml:space="preserve">If you want to give only </w:t>
      </w:r>
      <w:r>
        <w:rPr>
          <w:rStyle w:val="InlineCode"/>
        </w:rPr>
        <w:t>View</w:t>
      </w:r>
      <w:r>
        <w:t xml:space="preserve"> rights to the new role, select the </w:t>
      </w:r>
      <w:r>
        <w:rPr>
          <w:rStyle w:val="InlineUI"/>
        </w:rPr>
        <w:t>Administrator View</w:t>
      </w:r>
      <w:r>
        <w:t xml:space="preserve"> check box.</w:t>
      </w:r>
    </w:p>
    <w:p>
      <w:pPr>
        <w:pStyle w:val="BodyText"/>
        <w:numPr>
          <w:ilvl w:val="1"/>
          <w:numId w:val="245"/>
        </w:numPr>
      </w:pPr>
      <w:r>
        <w:t xml:space="preserve">If you want to give full rights to the new role, select the </w:t>
      </w:r>
      <w:r>
        <w:rPr>
          <w:rStyle w:val="InlineUI"/>
        </w:rPr>
        <w:t>Administrator Full Control</w:t>
      </w:r>
      <w:r>
        <w:t xml:space="preserve"> check box.</w:t>
      </w:r>
    </w:p>
    <w:p>
      <w:pPr>
        <w:pStyle w:val="BodyText"/>
        <w:ind w:left="960"/>
      </w:pPr>
      <w:r>
        <w:t xml:space="preserve">Selecting </w:t>
      </w:r>
      <w:r>
        <w:rPr>
          <w:rStyle w:val="InlineUI"/>
        </w:rPr>
        <w:t>Administrator Full Control</w:t>
      </w:r>
      <w:r>
        <w:t xml:space="preserve"> automatically selects </w:t>
      </w:r>
      <w:r>
        <w:rPr>
          <w:rStyle w:val="InlineUI"/>
        </w:rPr>
        <w:t>Administrator View</w:t>
      </w:r>
      <w:r>
        <w:t xml:space="preserve">. The opposite is not true. Selecting the </w:t>
      </w:r>
      <w:r>
        <w:rPr>
          <w:rStyle w:val="InlineUI"/>
        </w:rPr>
        <w:t>Administrator View</w:t>
      </w:r>
      <w:r>
        <w:t xml:space="preserve"> does not automatically select </w:t>
      </w:r>
      <w:r>
        <w:rPr>
          <w:rStyle w:val="InlineUI"/>
        </w:rPr>
        <w:t>Administrator Full Control</w:t>
      </w:r>
      <w:r>
        <w:t>.</w:t>
      </w:r>
    </w:p>
    <w:p>
      <w:pPr>
        <w:pStyle w:val="BodyText"/>
        <w:numPr>
          <w:numId w:val="245"/>
        </w:numPr>
      </w:pPr>
      <w:r>
        <w:t xml:space="preserve">Click </w:t>
      </w:r>
      <w:r>
        <w:rPr>
          <w:rStyle w:val="InlineUI"/>
        </w:rPr>
        <w:t>Save</w:t>
      </w:r>
      <w:r>
        <w:t>.</w:t>
      </w:r>
    </w:p>
    <w:p>
      <w:pPr>
        <w:pStyle w:val="BodyText"/>
      </w:pPr>
      <w:r>
        <w:rPr>
          <w:rStyle w:val="Strong"/>
        </w:rPr>
        <w:t>Results</w:t>
      </w:r>
    </w:p>
    <w:p>
      <w:pPr>
        <w:pStyle w:val="BodyText"/>
      </w:pPr>
      <w:r>
        <w:t>The new role appears in the list of roles.</w:t>
      </w:r>
    </w:p>
    <w:p>
      <w:pPr>
        <w:pStyle w:val="Heading3"/>
      </w:pPr>
      <w:bookmarkStart w:id="288" w:name="B5544aafc83ef4102bfe2b8f7cb46ef96"/>
      <w:bookmarkStart w:id="289" w:name="_Toc256000820"/>
      <w:r>
        <w:t>Working With VKS Cluster Management Policies</w:t>
      </w:r>
      <w:bookmarkEnd w:id="289"/>
      <w:bookmarkEnd w:id="288"/>
    </w:p>
    <w:p>
      <w:pPr>
        <w:pStyle w:val="BodyText"/>
      </w:pPr>
      <w:r>
        <w:t xml:space="preserve">You manage the operation and security posture of your </w:t>
      </w:r>
      <w:r>
        <w:t>VKS</w:t>
      </w:r>
      <w:r>
        <w:t xml:space="preserve"> clusters by creating and using policies of various types.</w:t>
      </w:r>
    </w:p>
    <w:p>
      <w:pPr>
        <w:pStyle w:val="SectionHeading4"/>
      </w:pPr>
      <w:bookmarkStart w:id="290" w:name="_Toc256000821"/>
      <w:r>
        <w:t>VKS Cluster Management Policy Types</w:t>
      </w:r>
      <w:bookmarkEnd w:id="290"/>
    </w:p>
    <w:p>
      <w:pPr>
        <w:pStyle w:val="BodyText"/>
      </w:pPr>
      <w:r>
        <w:t>Policies allow you to provide a set of rules that govern your organization and all the objects it contains.</w:t>
      </w:r>
    </w:p>
    <w:p>
      <w:pPr>
        <w:pStyle w:val="BodyText"/>
      </w:pPr>
      <w:r>
        <w:t>Five policy types exist in</w:t>
      </w:r>
      <w:r>
        <w:t>VKS</w:t>
      </w:r>
      <w:r>
        <w:t xml:space="preserve"> cluster management.</w:t>
      </w:r>
    </w:p>
    <w:p>
      <w:pPr>
        <w:pStyle w:val="BodyText"/>
        <w:numPr>
          <w:numId w:val="246"/>
        </w:numPr>
      </w:pPr>
      <w:r>
        <w:t>Security policy</w:t>
      </w:r>
    </w:p>
    <w:p>
      <w:pPr>
        <w:pStyle w:val="BodyText"/>
        <w:ind w:left="480"/>
      </w:pPr>
      <w:r>
        <w:t xml:space="preserve">Security policies enable you to manage the security context in which deployed pods operate in your clusters by imposing constraints on your clusters that define what pods can do and which resources they have access to. For more information about security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B284b82fa898e41fc87083592201ccc5c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Pod Security with VKS Cluster Management Security Policies</w:t>
      </w:r>
      <w:r>
        <w:fldChar w:fldCharType="end"/>
      </w:r>
      <w:r>
        <w:t>.</w:t>
      </w:r>
    </w:p>
    <w:p>
      <w:pPr>
        <w:pStyle w:val="BodyText"/>
        <w:numPr>
          <w:numId w:val="246"/>
        </w:numPr>
      </w:pPr>
      <w:r>
        <w:t>Image registry policy</w:t>
      </w:r>
    </w:p>
    <w:p>
      <w:pPr>
        <w:pStyle w:val="BodyText"/>
        <w:ind w:left="480"/>
      </w:pPr>
      <w:r>
        <w:t xml:space="preserve">Image registry policies enable you to specify the source registries from which an image can be pulled. For more information about image registry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B3c48819a61fc4f1a9da59541504ee373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Image Registry Policies</w:t>
      </w:r>
      <w:r>
        <w:fldChar w:fldCharType="end"/>
      </w:r>
      <w:r>
        <w:t>.</w:t>
      </w:r>
    </w:p>
    <w:p>
      <w:pPr>
        <w:pStyle w:val="BodyText"/>
        <w:numPr>
          <w:numId w:val="246"/>
        </w:numPr>
      </w:pPr>
      <w:r>
        <w:t>Quota policy</w:t>
      </w:r>
    </w:p>
    <w:p>
      <w:pPr>
        <w:pStyle w:val="BodyText"/>
        <w:ind w:left="480"/>
      </w:pPr>
      <w:r>
        <w:t xml:space="preserve">Quota policies enable you to constrain the resources used in your clusters, as aggregate quantities across specified namespaces, using preconfigured and custom templates. For more information about quota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Bfe058cce137d43f2afd547f829883c03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Quota Policies</w:t>
      </w:r>
      <w:r>
        <w:fldChar w:fldCharType="end"/>
      </w:r>
    </w:p>
    <w:p>
      <w:pPr>
        <w:pStyle w:val="BodyText"/>
        <w:numPr>
          <w:numId w:val="246"/>
        </w:numPr>
      </w:pPr>
      <w:r>
        <w:t>Mutation policy</w:t>
      </w:r>
    </w:p>
    <w:p>
      <w:pPr>
        <w:pStyle w:val="BodyText"/>
        <w:ind w:left="480"/>
      </w:pPr>
      <w:r>
        <w:t xml:space="preserve">Mutation policies enable you to alter resources before they are admitted to the cluster. For more information about mutation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Bcfc6516f9b924715ad43cc903dc20e4d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Mutation Policies</w:t>
      </w:r>
      <w:r>
        <w:fldChar w:fldCharType="end"/>
      </w:r>
      <w:r>
        <w:t>.</w:t>
      </w:r>
    </w:p>
    <w:p>
      <w:pPr>
        <w:pStyle w:val="BodyText"/>
        <w:numPr>
          <w:numId w:val="246"/>
        </w:numPr>
      </w:pPr>
      <w:r>
        <w:t>Custom policy</w:t>
      </w:r>
    </w:p>
    <w:p>
      <w:pPr>
        <w:pStyle w:val="BodyText"/>
        <w:ind w:left="480"/>
      </w:pPr>
      <w:r>
        <w:t xml:space="preserve">Custom policies enable you to implement additional business rules, using templates that you define, to enforce policies that are not already addressed using the other built-in policy types. For more information about custom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B6a446f5acac04b4f82aa88a52d5247b5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Custom Policies</w:t>
      </w:r>
      <w:r>
        <w:fldChar w:fldCharType="end"/>
      </w:r>
      <w:r>
        <w:t>.</w:t>
      </w:r>
    </w:p>
    <w:p>
      <w:pPr>
        <w:pStyle w:val="BodyText"/>
      </w:pPr>
      <w:r>
        <w:t xml:space="preserve">Out of these five policies, only the quota policy type is implemented by using the Kubernetes-native </w:t>
      </w:r>
      <w:r>
        <w:rPr>
          <w:rStyle w:val="InlineCode"/>
        </w:rPr>
        <w:t>ResourceQuota</w:t>
      </w:r>
      <w:r>
        <w:t xml:space="preserve"> objects,. The rest of the policy types use the open-source OPA Gatekeeper as the policy engine.</w:t>
      </w:r>
    </w:p>
    <w:p>
      <w:pPr>
        <w:pStyle w:val="BodyText"/>
      </w:pPr>
      <w:r>
        <w:t>You can apply policies at any level of the hierarchy - the organization, the project, or cluster levels.</w:t>
      </w:r>
    </w:p>
    <w:p>
      <w:pPr>
        <w:pStyle w:val="SectionHeading4"/>
      </w:pPr>
      <w:bookmarkStart w:id="291" w:name="_Toc256000822"/>
      <w:r>
        <w:t>Policy Inheritance</w:t>
      </w:r>
      <w:bookmarkEnd w:id="291"/>
    </w:p>
    <w:p>
      <w:pPr>
        <w:pStyle w:val="BodyText"/>
      </w:pPr>
      <w:r>
        <w:t xml:space="preserve">In the </w:t>
      </w:r>
      <w:r>
        <w:t>VKS</w:t>
      </w:r>
      <w:r>
        <w:t xml:space="preserve"> cluster management resource hierarchy, there are three levels at which you can create policies:</w:t>
      </w:r>
    </w:p>
    <w:p>
      <w:pPr>
        <w:pStyle w:val="BodyText"/>
        <w:numPr>
          <w:numId w:val="247"/>
        </w:numPr>
      </w:pPr>
      <w:r>
        <w:t>Organization</w:t>
      </w:r>
    </w:p>
    <w:p>
      <w:pPr>
        <w:pStyle w:val="BodyText"/>
        <w:numPr>
          <w:numId w:val="247"/>
        </w:numPr>
      </w:pPr>
      <w:r>
        <w:t>Project</w:t>
      </w:r>
    </w:p>
    <w:p>
      <w:pPr>
        <w:pStyle w:val="BodyText"/>
        <w:numPr>
          <w:numId w:val="247"/>
        </w:numPr>
      </w:pPr>
      <w:r>
        <w:t>VKS</w:t>
      </w:r>
      <w:r>
        <w:t xml:space="preserve"> cluster</w:t>
      </w:r>
    </w:p>
    <w:p>
      <w:pPr>
        <w:pStyle w:val="BodyText"/>
      </w:pPr>
      <w:r>
        <w:t>You can create direct policies at any level. But policies are also propagated down the hierarchy tree. Every object inherits the policies defined for its parent objects. For example, when you create a security policy at the project level, all clusters within that project inherit the applicable policy. Additionally, the project also inherits policy definitions from its parent organization, if there are policies created and applied to that organization.</w:t>
      </w:r>
    </w:p>
    <w:p>
      <w:pPr>
        <w:pStyle w:val="SectionHeading4"/>
      </w:pPr>
      <w:bookmarkStart w:id="292" w:name="_Toc256000823"/>
      <w:r>
        <w:t>VKS Cluster Management Policies and Gatekeeper</w:t>
      </w:r>
      <w:bookmarkEnd w:id="292"/>
    </w:p>
    <w:p>
      <w:pPr>
        <w:pStyle w:val="BodyText"/>
      </w:pPr>
      <w:r>
        <w:t xml:space="preserve">Some of the policy types in </w:t>
      </w:r>
      <w:r>
        <w:t>VKS</w:t>
      </w:r>
      <w:r>
        <w:t xml:space="preserve"> cluster management are implemented using OPA Gatekeeper. These policy types include security policy, image registry policy, and mutation policy. When you implement one of these policies, </w:t>
      </w:r>
      <w:r>
        <w:t>VKS</w:t>
      </w:r>
      <w:r>
        <w:t xml:space="preserve"> cluster management installs Gatekeeper on the cluster and maintains that installation while you have </w:t>
      </w:r>
      <w:r>
        <w:t>VKS</w:t>
      </w:r>
      <w:r>
        <w:t xml:space="preserve"> cluster management policies applied to that cluster.</w:t>
      </w:r>
    </w:p>
    <w:p>
      <w:pPr>
        <w:pStyle w:val="BodyText"/>
      </w:pPr>
      <w:r>
        <w:t xml:space="preserve">If there is an installation of Gatekeeper on the cluster that was not installed by </w:t>
      </w:r>
      <w:r>
        <w:t>VKS</w:t>
      </w:r>
      <w:r>
        <w:t xml:space="preserve"> cluster management , then </w:t>
      </w:r>
      <w:r>
        <w:t>VKS</w:t>
      </w:r>
      <w:r>
        <w:t xml:space="preserve"> cluster management does not alter or maintain that installation. In many cases, this situation does not impact the functionality of the policy. However, because Gatekeeper was not installed and configured by </w:t>
      </w:r>
      <w:r>
        <w:t>VKS</w:t>
      </w:r>
      <w:r>
        <w:t xml:space="preserve"> cluster management , Gatekeeper-based policies implemented through </w:t>
      </w:r>
      <w:r>
        <w:t>VKS</w:t>
      </w:r>
      <w:r>
        <w:t xml:space="preserve"> cluster management might not function as expected. This situation raises an </w:t>
      </w:r>
      <w:r>
        <w:rPr>
          <w:rStyle w:val="InlineUI"/>
        </w:rPr>
        <w:t>Incompatibility</w:t>
      </w:r>
      <w:r>
        <w:t xml:space="preserve"> insight that can be viewed on the </w:t>
      </w:r>
      <w:r>
        <w:rPr>
          <w:rStyle w:val="InlineUI"/>
        </w:rPr>
        <w:t>Policy Insights</w:t>
      </w:r>
      <w:r>
        <w:t xml:space="preserve"> page.</w:t>
      </w:r>
    </w:p>
    <w:p>
      <w:pPr>
        <w:pStyle w:val="BodyText"/>
      </w:pPr>
      <w:r>
        <w:t xml:space="preserve">For best results, if you are using </w:t>
      </w:r>
      <w:r>
        <w:t>VKS</w:t>
      </w:r>
      <w:r>
        <w:t xml:space="preserve"> cluster management policies on a cluster, remove external installations of Gatekeeper and let </w:t>
      </w:r>
      <w:r>
        <w:t>VKS</w:t>
      </w:r>
      <w:r>
        <w:t xml:space="preserve"> cluster management manage Gatekeeper for you. For more information, see the official Gatekeeper documentation at </w:t>
      </w:r>
      <w:hyperlink r:id="rId41" w:tooltip="https://open-policy-agent.github.io/gatekeeper/website/docs/" w:history="1">
        <w:r>
          <w:rPr>
            <w:color w:val="0000FF"/>
            <w:u w:val="single"/>
          </w:rPr>
          <w:t>https://open-policy-agent.github.io/gatekeeper/website/docs/</w:t>
        </w:r>
      </w:hyperlink>
      <w:r>
        <w:t>.</w:t>
      </w:r>
    </w:p>
    <w:p>
      <w:pPr>
        <w:pStyle w:val="Heading4"/>
      </w:pPr>
      <w:bookmarkStart w:id="293" w:name="_Toc256000824"/>
      <w:r>
        <w:t>Using Labels and Label Selectors</w:t>
      </w:r>
      <w:bookmarkEnd w:id="293"/>
    </w:p>
    <w:p>
      <w:pPr>
        <w:pStyle w:val="BodyText"/>
      </w:pPr>
      <w:r>
        <w:t>A label is a key-value pair attached to a Kubernetes object (such as a namespace, node, or pod) that allows you to specify identifying attributes for that object. A selector provides the means to identify the objects that have a specific label.</w:t>
      </w:r>
    </w:p>
    <w:p>
      <w:pPr>
        <w:pStyle w:val="BodyText"/>
      </w:pPr>
      <w:r>
        <w:t xml:space="preserve">When you create a policy, </w:t>
      </w:r>
      <w:r>
        <w:t>VKS</w:t>
      </w:r>
      <w:r>
        <w:t xml:space="preserve"> cluster management allows you to specify a label selector that identifies the </w:t>
      </w:r>
      <w:r>
        <w:t>VKS</w:t>
      </w:r>
      <w:r>
        <w:t xml:space="preserve"> cluster namespace or namespaces that you want to include in or exclude from the policy. When you specify a label selector to include or exclude in a policy, the objects within the scope of the policy that have the specified label are included or excluded in the group of objects that are governed by the policy. If no label selectors are specified, the policy applies to all such objects within the scope of the policy.</w:t>
      </w:r>
    </w:p>
    <w:p>
      <w:pPr>
        <w:pStyle w:val="SectionHeading5"/>
      </w:pPr>
      <w:r>
        <w:t xml:space="preserve">Example: </w:t>
      </w:r>
      <w:r>
        <w:t>Using Label Selectors During the Creation of a Quota Policy</w:t>
      </w:r>
    </w:p>
    <w:p>
      <w:pPr>
        <w:pStyle w:val="BodyText"/>
      </w:pPr>
      <w:r>
        <w:t>You create a quota policy with the following details:</w:t>
      </w:r>
    </w:p>
    <w:p>
      <w:pPr>
        <w:pStyle w:val="BodyText"/>
        <w:numPr>
          <w:numId w:val="248"/>
        </w:numPr>
      </w:pPr>
      <w:r>
        <w:t xml:space="preserve">Created at the project level on the </w:t>
      </w:r>
      <w:r>
        <w:rPr>
          <w:rStyle w:val="InlineCode"/>
        </w:rPr>
        <w:t>mycompany-project1</w:t>
      </w:r>
      <w:r>
        <w:t xml:space="preserve"> project</w:t>
      </w:r>
    </w:p>
    <w:p>
      <w:pPr>
        <w:pStyle w:val="BodyText"/>
        <w:numPr>
          <w:numId w:val="248"/>
        </w:numPr>
      </w:pPr>
      <w:r>
        <w:t xml:space="preserve">Namespace label selector to include: </w:t>
      </w:r>
      <w:r>
        <w:rPr>
          <w:rStyle w:val="InlineCode"/>
        </w:rPr>
        <w:t>project1-phase:phase02</w:t>
      </w:r>
    </w:p>
    <w:p>
      <w:pPr>
        <w:pStyle w:val="BodyText"/>
        <w:numPr>
          <w:numId w:val="248"/>
        </w:numPr>
      </w:pPr>
      <w:r>
        <w:t xml:space="preserve">Namespace label selector to exclude: </w:t>
      </w:r>
      <w:r>
        <w:rPr>
          <w:rStyle w:val="InlineCode"/>
        </w:rPr>
        <w:t>basic:compliance</w:t>
      </w:r>
    </w:p>
    <w:p>
      <w:pPr>
        <w:pStyle w:val="BodyText"/>
      </w:pPr>
      <w:r>
        <w:t xml:space="preserve">When this quota policy is saved, it impacts all clusters in the </w:t>
      </w:r>
      <w:r>
        <w:rPr>
          <w:rStyle w:val="InlineCode"/>
        </w:rPr>
        <w:t>mycompany-project1</w:t>
      </w:r>
      <w:r>
        <w:t xml:space="preserve"> project, constrains the namespaces with the</w:t>
      </w:r>
      <w:r>
        <w:rPr>
          <w:rStyle w:val="InlineCode"/>
        </w:rPr>
        <w:t>project1-phase:phase02</w:t>
      </w:r>
      <w:r>
        <w:t xml:space="preserve"> label, and does not impact the namespaces with the </w:t>
      </w:r>
      <w:r>
        <w:rPr>
          <w:rStyle w:val="InlineCode"/>
        </w:rPr>
        <w:t>basic:compliance</w:t>
      </w:r>
      <w:r>
        <w:t xml:space="preserve"> label.</w:t>
      </w:r>
    </w:p>
    <w:p>
      <w:pPr>
        <w:pStyle w:val="SectionHeading5"/>
      </w:pPr>
      <w:r>
        <w:t>How Do Label Selectors Work?</w:t>
      </w:r>
    </w:p>
    <w:p>
      <w:pPr>
        <w:pStyle w:val="BodyText"/>
      </w:pPr>
      <w:r>
        <w:t xml:space="preserve">When you create a policy and you want to add a label selector, you must always click the </w:t>
      </w:r>
      <w:r>
        <w:rPr>
          <w:rStyle w:val="InlineUI"/>
        </w:rPr>
        <w:t>Add label selector</w:t>
      </w:r>
      <w:r>
        <w:t xml:space="preserve"> button after entering the key and values. This action applies the label selector to the policy and opens a new entry row on the form. Each row (in both include and exclude scenarios) represents a rule that must match to identify the objects to which the policy is applied. These selector rules are applied as follows:</w:t>
      </w:r>
    </w:p>
    <w:p>
      <w:pPr>
        <w:pStyle w:val="BodyText"/>
        <w:numPr>
          <w:numId w:val="249"/>
        </w:numPr>
      </w:pPr>
      <w:r>
        <w:t>A rule with a key and one value is a match, if a label with the specified key exists on the object and it equals the specified value.</w:t>
      </w:r>
    </w:p>
    <w:p>
      <w:pPr>
        <w:pStyle w:val="BodyText"/>
        <w:numPr>
          <w:numId w:val="249"/>
        </w:numPr>
      </w:pPr>
      <w:r>
        <w:t>A rule with a key and no value is a match, if a label with the specified key exists on the object, regardless of the value.</w:t>
      </w:r>
    </w:p>
    <w:p>
      <w:pPr>
        <w:pStyle w:val="BodyText"/>
        <w:numPr>
          <w:numId w:val="249"/>
        </w:numPr>
      </w:pPr>
      <w:r>
        <w:t>A rule with a key and multiple comma-separated values is a match, if a label with the specified key exists on the object and it equals at least one of the specified values.</w:t>
      </w:r>
    </w:p>
    <w:p>
      <w:pPr>
        <w:pStyle w:val="BodyText"/>
        <w:numPr>
          <w:numId w:val="249"/>
        </w:numPr>
      </w:pPr>
      <w:r>
        <w:t>When multiple label selector rules are specified, all of the rules must be satisfied to identify the object.</w:t>
      </w:r>
    </w:p>
    <w:p>
      <w:pPr>
        <w:pStyle w:val="Heading4"/>
      </w:pPr>
      <w:bookmarkStart w:id="294" w:name="_Toc256000825"/>
      <w:r>
        <w:t>View the Policy Assignments for an Object in the Hierarchy</w:t>
      </w:r>
      <w:bookmarkEnd w:id="294"/>
    </w:p>
    <w:p>
      <w:pPr>
        <w:pStyle w:val="BodyText"/>
      </w:pPr>
      <w:r>
        <w:t xml:space="preserve">You can use </w:t>
      </w:r>
      <w:r>
        <w:t>VKS</w:t>
      </w:r>
      <w:r>
        <w:t xml:space="preserve"> cluster management to view the policy assignments for an organization, project, or a </w:t>
      </w:r>
      <w:r>
        <w:t>VKS</w:t>
      </w:r>
      <w:r>
        <w:t xml:space="preserve"> cluster.</w:t>
      </w:r>
    </w:p>
    <w:p>
      <w:pPr>
        <w:pStyle w:val="BodyText"/>
      </w:pPr>
      <w:r>
        <w:rPr>
          <w:rStyle w:val="Strong"/>
        </w:rPr>
        <w:t>Prerequisites</w:t>
      </w:r>
    </w:p>
    <w:p>
      <w:pPr>
        <w:pStyle w:val="BodyText"/>
      </w:pPr>
      <w:r>
        <w:t>Verify that you are assigned one of the appropriate roles:</w:t>
      </w:r>
    </w:p>
    <w:p>
      <w:pPr>
        <w:pStyle w:val="BodyText"/>
        <w:numPr>
          <w:numId w:val="250"/>
        </w:numPr>
      </w:pPr>
      <w:r>
        <w:rPr>
          <w:rStyle w:val="InlineUI"/>
        </w:rPr>
        <w:t>Organization Administrator</w:t>
      </w:r>
    </w:p>
    <w:p>
      <w:pPr>
        <w:pStyle w:val="BodyText"/>
        <w:numPr>
          <w:numId w:val="250"/>
        </w:numPr>
      </w:pPr>
      <w:r>
        <w:rPr>
          <w:rStyle w:val="InlineUI"/>
        </w:rPr>
        <w:t>Organization Auditor</w:t>
      </w:r>
    </w:p>
    <w:p>
      <w:pPr>
        <w:pStyle w:val="BodyText"/>
        <w:numPr>
          <w:numId w:val="250"/>
        </w:numPr>
      </w:pPr>
      <w:r>
        <w:rPr>
          <w:rStyle w:val="InlineUI"/>
        </w:rPr>
        <w:t>Project Administrator</w:t>
      </w:r>
    </w:p>
    <w:p>
      <w:pPr>
        <w:pStyle w:val="BodyText"/>
        <w:numPr>
          <w:numId w:val="250"/>
        </w:numPr>
      </w:pPr>
      <w:r>
        <w:rPr>
          <w:rStyle w:val="InlineUI"/>
        </w:rPr>
        <w:t>Project Auditor</w:t>
      </w:r>
    </w:p>
    <w:p>
      <w:pPr>
        <w:pStyle w:val="BodyText"/>
      </w:pPr>
      <w:r>
        <w:rPr>
          <w:rStyle w:val="Strong"/>
        </w:rPr>
        <w:t>Procedure</w:t>
      </w:r>
    </w:p>
    <w:p>
      <w:pPr>
        <w:pStyle w:val="BodyText"/>
        <w:numPr>
          <w:numId w:val="251"/>
        </w:numPr>
      </w:pPr>
      <w:r>
        <w:t xml:space="preserve">Log in to the </w:t>
      </w:r>
      <w:r>
        <w:t>VCF Automation</w:t>
      </w:r>
      <w:r>
        <w:t xml:space="preserve"> organization portal.</w:t>
      </w:r>
    </w:p>
    <w:p>
      <w:pPr>
        <w:pStyle w:val="BodyText"/>
        <w:numPr>
          <w:numId w:val="251"/>
        </w:numPr>
      </w:pPr>
      <w:r>
        <w:t xml:space="preserve">Click the </w:t>
      </w:r>
      <w:r>
        <w:rPr>
          <w:rStyle w:val="InlineUI"/>
        </w:rPr>
        <w:t>Manage &amp; Govern</w:t>
      </w:r>
      <w:r>
        <w:t xml:space="preserve"> tab.</w:t>
      </w:r>
    </w:p>
    <w:p>
      <w:pPr>
        <w:pStyle w:val="BodyText"/>
        <w:numPr>
          <w:numId w:val="251"/>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51"/>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51"/>
        </w:numPr>
      </w:pPr>
      <w:r>
        <w:t xml:space="preserve">In the </w:t>
      </w:r>
      <w:r>
        <w:rPr>
          <w:rStyle w:val="InlineUI"/>
        </w:rPr>
        <w:t>Policies assignments</w:t>
      </w:r>
      <w:r>
        <w:t xml:space="preserve"> pane, select the type of policy to view.</w:t>
      </w:r>
    </w:p>
    <w:p>
      <w:pPr>
        <w:pStyle w:val="BodyText"/>
        <w:numPr>
          <w:ilvl w:val="1"/>
          <w:numId w:val="251"/>
        </w:numPr>
      </w:pPr>
      <w:r>
        <w:t xml:space="preserve">Click the </w:t>
      </w:r>
      <w:r>
        <w:rPr>
          <w:rStyle w:val="InlineUI"/>
        </w:rPr>
        <w:t>Security</w:t>
      </w:r>
      <w:r>
        <w:t xml:space="preserve"> tab to view the security policies in your organization.</w:t>
      </w:r>
    </w:p>
    <w:p>
      <w:pPr>
        <w:pStyle w:val="BodyText"/>
        <w:numPr>
          <w:ilvl w:val="1"/>
          <w:numId w:val="251"/>
        </w:numPr>
      </w:pPr>
      <w:r>
        <w:t xml:space="preserve">Click the </w:t>
      </w:r>
      <w:r>
        <w:rPr>
          <w:rStyle w:val="InlineUI"/>
        </w:rPr>
        <w:t>Image registry</w:t>
      </w:r>
      <w:r>
        <w:t xml:space="preserve"> tab to view the image registry policies in your organization.</w:t>
      </w:r>
    </w:p>
    <w:p>
      <w:pPr>
        <w:pStyle w:val="BodyText"/>
        <w:numPr>
          <w:ilvl w:val="1"/>
          <w:numId w:val="251"/>
        </w:numPr>
      </w:pPr>
      <w:r>
        <w:t xml:space="preserve">Click the </w:t>
      </w:r>
      <w:r>
        <w:rPr>
          <w:rStyle w:val="InlineUI"/>
        </w:rPr>
        <w:t>Quota</w:t>
      </w:r>
      <w:r>
        <w:t xml:space="preserve"> tab to view the quota policies in your organization.</w:t>
      </w:r>
    </w:p>
    <w:p>
      <w:pPr>
        <w:pStyle w:val="BodyText"/>
        <w:numPr>
          <w:ilvl w:val="1"/>
          <w:numId w:val="251"/>
        </w:numPr>
      </w:pPr>
      <w:r>
        <w:t xml:space="preserve">Click the </w:t>
      </w:r>
      <w:r>
        <w:rPr>
          <w:rStyle w:val="InlineUI"/>
        </w:rPr>
        <w:t>Custom</w:t>
      </w:r>
      <w:r>
        <w:t xml:space="preserve"> tab to view the custom policies in your organization.</w:t>
      </w:r>
    </w:p>
    <w:p>
      <w:pPr>
        <w:pStyle w:val="BodyText"/>
        <w:numPr>
          <w:ilvl w:val="1"/>
          <w:numId w:val="251"/>
        </w:numPr>
      </w:pPr>
      <w:r>
        <w:t xml:space="preserve">Click the </w:t>
      </w:r>
      <w:r>
        <w:rPr>
          <w:rStyle w:val="InlineUI"/>
        </w:rPr>
        <w:t>Mutation</w:t>
      </w:r>
      <w:r>
        <w:t xml:space="preserve"> tab to view the mutation policies in your organization.</w:t>
      </w:r>
    </w:p>
    <w:p>
      <w:pPr>
        <w:pStyle w:val="BodyText"/>
        <w:numPr>
          <w:numId w:val="251"/>
        </w:numPr>
      </w:pPr>
      <w:r>
        <w:t xml:space="preserve">From the hierarchy tree on the left of the </w:t>
      </w:r>
      <w:r>
        <w:rPr>
          <w:rStyle w:val="InlineUI"/>
        </w:rPr>
        <w:t>Policies assignments</w:t>
      </w:r>
      <w:r>
        <w:t xml:space="preserve"> pane, select the object to view policies for.</w:t>
      </w:r>
    </w:p>
    <w:p>
      <w:pPr>
        <w:pStyle w:val="BodyText"/>
        <w:ind w:left="480"/>
      </w:pPr>
      <w:r>
        <w:t>On the right of the pane, you see two tables displaying the direct and inherited policies for the selected object.</w:t>
      </w:r>
    </w:p>
    <w:p>
      <w:pPr>
        <w:pStyle w:val="Heading4"/>
      </w:pPr>
      <w:bookmarkStart w:id="295" w:name="B5e695ef96350424c850acb9a08db1cbc"/>
      <w:bookmarkStart w:id="296" w:name="_Toc256000826"/>
      <w:r>
        <w:t>View VKS Cluster Management Policy Insights</w:t>
      </w:r>
      <w:bookmarkEnd w:id="296"/>
      <w:bookmarkEnd w:id="295"/>
    </w:p>
    <w:p>
      <w:pPr>
        <w:pStyle w:val="BodyText"/>
      </w:pPr>
      <w:r>
        <w:t>VKS</w:t>
      </w:r>
      <w:r>
        <w:t xml:space="preserve"> cluster management monitors the policies you implement and reports any potential issues as insights. Getting access to policy insights facilitates debugging and issue fixing.</w:t>
      </w:r>
    </w:p>
    <w:p>
      <w:pPr>
        <w:pStyle w:val="BodyText"/>
      </w:pPr>
      <w:r>
        <w:t xml:space="preserve">The </w:t>
      </w:r>
      <w:r>
        <w:rPr>
          <w:rStyle w:val="InlineUI"/>
        </w:rPr>
        <w:t>Policy insights</w:t>
      </w:r>
      <w:r>
        <w:t xml:space="preserve"> page in the </w:t>
      </w:r>
      <w:r>
        <w:t>VKS</w:t>
      </w:r>
      <w:r>
        <w:t xml:space="preserve"> cluster management user interface shows the detected insights and provides links to the cluster, project, and policy where the insight was found. The types of insights that you might see on this page include the following:</w:t>
      </w:r>
    </w:p>
    <w:p>
      <w:pPr>
        <w:pStyle w:val="BodyText"/>
        <w:numPr>
          <w:numId w:val="252"/>
        </w:numPr>
      </w:pPr>
      <w:r>
        <w:rPr>
          <w:rStyle w:val="InlineCode"/>
        </w:rPr>
        <w:t>Violation</w:t>
      </w:r>
    </w:p>
    <w:p>
      <w:pPr>
        <w:pStyle w:val="BodyText"/>
        <w:ind w:left="480"/>
      </w:pPr>
      <w:r>
        <w:t>This insight indicates that the Kubernetes resources on the cluster are not in compliance with the policy. (This insight applies only to Gatekeeper-based policies.)</w:t>
      </w:r>
    </w:p>
    <w:p>
      <w:pPr>
        <w:pStyle w:val="BodyText"/>
        <w:numPr>
          <w:numId w:val="252"/>
        </w:numPr>
      </w:pPr>
      <w:r>
        <w:rPr>
          <w:rStyle w:val="InlineCode"/>
        </w:rPr>
        <w:t>Sync</w:t>
      </w:r>
    </w:p>
    <w:p>
      <w:pPr>
        <w:pStyle w:val="BodyText"/>
        <w:ind w:left="480"/>
      </w:pPr>
      <w:r>
        <w:t xml:space="preserve">This insight indicates that the policy sync to the </w:t>
      </w:r>
      <w:r>
        <w:t>VKS</w:t>
      </w:r>
      <w:r>
        <w:t xml:space="preserve"> cluster failed.</w:t>
      </w:r>
    </w:p>
    <w:p>
      <w:pPr>
        <w:pStyle w:val="BodyText"/>
        <w:numPr>
          <w:numId w:val="252"/>
        </w:numPr>
      </w:pPr>
      <w:r>
        <w:rPr>
          <w:rStyle w:val="InlineCode"/>
        </w:rPr>
        <w:t>Threshold</w:t>
      </w:r>
    </w:p>
    <w:p>
      <w:pPr>
        <w:pStyle w:val="BodyText"/>
        <w:ind w:left="480"/>
      </w:pPr>
      <w:r>
        <w:t>This insight shows the cluster namespaces that exceed 80% of the quotas applied with a quota policy.</w:t>
      </w:r>
    </w:p>
    <w:p>
      <w:pPr>
        <w:pStyle w:val="BodyText"/>
        <w:numPr>
          <w:numId w:val="252"/>
        </w:numPr>
      </w:pPr>
      <w:r>
        <w:rPr>
          <w:rStyle w:val="InlineCode"/>
        </w:rPr>
        <w:t>Health</w:t>
      </w:r>
    </w:p>
    <w:p>
      <w:pPr>
        <w:pStyle w:val="BodyText"/>
        <w:ind w:left="480"/>
      </w:pPr>
      <w:r>
        <w:t>This insight indicates that a policy is not enforced due to policy operator health issues, for example Gatekeeper installation failure. This insight applies only to Gatekeeper-based policies.</w:t>
      </w:r>
    </w:p>
    <w:p>
      <w:pPr>
        <w:pStyle w:val="BodyText"/>
        <w:numPr>
          <w:numId w:val="252"/>
        </w:numPr>
      </w:pPr>
      <w:r>
        <w:rPr>
          <w:rStyle w:val="InlineCode"/>
        </w:rPr>
        <w:t>Incompatibility</w:t>
      </w:r>
    </w:p>
    <w:p>
      <w:pPr>
        <w:pStyle w:val="BodyText"/>
        <w:ind w:left="480"/>
      </w:pPr>
      <w:r>
        <w:t xml:space="preserve">This insight is a warning that the policy might not be working, because the Gatekeeper installation on the cluster is not managed by </w:t>
      </w:r>
      <w:r>
        <w:t>VKS</w:t>
      </w:r>
      <w:r>
        <w:t xml:space="preserve"> cluster management. This situation might potentially cause issues with the functionality of policies applied to the cluster.</w:t>
      </w:r>
    </w:p>
    <w:p>
      <w:pPr>
        <w:pStyle w:val="BodyText"/>
      </w:pPr>
      <w:r>
        <w:rPr>
          <w:rStyle w:val="Strong"/>
        </w:rPr>
        <w:t>Prerequisites</w:t>
      </w:r>
    </w:p>
    <w:p>
      <w:pPr>
        <w:pStyle w:val="BodyText"/>
      </w:pPr>
      <w:r>
        <w:t>Verify that you are assigned one of the appropriate roles:</w:t>
      </w:r>
    </w:p>
    <w:p>
      <w:pPr>
        <w:pStyle w:val="BodyText"/>
        <w:numPr>
          <w:numId w:val="253"/>
        </w:numPr>
      </w:pPr>
      <w:r>
        <w:rPr>
          <w:rStyle w:val="InlineUI"/>
        </w:rPr>
        <w:t>Organization Administrator</w:t>
      </w:r>
    </w:p>
    <w:p>
      <w:pPr>
        <w:pStyle w:val="BodyText"/>
        <w:numPr>
          <w:numId w:val="253"/>
        </w:numPr>
      </w:pPr>
      <w:r>
        <w:rPr>
          <w:rStyle w:val="InlineUI"/>
        </w:rPr>
        <w:t>Organization Auditor</w:t>
      </w:r>
    </w:p>
    <w:p>
      <w:pPr>
        <w:pStyle w:val="BodyText"/>
        <w:numPr>
          <w:numId w:val="253"/>
        </w:numPr>
      </w:pPr>
      <w:r>
        <w:rPr>
          <w:rStyle w:val="InlineUI"/>
        </w:rPr>
        <w:t>Project Administrator</w:t>
      </w:r>
    </w:p>
    <w:p>
      <w:pPr>
        <w:pStyle w:val="BodyText"/>
        <w:numPr>
          <w:numId w:val="253"/>
        </w:numPr>
      </w:pPr>
      <w:r>
        <w:rPr>
          <w:rStyle w:val="InlineUI"/>
        </w:rPr>
        <w:t>Project Auditor</w:t>
      </w:r>
    </w:p>
    <w:p>
      <w:pPr>
        <w:pStyle w:val="BodyText"/>
      </w:pPr>
      <w:r>
        <w:rPr>
          <w:rStyle w:val="Strong"/>
        </w:rPr>
        <w:t>Procedure</w:t>
      </w:r>
    </w:p>
    <w:p>
      <w:pPr>
        <w:pStyle w:val="BodyText"/>
        <w:numPr>
          <w:numId w:val="254"/>
        </w:numPr>
      </w:pPr>
      <w:r>
        <w:t xml:space="preserve">Log in to the </w:t>
      </w:r>
      <w:r>
        <w:t>VCF Automation</w:t>
      </w:r>
      <w:r>
        <w:t xml:space="preserve"> organization portal.</w:t>
      </w:r>
    </w:p>
    <w:p>
      <w:pPr>
        <w:pStyle w:val="BodyText"/>
        <w:numPr>
          <w:numId w:val="254"/>
        </w:numPr>
      </w:pPr>
      <w:r>
        <w:t xml:space="preserve">Click the </w:t>
      </w:r>
      <w:r>
        <w:rPr>
          <w:rStyle w:val="InlineUI"/>
        </w:rPr>
        <w:t>Manage &amp; Govern</w:t>
      </w:r>
      <w:r>
        <w:t xml:space="preserve"> tab.</w:t>
      </w:r>
    </w:p>
    <w:p>
      <w:pPr>
        <w:pStyle w:val="BodyText"/>
        <w:numPr>
          <w:numId w:val="254"/>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54"/>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Insights</w:t>
      </w:r>
      <w:r>
        <w:t>.</w:t>
      </w:r>
    </w:p>
    <w:p>
      <w:pPr>
        <w:pStyle w:val="BodyText"/>
        <w:numPr>
          <w:numId w:val="254"/>
        </w:numPr>
      </w:pPr>
      <w:r>
        <w:t>(Optional) Use the filters to find insights of a specific type or about a specific project, cluster or namespace.</w:t>
      </w:r>
    </w:p>
    <w:p>
      <w:pPr>
        <w:pStyle w:val="Heading4"/>
      </w:pPr>
      <w:bookmarkStart w:id="297" w:name="B70cc43bab6b445e08f5c89c8b875bb8d"/>
      <w:bookmarkStart w:id="298" w:name="_Toc256000827"/>
      <w:r>
        <w:t>Working With VKS Cluster Management Policy Templates</w:t>
      </w:r>
      <w:bookmarkEnd w:id="298"/>
      <w:bookmarkEnd w:id="297"/>
    </w:p>
    <w:p>
      <w:pPr>
        <w:pStyle w:val="BodyText"/>
      </w:pPr>
      <w:r>
        <w:t>You can use policy templates to create specialized custom policies.</w:t>
      </w:r>
    </w:p>
    <w:p>
      <w:pPr>
        <w:pStyle w:val="BodyText"/>
      </w:pPr>
      <w:r>
        <w:t xml:space="preserve">The policy template provides a declarative definition of a policy, which you can use to apply custom constraints on the Kubernetes resources that you mange with </w:t>
      </w:r>
      <w:r>
        <w:t>VKS</w:t>
      </w:r>
      <w:r>
        <w:t xml:space="preserve"> cluster management. This template represents a </w:t>
      </w:r>
      <w:r>
        <w:rPr>
          <w:rStyle w:val="InlineCode"/>
        </w:rPr>
        <w:t>ConstraintTemplate</w:t>
      </w:r>
      <w:r>
        <w:t xml:space="preserve"> object, which contains the schema of the constraint and the Rego code that defines how it is enforced.</w:t>
      </w:r>
    </w:p>
    <w:p>
      <w:pPr>
        <w:pStyle w:val="BodyText"/>
        <w:pBdr>
          <w:top w:val="single" w:sz="8" w:space="2" w:color="D3D3D3"/>
          <w:bottom w:val="single" w:sz="8" w:space="2" w:color="D3D3D3"/>
        </w:pBdr>
      </w:pPr>
      <w:r>
        <w:rPr>
          <w:rStyle w:val="NoteLeaderimportant"/>
        </w:rPr>
        <w:t>Important</w:t>
        <w:tab/>
      </w:r>
      <w:r>
        <w:t xml:space="preserve">In </w:t>
      </w:r>
      <w:r>
        <w:t>VCF</w:t>
      </w:r>
      <w:r>
        <w:t xml:space="preserve"> 9.0.1, only Rego is supported for the Gatekeeper </w:t>
      </w:r>
      <w:r>
        <w:rPr>
          <w:rStyle w:val="InlineCode"/>
        </w:rPr>
        <w:t>ConstraintTemplates</w:t>
      </w:r>
      <w:r>
        <w:t xml:space="preserve">. </w:t>
      </w:r>
      <w:r>
        <w:rPr>
          <w:rStyle w:val="InlineCode"/>
        </w:rPr>
        <w:t>ConstraintTemplates</w:t>
      </w:r>
      <w:r>
        <w:t xml:space="preserve"> that specify the K8sNativeValidation engine are not supported.</w:t>
      </w:r>
    </w:p>
    <w:p>
      <w:pPr>
        <w:pStyle w:val="BodyText"/>
      </w:pPr>
      <w:r>
        <w:t>VKS</w:t>
      </w:r>
      <w:r>
        <w:t xml:space="preserve"> cluster management provides some sample preconfigured policy templates that you can use as a starting place.</w:t>
      </w:r>
    </w:p>
    <w:p>
      <w:pPr>
        <w:pStyle w:val="BodyText"/>
        <w:numPr>
          <w:numId w:val="255"/>
        </w:numPr>
      </w:pPr>
      <w:r>
        <w:t xml:space="preserve">You can use the </w:t>
      </w:r>
      <w:r>
        <w:rPr>
          <w:rStyle w:val="InlineCode"/>
        </w:rPr>
        <w:t>vksm-require-labels</w:t>
      </w:r>
      <w:r>
        <w:t xml:space="preserve"> template to enforce labels with a key and optional value on specified Kubernetes resources, for example, to ensure that all pods and namespaces in a </w:t>
      </w:r>
      <w:r>
        <w:t>VKS</w:t>
      </w:r>
      <w:r>
        <w:t xml:space="preserve"> cluster have a label with the key </w:t>
      </w:r>
      <w:r>
        <w:rPr>
          <w:rStyle w:val="InlineCode"/>
        </w:rPr>
        <w:t>owner</w:t>
      </w:r>
      <w:r>
        <w:t>.</w:t>
      </w:r>
    </w:p>
    <w:p>
      <w:pPr>
        <w:pStyle w:val="BodyText"/>
        <w:numPr>
          <w:numId w:val="255"/>
        </w:numPr>
      </w:pPr>
      <w:r>
        <w:t xml:space="preserve">You can use the </w:t>
      </w:r>
      <w:r>
        <w:rPr>
          <w:rStyle w:val="InlineCode"/>
        </w:rPr>
        <w:t>vksm-https-ingress</w:t>
      </w:r>
      <w:r>
        <w:t xml:space="preserve"> template to enforce that all </w:t>
      </w:r>
      <w:r>
        <w:rPr>
          <w:rStyle w:val="InlineCode"/>
        </w:rPr>
        <w:t>Ingress</w:t>
      </w:r>
      <w:r>
        <w:t xml:space="preserve"> objects created on a cluster have tls configuration and that the </w:t>
      </w:r>
      <w:r>
        <w:rPr>
          <w:rStyle w:val="InlineCode"/>
        </w:rPr>
        <w:t>allow-http</w:t>
      </w:r>
      <w:r>
        <w:t xml:space="preserve"> annotation is set to </w:t>
      </w:r>
      <w:r>
        <w:rPr>
          <w:rStyle w:val="InlineCode"/>
        </w:rPr>
        <w:t>false</w:t>
      </w:r>
      <w:r>
        <w:t xml:space="preserve">. The target resource should be set with </w:t>
      </w:r>
      <w:r>
        <w:rPr>
          <w:rStyle w:val="InlineCode"/>
        </w:rPr>
        <w:t>Kind='Ingress'</w:t>
      </w:r>
      <w:r>
        <w:t xml:space="preserve"> and </w:t>
      </w:r>
      <w:r>
        <w:rPr>
          <w:rStyle w:val="InlineCode"/>
        </w:rPr>
        <w:t>ApiGroup='networking.k8s.io'</w:t>
      </w:r>
      <w:r>
        <w:t xml:space="preserve"> or </w:t>
      </w:r>
      <w:r>
        <w:rPr>
          <w:rStyle w:val="InlineCode"/>
        </w:rPr>
        <w:t>ApiGroup='extensions'</w:t>
      </w:r>
      <w:r>
        <w:t>.</w:t>
      </w:r>
    </w:p>
    <w:p>
      <w:pPr>
        <w:pStyle w:val="BodyText"/>
        <w:numPr>
          <w:numId w:val="255"/>
        </w:numPr>
      </w:pPr>
      <w:r>
        <w:t xml:space="preserve">You can use the </w:t>
      </w:r>
      <w:r>
        <w:rPr>
          <w:rStyle w:val="InlineCode"/>
        </w:rPr>
        <w:t>vksm-block-nodeport-service</w:t>
      </w:r>
      <w:r>
        <w:t xml:space="preserve"> template to block the creation of NodePort Service resources. The target resource must be set with </w:t>
      </w:r>
      <w:r>
        <w:rPr>
          <w:rStyle w:val="InlineCode"/>
        </w:rPr>
        <w:t>Kind='Service'</w:t>
      </w:r>
      <w:r>
        <w:t xml:space="preserve"> and </w:t>
      </w:r>
      <w:r>
        <w:rPr>
          <w:rStyle w:val="InlineCode"/>
        </w:rPr>
        <w:t>ApiGroup=''</w:t>
      </w:r>
      <w:r>
        <w:t>.</w:t>
      </w:r>
    </w:p>
    <w:p>
      <w:pPr>
        <w:pStyle w:val="BodyText"/>
        <w:numPr>
          <w:numId w:val="255"/>
        </w:numPr>
      </w:pPr>
      <w:r>
        <w:t xml:space="preserve">You can use the </w:t>
      </w:r>
      <w:r>
        <w:rPr>
          <w:rStyle w:val="InlineCode"/>
        </w:rPr>
        <w:t>vksm-block-resources</w:t>
      </w:r>
      <w:r>
        <w:t xml:space="preserve"> template to block the creation of all Kubernetes resources that belong to the specified Kind-ApiGroup.</w:t>
      </w:r>
    </w:p>
    <w:p>
      <w:pPr>
        <w:pStyle w:val="BodyText"/>
        <w:numPr>
          <w:numId w:val="255"/>
        </w:numPr>
      </w:pPr>
      <w:r>
        <w:t xml:space="preserve">You can use the </w:t>
      </w:r>
      <w:r>
        <w:rPr>
          <w:rStyle w:val="InlineCode"/>
        </w:rPr>
        <w:t>vksm-block-rolebinding-subjects</w:t>
      </w:r>
      <w:r>
        <w:t xml:space="preserve"> template to block specific subjects from being used in role bindings. The target resource must be set with </w:t>
      </w:r>
      <w:r>
        <w:rPr>
          <w:rStyle w:val="InlineCode"/>
        </w:rPr>
        <w:t>Kind='ClusterRoleBinding'</w:t>
      </w:r>
      <w:r>
        <w:t xml:space="preserve"> and </w:t>
      </w:r>
      <w:r>
        <w:rPr>
          <w:rStyle w:val="InlineCode"/>
        </w:rPr>
        <w:t>ApiGroup='rbac.authorization.k8s.io'</w:t>
      </w:r>
      <w:r>
        <w:t>.</w:t>
      </w:r>
    </w:p>
    <w:p>
      <w:pPr>
        <w:pStyle w:val="BodyText"/>
      </w:pPr>
      <w:r>
        <w:t xml:space="preserve">For more information about defining a </w:t>
      </w:r>
      <w:r>
        <w:rPr>
          <w:rStyle w:val="InlineCode"/>
        </w:rPr>
        <w:t>ConstraintTemplate</w:t>
      </w:r>
      <w:r>
        <w:t xml:space="preserve"> object, see </w:t>
      </w:r>
      <w:hyperlink r:id="rId42" w:tooltip="https://open-policy-agent.github.io/gatekeeper/website/docs/howto" w:history="1">
        <w:r>
          <w:rPr>
            <w:color w:val="0000FF"/>
            <w:u w:val="single"/>
          </w:rPr>
          <w:t>https://open-policy-agent.github.io/gatekeeper/website/docs/howto</w:t>
        </w:r>
      </w:hyperlink>
      <w:r>
        <w:t>.</w:t>
      </w:r>
    </w:p>
    <w:p>
      <w:pPr>
        <w:pStyle w:val="BodyText"/>
      </w:pPr>
      <w:r>
        <w:t>Organization admins can create new templates or update/delete them. Project admins will not be able to create the templates, but they can create custom policies using these templates on their project/clusters.</w:t>
      </w:r>
    </w:p>
    <w:p>
      <w:pPr>
        <w:pStyle w:val="SectionHeading5"/>
      </w:pPr>
      <w:r>
        <w:t>Role-Based Access Control to VKS Cluster Management Policy Templates</w:t>
      </w:r>
    </w:p>
    <w:p>
      <w:pPr>
        <w:pStyle w:val="BodyText"/>
      </w:pPr>
      <w:r>
        <w:t>Organization administrators can create new templates and later edit or delete them, if the templates are no longer needed.</w:t>
      </w:r>
    </w:p>
    <w:p>
      <w:pPr>
        <w:pStyle w:val="BodyText"/>
      </w:pPr>
      <w:r>
        <w:t xml:space="preserve">Project administrators cannot create new templates, but they can create custom policies on their pojrects and cluster by using these templates. For more information about creating custom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B6a446f5acac04b4f82aa88a52d5247b5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Custom Policies</w:t>
      </w:r>
      <w:r>
        <w:fldChar w:fldCharType="end"/>
      </w:r>
      <w:r>
        <w:t>.</w:t>
      </w:r>
    </w:p>
    <w:p>
      <w:pPr>
        <w:pStyle w:val="Heading5"/>
      </w:pPr>
      <w:r>
        <w:t>Create a Policy Template</w:t>
      </w:r>
    </w:p>
    <w:p>
      <w:pPr>
        <w:pStyle w:val="BodyText"/>
      </w:pPr>
      <w:r>
        <w:t>Create a policy template to use in your custom policies that allow you to address aspects of cluster management that specifically suits the needs of your particular organization.</w:t>
      </w:r>
    </w:p>
    <w:p>
      <w:pPr>
        <w:pStyle w:val="BodyText"/>
      </w:pPr>
      <w:r>
        <w:t xml:space="preserve">To create a custom policy template, you use Rego, the policy language of OPA. For more information about Rego, see the OPA Policy Language documentation at </w:t>
      </w:r>
      <w:hyperlink r:id="rId43" w:tooltip="https://www.openpolicyagent.org/docs/policy-language" w:history="1">
        <w:r>
          <w:rPr>
            <w:color w:val="0000FF"/>
            <w:u w:val="single"/>
          </w:rPr>
          <w:t>https://www.openpolicyagent.org/docs/policy-language</w:t>
        </w:r>
      </w:hyperlink>
      <w:r>
        <w:t>.</w:t>
      </w:r>
    </w:p>
    <w:p>
      <w:pPr>
        <w:pStyle w:val="BodyText"/>
      </w:pPr>
      <w:r>
        <w:rPr>
          <w:rStyle w:val="Strong"/>
        </w:rPr>
        <w:t>Prerequisites</w:t>
      </w:r>
    </w:p>
    <w:p>
      <w:pPr>
        <w:pStyle w:val="BodyText"/>
      </w:pPr>
      <w:r>
        <w:t xml:space="preserve">Verify that you are assigned the </w:t>
      </w:r>
      <w:r>
        <w:rPr>
          <w:rStyle w:val="InlineUI"/>
        </w:rPr>
        <w:t>Organization Administrator</w:t>
      </w:r>
      <w:r>
        <w:t xml:space="preserve"> role.</w:t>
      </w:r>
    </w:p>
    <w:p>
      <w:pPr>
        <w:pStyle w:val="BodyText"/>
      </w:pPr>
      <w:r>
        <w:rPr>
          <w:rStyle w:val="Strong"/>
        </w:rPr>
        <w:t>Procedure</w:t>
      </w:r>
    </w:p>
    <w:p>
      <w:pPr>
        <w:pStyle w:val="BodyText"/>
        <w:numPr>
          <w:numId w:val="256"/>
        </w:numPr>
      </w:pPr>
      <w:r>
        <w:t xml:space="preserve">Log in to the </w:t>
      </w:r>
      <w:r>
        <w:t>VCF Automation</w:t>
      </w:r>
      <w:r>
        <w:t xml:space="preserve"> organization portal.</w:t>
      </w:r>
    </w:p>
    <w:p>
      <w:pPr>
        <w:pStyle w:val="BodyText"/>
        <w:numPr>
          <w:numId w:val="256"/>
        </w:numPr>
      </w:pPr>
      <w:r>
        <w:t xml:space="preserve">Click the </w:t>
      </w:r>
      <w:r>
        <w:rPr>
          <w:rStyle w:val="InlineUI"/>
        </w:rPr>
        <w:t>Manage &amp; Govern</w:t>
      </w:r>
      <w:r>
        <w:t xml:space="preserve"> tab.</w:t>
      </w:r>
    </w:p>
    <w:p>
      <w:pPr>
        <w:pStyle w:val="BodyText"/>
        <w:numPr>
          <w:numId w:val="256"/>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56"/>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Templates</w:t>
      </w:r>
      <w:r>
        <w:t>.</w:t>
      </w:r>
    </w:p>
    <w:p>
      <w:pPr>
        <w:pStyle w:val="BodyText"/>
        <w:numPr>
          <w:numId w:val="256"/>
        </w:numPr>
      </w:pPr>
      <w:r>
        <w:t xml:space="preserve">On the </w:t>
      </w:r>
      <w:r>
        <w:rPr>
          <w:rStyle w:val="InlineUI"/>
        </w:rPr>
        <w:t>Custom policy templates</w:t>
      </w:r>
      <w:r>
        <w:t xml:space="preserve"> page, click the </w:t>
      </w:r>
      <w:r>
        <w:rPr>
          <w:rStyle w:val="InlineUI"/>
        </w:rPr>
        <w:t>Create template</w:t>
      </w:r>
      <w:r>
        <w:t xml:space="preserve"> button.</w:t>
      </w:r>
    </w:p>
    <w:p>
      <w:pPr>
        <w:pStyle w:val="BodyText"/>
        <w:numPr>
          <w:numId w:val="256"/>
        </w:numPr>
      </w:pPr>
      <w:r>
        <w:t>(Optional) Provide a description of the template.</w:t>
      </w:r>
    </w:p>
    <w:p>
      <w:pPr>
        <w:pStyle w:val="BodyText"/>
        <w:numPr>
          <w:numId w:val="256"/>
        </w:numPr>
      </w:pPr>
      <w:r>
        <w:t xml:space="preserve">In the </w:t>
      </w:r>
      <w:r>
        <w:rPr>
          <w:rStyle w:val="InlineUI"/>
        </w:rPr>
        <w:t>Provide YAML</w:t>
      </w:r>
      <w:r>
        <w:t xml:space="preserve"> section, provide the template definition in YAML format.</w:t>
      </w:r>
    </w:p>
    <w:p>
      <w:pPr>
        <w:pStyle w:val="BodyText"/>
        <w:ind w:left="480"/>
      </w:pPr>
      <w:r>
        <w:t xml:space="preserve">You can write the template definition directly in the code box provided, or click </w:t>
      </w:r>
      <w:r>
        <w:rPr>
          <w:rStyle w:val="InlineUI"/>
        </w:rPr>
        <w:t>Import</w:t>
      </w:r>
      <w:r>
        <w:t xml:space="preserve"> to use a YAML file that you have already written.</w:t>
      </w:r>
    </w:p>
    <w:p>
      <w:pPr>
        <w:pStyle w:val="BodyText"/>
        <w:numPr>
          <w:numId w:val="256"/>
        </w:numPr>
      </w:pPr>
      <w:r>
        <w:t xml:space="preserve">(Optional) In the </w:t>
      </w:r>
      <w:r>
        <w:rPr>
          <w:rStyle w:val="InlineUI"/>
        </w:rPr>
        <w:t>Configure Data Inventory</w:t>
      </w:r>
      <w:r>
        <w:t xml:space="preserve"> section, click </w:t>
      </w:r>
      <w:r>
        <w:rPr>
          <w:rStyle w:val="InlineUI"/>
        </w:rPr>
        <w:t>Add object</w:t>
      </w:r>
      <w:r>
        <w:t xml:space="preserve"> and provide Kubernetes resource kinds to be cached for the template.</w:t>
      </w:r>
    </w:p>
    <w:p>
      <w:pPr>
        <w:pStyle w:val="BodyText"/>
        <w:ind w:left="480"/>
      </w:pPr>
      <w:r>
        <w:t xml:space="preserve">To enforce a custom policy, OPA might need access to more state than just the object under test. For example, if the policy calculates the number of pods running in the namespace, OPA needs access to all those pods. If your template requires such data replicated in OPA cache, specify the group, version, and kind of each Kubernetes resource that needs to be cached. For more information about cached resources, see Replicating Data in the OPA Gatekeeper documentation at </w:t>
      </w:r>
      <w:hyperlink r:id="rId44" w:tooltip="https://open-policy-agent.github.io/gatekeeper/website/docs/sync/" w:history="1">
        <w:r>
          <w:rPr>
            <w:color w:val="0000FF"/>
            <w:u w:val="single"/>
          </w:rPr>
          <w:t>https://open-policy-agent.github.io/gatekeeper/website/docs/sync/</w:t>
        </w:r>
      </w:hyperlink>
      <w:r>
        <w:t>.</w:t>
      </w:r>
    </w:p>
    <w:p>
      <w:pPr>
        <w:pStyle w:val="BodyText"/>
        <w:numPr>
          <w:numId w:val="256"/>
        </w:numPr>
      </w:pPr>
      <w:r>
        <w:t>(Optional) Repeat Step 8, if you want to add more objects to the template.</w:t>
      </w:r>
    </w:p>
    <w:p>
      <w:pPr>
        <w:pStyle w:val="BodyText"/>
        <w:numPr>
          <w:numId w:val="256"/>
        </w:numPr>
      </w:pPr>
      <w:r>
        <w:t xml:space="preserve">Click the </w:t>
      </w:r>
      <w:r>
        <w:rPr>
          <w:rStyle w:val="InlineUI"/>
        </w:rPr>
        <w:t>Create</w:t>
      </w:r>
      <w:r>
        <w:t xml:space="preserve"> button.</w:t>
      </w:r>
    </w:p>
    <w:p>
      <w:pPr>
        <w:pStyle w:val="BodyText"/>
      </w:pPr>
      <w:r>
        <w:rPr>
          <w:rStyle w:val="Strong"/>
        </w:rPr>
        <w:t>Results</w:t>
      </w:r>
    </w:p>
    <w:p>
      <w:pPr>
        <w:pStyle w:val="BodyText"/>
      </w:pPr>
      <w:r>
        <w:t>The created template appears in the list of custom policy templates.</w:t>
      </w:r>
    </w:p>
    <w:p>
      <w:pPr>
        <w:pStyle w:val="Heading5"/>
      </w:pPr>
      <w:r>
        <w:t>Edit or Delete a Policy Template</w:t>
      </w:r>
    </w:p>
    <w:p>
      <w:pPr>
        <w:pStyle w:val="BodyText"/>
      </w:pPr>
      <w:r>
        <w:t>You can modify policy templates to better suit your needs or you can delete them when you no longer need them.</w:t>
      </w:r>
    </w:p>
    <w:p>
      <w:pPr>
        <w:pStyle w:val="BodyText"/>
      </w:pPr>
      <w:r>
        <w:t>Editing a template impacts all policies that use the template. Plus, editing the template cannot be undone, so you must exercise caution before you edit policy templates.</w:t>
      </w:r>
    </w:p>
    <w:p>
      <w:pPr>
        <w:pStyle w:val="BodyText"/>
      </w:pPr>
      <w:r>
        <w:rPr>
          <w:rStyle w:val="Strong"/>
        </w:rPr>
        <w:t>Prerequisites</w:t>
      </w:r>
    </w:p>
    <w:p>
      <w:pPr>
        <w:pStyle w:val="BodyText"/>
      </w:pPr>
      <w:r>
        <w:t xml:space="preserve">Verify that you are assigned the </w:t>
      </w:r>
      <w:r>
        <w:rPr>
          <w:rStyle w:val="InlineUI"/>
        </w:rPr>
        <w:t>Organization Administrator</w:t>
      </w:r>
      <w:r>
        <w:t xml:space="preserve"> role.</w:t>
      </w:r>
    </w:p>
    <w:p>
      <w:pPr>
        <w:pStyle w:val="BodyText"/>
      </w:pPr>
      <w:r>
        <w:rPr>
          <w:rStyle w:val="Strong"/>
        </w:rPr>
        <w:t>Procedure</w:t>
      </w:r>
    </w:p>
    <w:p>
      <w:pPr>
        <w:pStyle w:val="BodyText"/>
        <w:numPr>
          <w:numId w:val="257"/>
        </w:numPr>
      </w:pPr>
      <w:r>
        <w:t xml:space="preserve">Log in to the </w:t>
      </w:r>
      <w:r>
        <w:t>VCF Automation</w:t>
      </w:r>
      <w:r>
        <w:t xml:space="preserve"> organization portal.</w:t>
      </w:r>
    </w:p>
    <w:p>
      <w:pPr>
        <w:pStyle w:val="BodyText"/>
        <w:numPr>
          <w:numId w:val="257"/>
        </w:numPr>
      </w:pPr>
      <w:r>
        <w:t xml:space="preserve">Click the </w:t>
      </w:r>
      <w:r>
        <w:rPr>
          <w:rStyle w:val="InlineUI"/>
        </w:rPr>
        <w:t>Manage &amp; Govern</w:t>
      </w:r>
      <w:r>
        <w:t xml:space="preserve"> tab.</w:t>
      </w:r>
    </w:p>
    <w:p>
      <w:pPr>
        <w:pStyle w:val="BodyText"/>
        <w:numPr>
          <w:numId w:val="25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57"/>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Templates</w:t>
      </w:r>
      <w:r>
        <w:t>.</w:t>
      </w:r>
    </w:p>
    <w:p>
      <w:pPr>
        <w:pStyle w:val="BodyText"/>
        <w:numPr>
          <w:numId w:val="257"/>
        </w:numPr>
      </w:pPr>
      <w:r>
        <w:t>Click the vertical ellipsis (</w:t>
      </w:r>
      <w:r>
        <w:drawing>
          <wp:inline>
            <wp:extent cx="411481" cy="425197"/>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45"/>
                    <a:stretch>
                      <a:fillRect/>
                    </a:stretch>
                  </pic:blipFill>
                  <pic:spPr>
                    <a:xfrm>
                      <a:off x="0" y="0"/>
                      <a:ext cx="411481" cy="425197"/>
                    </a:xfrm>
                    <a:prstGeom prst="rect">
                      <a:avLst/>
                    </a:prstGeom>
                  </pic:spPr>
                </pic:pic>
              </a:graphicData>
            </a:graphic>
          </wp:inline>
        </w:drawing>
      </w:r>
      <w:r>
        <w:drawing>
          <wp:inline>
            <wp:extent cx="132588" cy="137160"/>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for the template that you want to modify or delete and select your action.</w:t>
      </w:r>
    </w:p>
    <w:p>
      <w:pPr>
        <w:pStyle w:val="BodyText"/>
        <w:ind w:left="480"/>
      </w:pPr>
      <w:r>
        <w:t>You cannot edit or delete built-in templates, that is, the ones that start with the vksm prefix.</w:t>
      </w:r>
    </w:p>
    <w:p>
      <w:pPr>
        <w:pStyle w:val="BodyText"/>
        <w:numPr>
          <w:ilvl w:val="1"/>
          <w:numId w:val="257"/>
        </w:numPr>
      </w:pPr>
      <w:r>
        <w:t xml:space="preserve">To modify the template, click </w:t>
      </w:r>
      <w:r>
        <w:rPr>
          <w:rStyle w:val="InlineUI"/>
        </w:rPr>
        <w:t>Edit</w:t>
      </w:r>
      <w:r>
        <w:t>.</w:t>
      </w:r>
    </w:p>
    <w:p>
      <w:pPr>
        <w:pStyle w:val="BodyText"/>
        <w:numPr>
          <w:ilvl w:val="1"/>
          <w:numId w:val="257"/>
        </w:numPr>
      </w:pPr>
      <w:r>
        <w:t xml:space="preserve">To delete the template, click </w:t>
      </w:r>
      <w:r>
        <w:rPr>
          <w:rStyle w:val="InlineUI"/>
        </w:rPr>
        <w:t>Delete</w:t>
      </w:r>
      <w:r>
        <w:t>.</w:t>
      </w:r>
    </w:p>
    <w:p>
      <w:pPr>
        <w:pStyle w:val="Heading5"/>
      </w:pPr>
      <w:r>
        <w:t>Download the YAML File of a Custom Policy Template</w:t>
      </w:r>
    </w:p>
    <w:p>
      <w:pPr>
        <w:pStyle w:val="BodyText"/>
      </w:pPr>
      <w:r>
        <w:t>You can download the definition of a policy template in a YAML file, which you can edit and import to create a new policy template or modify an existing one.</w:t>
      </w:r>
    </w:p>
    <w:p>
      <w:pPr>
        <w:pStyle w:val="BodyText"/>
      </w:pPr>
      <w:r>
        <w:t>Verify that you are assigned one of the appropriate roles:</w:t>
      </w:r>
    </w:p>
    <w:p>
      <w:pPr>
        <w:pStyle w:val="BodyText"/>
        <w:numPr>
          <w:numId w:val="258"/>
        </w:numPr>
      </w:pPr>
      <w:r>
        <w:rPr>
          <w:rStyle w:val="InlineUI"/>
        </w:rPr>
        <w:t>Organization Administrator</w:t>
      </w:r>
    </w:p>
    <w:p>
      <w:pPr>
        <w:pStyle w:val="BodyText"/>
        <w:numPr>
          <w:numId w:val="258"/>
        </w:numPr>
      </w:pPr>
      <w:r>
        <w:rPr>
          <w:rStyle w:val="InlineUI"/>
        </w:rPr>
        <w:t>Organization Auditor</w:t>
      </w:r>
    </w:p>
    <w:p>
      <w:pPr>
        <w:pStyle w:val="BodyText"/>
      </w:pPr>
      <w:r>
        <w:rPr>
          <w:rStyle w:val="Strong"/>
        </w:rPr>
        <w:t>Procedure</w:t>
      </w:r>
    </w:p>
    <w:p>
      <w:pPr>
        <w:pStyle w:val="BodyText"/>
        <w:numPr>
          <w:numId w:val="259"/>
        </w:numPr>
      </w:pPr>
      <w:r>
        <w:t xml:space="preserve">Log in to the </w:t>
      </w:r>
      <w:r>
        <w:t>VCF Automation</w:t>
      </w:r>
      <w:r>
        <w:t xml:space="preserve"> organization portal.</w:t>
      </w:r>
    </w:p>
    <w:p>
      <w:pPr>
        <w:pStyle w:val="BodyText"/>
        <w:numPr>
          <w:numId w:val="259"/>
        </w:numPr>
      </w:pPr>
      <w:r>
        <w:t xml:space="preserve">Click the </w:t>
      </w:r>
      <w:r>
        <w:rPr>
          <w:rStyle w:val="InlineUI"/>
        </w:rPr>
        <w:t>Manage &amp; Govern</w:t>
      </w:r>
      <w:r>
        <w:t xml:space="preserve"> tab.</w:t>
      </w:r>
    </w:p>
    <w:p>
      <w:pPr>
        <w:pStyle w:val="BodyText"/>
        <w:numPr>
          <w:numId w:val="25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59"/>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Templates</w:t>
      </w:r>
      <w:r>
        <w:t>.</w:t>
      </w:r>
    </w:p>
    <w:p>
      <w:pPr>
        <w:pStyle w:val="BodyText"/>
        <w:numPr>
          <w:numId w:val="259"/>
        </w:numPr>
      </w:pPr>
      <w:r>
        <w:t>Click the vertical ellipsis (</w:t>
      </w:r>
      <w:r>
        <w:drawing>
          <wp:inline>
            <wp:extent cx="132588" cy="137160"/>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template whose definition you want to download and click </w:t>
      </w:r>
      <w:r>
        <w:rPr>
          <w:rStyle w:val="InlineUI"/>
        </w:rPr>
        <w:t>Download YAML</w:t>
      </w:r>
      <w:r>
        <w:t>.</w:t>
      </w:r>
    </w:p>
    <w:p>
      <w:pPr>
        <w:pStyle w:val="BodyText"/>
      </w:pPr>
      <w:r>
        <w:rPr>
          <w:rStyle w:val="Strong"/>
        </w:rPr>
        <w:t>Results</w:t>
      </w:r>
    </w:p>
    <w:p>
      <w:pPr>
        <w:pStyle w:val="BodyText"/>
      </w:pPr>
      <w:r>
        <w:t>The YAML file is saved to your local computer.</w:t>
      </w:r>
    </w:p>
    <w:p>
      <w:pPr>
        <w:pStyle w:val="Heading4"/>
      </w:pPr>
      <w:bookmarkStart w:id="299" w:name="B284b82fa898e41fc87083592201ccc5c"/>
      <w:bookmarkStart w:id="300" w:name="_Toc256000828"/>
      <w:r>
        <w:t>Managing Pod Security with VKS Cluster Management Security Policies</w:t>
      </w:r>
      <w:bookmarkEnd w:id="300"/>
      <w:bookmarkEnd w:id="299"/>
    </w:p>
    <w:p>
      <w:pPr>
        <w:pStyle w:val="BodyText"/>
      </w:pPr>
      <w:r>
        <w:t>Use security policies to impose constraints on your clusters that define what deployed pods can do and which resources they have access to. Security policies together with mutation policies, which are both implemented by using OPA Gatekeeper, can help prevent the deployment of pods that do not conform to your specifications.</w:t>
      </w:r>
    </w:p>
    <w:p>
      <w:pPr>
        <w:pStyle w:val="SectionHeading5"/>
      </w:pPr>
      <w:r>
        <w:t>Security Policies Overview</w:t>
      </w:r>
    </w:p>
    <w:p>
      <w:pPr>
        <w:pStyle w:val="BodyText"/>
      </w:pPr>
      <w:r>
        <w:t xml:space="preserve">For a manageable security posture, </w:t>
      </w:r>
      <w:r>
        <w:t>VKS</w:t>
      </w:r>
      <w:r>
        <w:t xml:space="preserve"> cluster management enables you to control the activity in the </w:t>
      </w:r>
      <w:r>
        <w:t>VKS</w:t>
      </w:r>
      <w:r>
        <w:t xml:space="preserve"> clusters in your organization with security policies that govern certain aspects of pod execution in the cluster. These aspects include privileged containers, volume types, privilege escalation, and Linux capabilities. Although security policies in </w:t>
      </w:r>
      <w:r>
        <w:t>VKS</w:t>
      </w:r>
      <w:r>
        <w:t xml:space="preserve"> cluster management are not implemented using the Kubernetes-native </w:t>
      </w:r>
      <w:r>
        <w:rPr>
          <w:rStyle w:val="InlineCode"/>
        </w:rPr>
        <w:t>PodSecurityAdmission</w:t>
      </w:r>
      <w:r>
        <w:t xml:space="preserve"> object, the security-sensitive aspects of the pod specification that they control is the same. </w:t>
      </w:r>
      <w:r>
        <w:t>VKS</w:t>
      </w:r>
      <w:r>
        <w:t xml:space="preserve"> cluster management uses </w:t>
      </w:r>
      <w:r>
        <w:rPr>
          <w:rStyle w:val="InlineCode"/>
        </w:rPr>
        <w:t>restricted</w:t>
      </w:r>
      <w:r>
        <w:t xml:space="preserve"> and </w:t>
      </w:r>
      <w:r>
        <w:rPr>
          <w:rStyle w:val="InlineCode"/>
        </w:rPr>
        <w:t>baseline</w:t>
      </w:r>
      <w:r>
        <w:t xml:space="preserve"> templates that are similar to the ones in the Kubernetes official pod-security-standards. With </w:t>
      </w:r>
      <w:r>
        <w:t>VKS</w:t>
      </w:r>
      <w:r>
        <w:t xml:space="preserve"> cluster management, you can also create a custom template where you can customize the policy for individual fields in your security context. For the current Kubernetes pod security policy standards (Kubernetes v1.23 and later), see the Kubernetes official documentation at </w:t>
      </w:r>
      <w:hyperlink r:id="rId47" w:tooltip="https://kubernetes.io/docs/concepts/security/pod-security-admission/" w:history="1">
        <w:r>
          <w:rPr>
            <w:color w:val="0000FF"/>
            <w:u w:val="single"/>
          </w:rPr>
          <w:t>https://kubernetes.io/docs/concepts/security/pod-security-admission/</w:t>
        </w:r>
      </w:hyperlink>
      <w:r>
        <w:t>.</w:t>
      </w:r>
    </w:p>
    <w:p>
      <w:pPr>
        <w:pStyle w:val="BodyText"/>
      </w:pPr>
      <w:r>
        <w:t>You can implement security policies at the cluster, project, or organization level. Like any other policy, security policies are propagated down through the resource hierarchy. For example, if you create a security policy for a project, all clusters in that project inherit the security policy.</w:t>
      </w:r>
    </w:p>
    <w:p>
      <w:pPr>
        <w:pStyle w:val="BodyText"/>
        <w:pBdr>
          <w:top w:val="single" w:sz="8" w:space="2" w:color="D3D3D3"/>
          <w:bottom w:val="single" w:sz="8" w:space="2" w:color="D3D3D3"/>
        </w:pBdr>
      </w:pPr>
      <w:r>
        <w:rPr>
          <w:rStyle w:val="NoteLeadernote"/>
        </w:rPr>
        <w:t>Note</w:t>
        <w:tab/>
      </w:r>
      <w:r>
        <w:t>You cannot relax the constraints of an inherited security policy by implementing a less restrictive policy on a child object. For example, a restrictive policy created by an organization administartor at the organization level cannot be overwritten by a less restrictive policy on the project created by the project administrator.</w:t>
      </w:r>
    </w:p>
    <w:p>
      <w:pPr>
        <w:pStyle w:val="BodyText"/>
      </w:pPr>
      <w:r>
        <w:t xml:space="preserve">If you want to set default values to the security contexts in all your new workloads, you can use a mutation policy with the </w:t>
      </w:r>
      <w:r>
        <w:rPr>
          <w:rStyle w:val="InlineCode"/>
        </w:rPr>
        <w:t>pod-security</w:t>
      </w:r>
      <w:r>
        <w:t xml:space="preserve"> template. For more information about mutation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Bcfc6516f9b924715ad43cc903dc20e4d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Mutation Policies</w:t>
      </w:r>
      <w:r>
        <w:fldChar w:fldCharType="end"/>
      </w:r>
      <w:r>
        <w:t>.</w:t>
      </w:r>
    </w:p>
    <w:p>
      <w:pPr>
        <w:pStyle w:val="SectionHeading5"/>
      </w:pPr>
      <w:r>
        <w:t>Relaxing Pod Security</w:t>
      </w:r>
    </w:p>
    <w:p>
      <w:pPr>
        <w:pStyle w:val="BodyText"/>
      </w:pPr>
      <w:r>
        <w:t>VKS</w:t>
      </w:r>
      <w:r>
        <w:t xml:space="preserve"> clusters have Kubernetes-native PodSecurityAdmission (PSA) set to </w:t>
      </w:r>
      <w:r>
        <w:rPr>
          <w:rStyle w:val="InlineCode"/>
        </w:rPr>
        <w:t>restricted</w:t>
      </w:r>
      <w:r>
        <w:t xml:space="preserve"> by default. That policy takes presedence over any security policy that you create with </w:t>
      </w:r>
      <w:r>
        <w:t>VKS</w:t>
      </w:r>
      <w:r>
        <w:t xml:space="preserve"> cluster management. That PSA policy prevents the use of privileged options in your containers, such as running a container as root or using privileged mode. However, you might want to enable your pods to use some of these privileged options in some of your clusters or you might want to fully rely on the </w:t>
      </w:r>
      <w:r>
        <w:t>VKS</w:t>
      </w:r>
      <w:r>
        <w:t xml:space="preserve"> cluster management security policies. In such cases, you need to disable the </w:t>
      </w:r>
      <w:r>
        <w:t>VKS</w:t>
      </w:r>
      <w:r>
        <w:t xml:space="preserve"> cluster PSA. For instructions how to override PSA for </w:t>
      </w:r>
      <w:r>
        <w:t>VKS</w:t>
      </w:r>
      <w:r>
        <w:t xml:space="preserve"> clusters, see </w:t>
      </w:r>
      <w:r>
        <w:t>Configure PSA for 1.25 and Later</w:t>
      </w:r>
      <w:r>
        <w:t>.</w:t>
      </w:r>
    </w:p>
    <w:p>
      <w:pPr>
        <w:pStyle w:val="SectionHeading5"/>
      </w:pPr>
      <w:r>
        <w:t>Evaluation and Precedence of Security and Mutation Policies</w:t>
      </w:r>
    </w:p>
    <w:p>
      <w:pPr>
        <w:pStyle w:val="BodyText"/>
      </w:pPr>
      <w:r>
        <w:t>Both security policies and mutation policies can be applied in the resource hierarchy, and they are both propagated down through the resource hierarchy.</w:t>
      </w:r>
    </w:p>
    <w:p>
      <w:pPr>
        <w:pStyle w:val="BodyText"/>
      </w:pPr>
      <w:r>
        <w:t xml:space="preserve">When a workload is deployed to a cluster that has both mutation policies and security policies, the mutation policies are evaluated and applied first, mutating the </w:t>
      </w:r>
      <w:r>
        <w:rPr>
          <w:rStyle w:val="InlineCode"/>
        </w:rPr>
        <w:t>PodSpec</w:t>
      </w:r>
      <w:r>
        <w:t xml:space="preserve"> as specified. Then, after all mutations are applied, the security policies are evaluated to determine if the </w:t>
      </w:r>
      <w:r>
        <w:rPr>
          <w:rStyle w:val="InlineCode"/>
        </w:rPr>
        <w:t>PodSpec</w:t>
      </w:r>
      <w:r>
        <w:t xml:space="preserve"> is conformant to allow deployment.</w:t>
      </w:r>
    </w:p>
    <w:p>
      <w:pPr>
        <w:pStyle w:val="BodyText"/>
      </w:pPr>
      <w:r>
        <w:t xml:space="preserve">For more information about mutation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Bcfc6516f9b924715ad43cc903dc20e4d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VKS Cluster Management Mutation Policies</w:t>
      </w:r>
      <w:r>
        <w:fldChar w:fldCharType="end"/>
      </w:r>
      <w:r>
        <w:t>.</w:t>
      </w:r>
    </w:p>
    <w:p>
      <w:pPr>
        <w:pStyle w:val="Heading5"/>
      </w:pPr>
      <w:r>
        <w:t>Create a Security Policy</w:t>
      </w:r>
    </w:p>
    <w:p>
      <w:pPr>
        <w:pStyle w:val="BodyText"/>
      </w:pPr>
      <w:r>
        <w:t>Add a security policy that governs how pods can run in your clusters.</w:t>
      </w:r>
    </w:p>
    <w:p>
      <w:pPr>
        <w:pStyle w:val="BodyText"/>
      </w:pPr>
      <w:r>
        <w:t xml:space="preserve">Security policies in </w:t>
      </w:r>
      <w:r>
        <w:t>VKS</w:t>
      </w:r>
      <w:r>
        <w:t xml:space="preserve"> cluster management are implemented using the Gatekeeper project from Open Policy Agent (OPA). When you create a security policy, </w:t>
      </w:r>
      <w:r>
        <w:t>VKS</w:t>
      </w:r>
      <w:r>
        <w:t xml:space="preserve"> cluster management applies the policy to each cluster impacted by the policy. If this is the first security policy for a cluster, </w:t>
      </w:r>
      <w:r>
        <w:t>VKS</w:t>
      </w:r>
      <w:r>
        <w:t xml:space="preserve"> cluster management installs OPA Gatekeeper in the cluster, and then applies the policy.</w:t>
      </w:r>
    </w:p>
    <w:p>
      <w:pPr>
        <w:pStyle w:val="BodyText"/>
      </w:pPr>
      <w:r>
        <w:rPr>
          <w:rStyle w:val="Strong"/>
        </w:rPr>
        <w:t>Prerequisites</w:t>
      </w:r>
    </w:p>
    <w:p>
      <w:pPr>
        <w:pStyle w:val="BodyText"/>
      </w:pPr>
      <w:r>
        <w:t>Verify that you are assigned one of the appropriate roles:</w:t>
      </w:r>
    </w:p>
    <w:p>
      <w:pPr>
        <w:pStyle w:val="BodyText"/>
        <w:numPr>
          <w:numId w:val="260"/>
        </w:numPr>
      </w:pPr>
      <w:r>
        <w:rPr>
          <w:rStyle w:val="InlineUI"/>
        </w:rPr>
        <w:t>Organization Administrator</w:t>
      </w:r>
    </w:p>
    <w:p>
      <w:pPr>
        <w:pStyle w:val="BodyText"/>
        <w:numPr>
          <w:numId w:val="260"/>
        </w:numPr>
      </w:pPr>
      <w:r>
        <w:rPr>
          <w:rStyle w:val="InlineUI"/>
        </w:rPr>
        <w:t>Project Administrator</w:t>
      </w:r>
    </w:p>
    <w:p>
      <w:pPr>
        <w:pStyle w:val="BodyText"/>
      </w:pPr>
      <w:r>
        <w:rPr>
          <w:rStyle w:val="Strong"/>
        </w:rPr>
        <w:t>Procedure</w:t>
      </w:r>
    </w:p>
    <w:p>
      <w:pPr>
        <w:pStyle w:val="BodyText"/>
        <w:numPr>
          <w:numId w:val="261"/>
        </w:numPr>
      </w:pPr>
      <w:r>
        <w:t xml:space="preserve">Log in to the </w:t>
      </w:r>
      <w:r>
        <w:t>VCF Automation</w:t>
      </w:r>
      <w:r>
        <w:t xml:space="preserve"> organization portal.</w:t>
      </w:r>
    </w:p>
    <w:p>
      <w:pPr>
        <w:pStyle w:val="BodyText"/>
        <w:numPr>
          <w:numId w:val="261"/>
        </w:numPr>
      </w:pPr>
      <w:r>
        <w:t xml:space="preserve">Click the </w:t>
      </w:r>
      <w:r>
        <w:rPr>
          <w:rStyle w:val="InlineUI"/>
        </w:rPr>
        <w:t>Manage &amp; Govern</w:t>
      </w:r>
      <w:r>
        <w:t xml:space="preserve"> tab.</w:t>
      </w:r>
    </w:p>
    <w:p>
      <w:pPr>
        <w:pStyle w:val="BodyText"/>
        <w:numPr>
          <w:numId w:val="261"/>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61"/>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61"/>
        </w:numPr>
      </w:pPr>
      <w:r>
        <w:t xml:space="preserve">Click the </w:t>
      </w:r>
      <w:r>
        <w:rPr>
          <w:rStyle w:val="InlineUI"/>
        </w:rPr>
        <w:t>Security</w:t>
      </w:r>
      <w:r>
        <w:t xml:space="preserve"> tab and select an object from the </w:t>
      </w:r>
      <w:r>
        <w:rPr>
          <w:rStyle w:val="InlineUI"/>
        </w:rPr>
        <w:t>Projects</w:t>
      </w:r>
      <w:r>
        <w:t xml:space="preserve"> tree.</w:t>
      </w:r>
    </w:p>
    <w:p>
      <w:pPr>
        <w:pStyle w:val="BodyText"/>
        <w:numPr>
          <w:numId w:val="261"/>
        </w:numPr>
      </w:pPr>
      <w:r>
        <w:t xml:space="preserve">Click the </w:t>
      </w:r>
      <w:r>
        <w:rPr>
          <w:rStyle w:val="InlineUI"/>
        </w:rPr>
        <w:t>Create security policy</w:t>
      </w:r>
      <w:r>
        <w:t xml:space="preserve"> button.</w:t>
      </w:r>
    </w:p>
    <w:p>
      <w:pPr>
        <w:pStyle w:val="BodyText"/>
        <w:ind w:left="480"/>
      </w:pPr>
      <w:r>
        <w:t xml:space="preserve">The </w:t>
      </w:r>
      <w:r>
        <w:rPr>
          <w:rStyle w:val="InlineUI"/>
        </w:rPr>
        <w:t>Create security policy</w:t>
      </w:r>
      <w:r>
        <w:t xml:space="preserve"> wizard opens as a separate page.</w:t>
      </w:r>
    </w:p>
    <w:p>
      <w:pPr>
        <w:pStyle w:val="BodyText"/>
        <w:numPr>
          <w:numId w:val="261"/>
        </w:numPr>
      </w:pPr>
      <w:r>
        <w:t xml:space="preserve">In the </w:t>
      </w:r>
      <w:r>
        <w:rPr>
          <w:rStyle w:val="InlineUI"/>
        </w:rPr>
        <w:t>Create security policy</w:t>
      </w:r>
      <w:r>
        <w:t xml:space="preserve"> wizard, select the security template to use.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18"/>
        <w:gridCol w:w="826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Restricted</w:t>
            </w:r>
          </w:p>
        </w:tc>
        <w:tc>
          <w:tcPr>
            <w:tcBorders>
              <w:left w:val="nil"/>
              <w:right w:val="nil"/>
            </w:tcBorders>
          </w:tcPr>
          <w:p>
            <w:pPr>
              <w:pStyle w:val="TableBodyText"/>
            </w:pPr>
            <w:r>
              <w:t xml:space="preserve">The </w:t>
            </w:r>
            <w:r>
              <w:rPr>
                <w:rStyle w:val="InlineUI"/>
              </w:rPr>
              <w:t>Strict</w:t>
            </w:r>
            <w:r>
              <w:t xml:space="preserve"> template is a preconfigured set of constraints that define a tight security context for pods in your clusters.</w:t>
            </w:r>
          </w:p>
        </w:tc>
      </w:tr>
      <w:tr>
        <w:tblPrEx>
          <w:tblInd w:w="480" w:type="dxa"/>
          <w:tblCellMar>
            <w:left w:w="108" w:type="dxa"/>
            <w:right w:w="108" w:type="dxa"/>
          </w:tblCellMar>
        </w:tblPrEx>
        <w:trPr>
          <w:cantSplit/>
        </w:trPr>
        <w:tc>
          <w:tcPr>
            <w:tcBorders>
              <w:left w:val="nil"/>
              <w:right w:val="nil"/>
            </w:tcBorders>
          </w:tcPr>
          <w:p>
            <w:pPr>
              <w:pStyle w:val="TableBodyText"/>
            </w:pPr>
            <w:r>
              <w:t>Baseline</w:t>
            </w:r>
          </w:p>
        </w:tc>
        <w:tc>
          <w:tcPr>
            <w:tcBorders>
              <w:left w:val="nil"/>
              <w:right w:val="nil"/>
            </w:tcBorders>
          </w:tcPr>
          <w:p>
            <w:pPr>
              <w:pStyle w:val="TableBodyText"/>
            </w:pPr>
            <w:r>
              <w:t xml:space="preserve">The </w:t>
            </w:r>
            <w:r>
              <w:rPr>
                <w:rStyle w:val="InlineUI"/>
              </w:rPr>
              <w:t>Baseline</w:t>
            </w:r>
            <w:r>
              <w:t xml:space="preserve"> template is a preconfigured set of constraints that prevents known privilege escalations, but is less stringent than the </w:t>
            </w:r>
            <w:r>
              <w:rPr>
                <w:rStyle w:val="InlineUI"/>
              </w:rPr>
              <w:t>Strict</w:t>
            </w:r>
            <w:r>
              <w:t xml:space="preserve"> template to ease adoption of the security policy for common containerized workloads.</w:t>
            </w:r>
          </w:p>
        </w:tc>
      </w:tr>
      <w:tr>
        <w:tblPrEx>
          <w:tblInd w:w="480" w:type="dxa"/>
          <w:tblCellMar>
            <w:left w:w="108" w:type="dxa"/>
            <w:right w:w="108" w:type="dxa"/>
          </w:tblCellMar>
        </w:tblPrEx>
        <w:trPr>
          <w:cantSplit/>
        </w:trPr>
        <w:tc>
          <w:tcPr>
            <w:tcBorders>
              <w:left w:val="nil"/>
              <w:right w:val="nil"/>
            </w:tcBorders>
          </w:tcPr>
          <w:p>
            <w:pPr>
              <w:pStyle w:val="TableBodyText"/>
            </w:pPr>
            <w:r>
              <w:t>Custom</w:t>
            </w:r>
          </w:p>
        </w:tc>
        <w:tc>
          <w:tcPr>
            <w:tcBorders>
              <w:left w:val="nil"/>
              <w:right w:val="nil"/>
            </w:tcBorders>
          </w:tcPr>
          <w:p>
            <w:pPr>
              <w:pStyle w:val="TableBodyText"/>
            </w:pPr>
            <w:r>
              <w:t xml:space="preserve">The </w:t>
            </w:r>
            <w:r>
              <w:rPr>
                <w:rStyle w:val="InlineUI"/>
              </w:rPr>
              <w:t>Custom</w:t>
            </w:r>
            <w:r>
              <w:t xml:space="preserve"> template enables you to specify how to handle the various aspects of pod security for your workload clusters.</w:t>
            </w:r>
          </w:p>
        </w:tc>
      </w:tr>
    </w:tbl>
    <w:p>
      <w:pPr>
        <w:pStyle w:val="BodyText"/>
        <w:numPr>
          <w:numId w:val="261"/>
        </w:numPr>
        <w:spacing w:before="240"/>
      </w:pPr>
      <w:r>
        <w:t xml:space="preserve">In the </w:t>
      </w:r>
      <w:r>
        <w:rPr>
          <w:rStyle w:val="InlineUI"/>
        </w:rPr>
        <w:t>Basic details</w:t>
      </w:r>
      <w:r>
        <w:t xml:space="preserve"> section, enter a policy name in the respective text field.</w:t>
      </w:r>
    </w:p>
    <w:p>
      <w:pPr>
        <w:pStyle w:val="BodyText"/>
        <w:numPr>
          <w:numId w:val="261"/>
        </w:numPr>
      </w:pPr>
      <w:r>
        <w:t>If you use a custom security template, specify all aspects for the policy.</w:t>
      </w:r>
    </w:p>
    <w:p>
      <w:pPr>
        <w:pStyle w:val="BodyText"/>
        <w:numPr>
          <w:numId w:val="261"/>
        </w:numPr>
      </w:pPr>
      <w:r>
        <w:t xml:space="preserve">(Optional) In the </w:t>
      </w:r>
      <w:r>
        <w:rPr>
          <w:rStyle w:val="InlineUI"/>
        </w:rPr>
        <w:t>Namespace selectors</w:t>
      </w:r>
      <w:r>
        <w:t xml:space="preserve"> section, click the </w:t>
      </w:r>
      <w:r>
        <w:rPr>
          <w:rStyle w:val="InlineUI"/>
        </w:rPr>
        <w:t>Add label</w:t>
      </w:r>
      <w:r>
        <w:t xml:space="preserve"> buttons to add label selectors to specify particular namespaces to include or exclude for this policy.</w:t>
      </w:r>
    </w:p>
    <w:p>
      <w:pPr>
        <w:pStyle w:val="BodyText"/>
        <w:numPr>
          <w:numId w:val="261"/>
        </w:numPr>
      </w:pPr>
      <w:r>
        <w:t xml:space="preserve">In the </w:t>
      </w:r>
      <w:r>
        <w:rPr>
          <w:rStyle w:val="InlineUI"/>
        </w:rPr>
        <w:t>Policy enforcement</w:t>
      </w:r>
      <w:r>
        <w:t xml:space="preserve"> section, select the enforcement action for the policy from the </w:t>
      </w:r>
      <w:r>
        <w:rPr>
          <w:rStyle w:val="InlineUI"/>
        </w:rPr>
        <w:t>Enformcement action</w:t>
      </w:r>
      <w:r>
        <w:t xml:space="preserve"> drop-down menu.</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1"/>
        <w:gridCol w:w="822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Deny (default action)</w:t>
            </w:r>
          </w:p>
        </w:tc>
        <w:tc>
          <w:tcPr>
            <w:tcBorders>
              <w:left w:val="nil"/>
              <w:right w:val="nil"/>
            </w:tcBorders>
          </w:tcPr>
          <w:p>
            <w:pPr>
              <w:pStyle w:val="TableBodyText"/>
            </w:pPr>
            <w:r>
              <w:t>This option indicates that the policy is fully enforced, denying admission requests with any violation.</w:t>
            </w:r>
          </w:p>
        </w:tc>
      </w:tr>
      <w:tr>
        <w:tblPrEx>
          <w:tblInd w:w="480" w:type="dxa"/>
          <w:tblCellMar>
            <w:left w:w="108" w:type="dxa"/>
            <w:right w:w="108" w:type="dxa"/>
          </w:tblCellMar>
        </w:tblPrEx>
        <w:trPr>
          <w:cantSplit/>
        </w:trPr>
        <w:tc>
          <w:tcPr>
            <w:tcBorders>
              <w:left w:val="nil"/>
              <w:right w:val="nil"/>
            </w:tcBorders>
          </w:tcPr>
          <w:p>
            <w:pPr>
              <w:pStyle w:val="TableBodyText"/>
            </w:pPr>
            <w:r>
              <w:t>Dry run</w:t>
            </w:r>
          </w:p>
        </w:tc>
        <w:tc>
          <w:tcPr>
            <w:tcBorders>
              <w:left w:val="nil"/>
              <w:right w:val="nil"/>
            </w:tcBorders>
          </w:tcPr>
          <w:p>
            <w:pPr>
              <w:pStyle w:val="TableBodyText"/>
            </w:pPr>
            <w:r>
              <w:t xml:space="preserve">This option indicates that the policy is not enforced, but enables you to see the impact of the policy for testing. If this option is selected, the policy does not prevent containers from being scheduled on the cluster, but you do receive alerts for policy violations on the </w:t>
            </w:r>
            <w:r>
              <w:rPr>
                <w:rStyle w:val="InlineUI"/>
              </w:rPr>
              <w:t>Policy Insights</w:t>
            </w:r>
            <w:r>
              <w:t xml:space="preserve"> page. You can later edit this policy to re-enable policy enforcement.</w:t>
            </w:r>
          </w:p>
        </w:tc>
      </w:tr>
      <w:tr>
        <w:tblPrEx>
          <w:tblInd w:w="480" w:type="dxa"/>
          <w:tblCellMar>
            <w:left w:w="108" w:type="dxa"/>
            <w:right w:w="108" w:type="dxa"/>
          </w:tblCellMar>
        </w:tblPrEx>
        <w:trPr>
          <w:cantSplit/>
        </w:trPr>
        <w:tc>
          <w:tcPr>
            <w:tcBorders>
              <w:left w:val="nil"/>
              <w:right w:val="nil"/>
            </w:tcBorders>
          </w:tcPr>
          <w:p>
            <w:pPr>
              <w:pStyle w:val="TableBodyText"/>
            </w:pPr>
            <w:r>
              <w:t>Warn</w:t>
            </w:r>
          </w:p>
        </w:tc>
        <w:tc>
          <w:tcPr>
            <w:tcBorders>
              <w:left w:val="nil"/>
              <w:right w:val="nil"/>
            </w:tcBorders>
          </w:tcPr>
          <w:p>
            <w:pPr>
              <w:pStyle w:val="TableBodyText"/>
            </w:pPr>
            <w:r>
              <w:t>This option works like the Dry run option, except that it provides immediate feedback when a potential denial occurs.</w:t>
            </w:r>
          </w:p>
        </w:tc>
      </w:tr>
    </w:tbl>
    <w:p>
      <w:pPr>
        <w:pStyle w:val="BodyText"/>
        <w:numPr>
          <w:numId w:val="261"/>
        </w:numPr>
        <w:spacing w:before="240"/>
      </w:pPr>
      <w:r>
        <w:t xml:space="preserve">Click the </w:t>
      </w:r>
      <w:r>
        <w:rPr>
          <w:rStyle w:val="InlineUI"/>
        </w:rPr>
        <w:t>Create policy</w:t>
      </w:r>
      <w:r>
        <w:t xml:space="preserve"> button.</w:t>
      </w:r>
    </w:p>
    <w:p>
      <w:pPr>
        <w:pStyle w:val="BodyText"/>
      </w:pPr>
      <w:r>
        <w:rPr>
          <w:rStyle w:val="Strong"/>
        </w:rPr>
        <w:t>Results</w:t>
      </w:r>
    </w:p>
    <w:p>
      <w:pPr>
        <w:pStyle w:val="BodyText"/>
      </w:pPr>
      <w:r>
        <w:t xml:space="preserve">The created security policy appears in the table with direct security policies for the selected object. The security policy is inherited by all child objects in the </w:t>
      </w:r>
      <w:r>
        <w:rPr>
          <w:rStyle w:val="InlineUI"/>
        </w:rPr>
        <w:t>Projects</w:t>
      </w:r>
      <w:r>
        <w:t xml:space="preserve"> tree.</w:t>
      </w:r>
    </w:p>
    <w:p>
      <w:pPr>
        <w:pStyle w:val="Heading5"/>
      </w:pPr>
      <w:r>
        <w:t>Edit or Delete a Security Policy</w:t>
      </w:r>
    </w:p>
    <w:p>
      <w:pPr>
        <w:pStyle w:val="BodyText"/>
      </w:pPr>
      <w:r>
        <w:t>You can edit an existing security policy that constrains pod execution in your clusters or you can delete the policy, if you no longer need it.</w:t>
      </w:r>
    </w:p>
    <w:p>
      <w:pPr>
        <w:pStyle w:val="BodyText"/>
      </w:pPr>
      <w:r>
        <w:rPr>
          <w:rStyle w:val="Strong"/>
        </w:rPr>
        <w:t>Prerequisites</w:t>
      </w:r>
    </w:p>
    <w:p>
      <w:pPr>
        <w:pStyle w:val="BodyText"/>
      </w:pPr>
      <w:r>
        <w:t>Verify that you are assigned one of the appropriate roles:</w:t>
      </w:r>
    </w:p>
    <w:p>
      <w:pPr>
        <w:pStyle w:val="BodyText"/>
        <w:numPr>
          <w:numId w:val="262"/>
        </w:numPr>
      </w:pPr>
      <w:r>
        <w:rPr>
          <w:rStyle w:val="InlineUI"/>
        </w:rPr>
        <w:t>Organization Administrator</w:t>
      </w:r>
    </w:p>
    <w:p>
      <w:pPr>
        <w:pStyle w:val="BodyText"/>
        <w:numPr>
          <w:numId w:val="262"/>
        </w:numPr>
      </w:pPr>
      <w:r>
        <w:rPr>
          <w:rStyle w:val="InlineUI"/>
        </w:rPr>
        <w:t>Project Administrator</w:t>
      </w:r>
    </w:p>
    <w:p>
      <w:pPr>
        <w:pStyle w:val="BodyText"/>
      </w:pPr>
      <w:r>
        <w:rPr>
          <w:rStyle w:val="Strong"/>
        </w:rPr>
        <w:t>Procedure</w:t>
      </w:r>
    </w:p>
    <w:p>
      <w:pPr>
        <w:pStyle w:val="BodyText"/>
        <w:numPr>
          <w:numId w:val="263"/>
        </w:numPr>
      </w:pPr>
      <w:r>
        <w:t xml:space="preserve">Log in to the </w:t>
      </w:r>
      <w:r>
        <w:t>VCF Automation</w:t>
      </w:r>
      <w:r>
        <w:t xml:space="preserve"> organization portal.</w:t>
      </w:r>
    </w:p>
    <w:p>
      <w:pPr>
        <w:pStyle w:val="BodyText"/>
        <w:numPr>
          <w:numId w:val="263"/>
        </w:numPr>
      </w:pPr>
      <w:r>
        <w:t xml:space="preserve">Click the </w:t>
      </w:r>
      <w:r>
        <w:rPr>
          <w:rStyle w:val="InlineUI"/>
        </w:rPr>
        <w:t>Manage &amp; Govern</w:t>
      </w:r>
      <w:r>
        <w:t xml:space="preserve"> tab.</w:t>
      </w:r>
    </w:p>
    <w:p>
      <w:pPr>
        <w:pStyle w:val="BodyText"/>
        <w:numPr>
          <w:numId w:val="263"/>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63"/>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63"/>
        </w:numPr>
      </w:pPr>
      <w:r>
        <w:t xml:space="preserve">Click the </w:t>
      </w:r>
      <w:r>
        <w:rPr>
          <w:rStyle w:val="InlineUI"/>
        </w:rPr>
        <w:t>Security</w:t>
      </w:r>
      <w:r>
        <w:t xml:space="preserve"> tab and select an object from the </w:t>
      </w:r>
      <w:r>
        <w:rPr>
          <w:rStyle w:val="InlineUI"/>
        </w:rPr>
        <w:t>Projects</w:t>
      </w:r>
      <w:r>
        <w:t xml:space="preserve"> tree.</w:t>
      </w:r>
    </w:p>
    <w:p>
      <w:pPr>
        <w:pStyle w:val="BodyText"/>
        <w:pBdr>
          <w:top w:val="single" w:sz="8" w:space="2" w:color="D3D3D3"/>
          <w:bottom w:val="single" w:sz="8" w:space="2" w:color="D3D3D3"/>
        </w:pBdr>
        <w:ind w:left="480"/>
      </w:pPr>
      <w:r>
        <w:rPr>
          <w:rStyle w:val="NoteLeaderimportant"/>
        </w:rPr>
        <w:t>Important</w:t>
        <w:tab/>
      </w:r>
      <w:r>
        <w:t>You can edit or delete only direct policies for a given object. You cannot modify or delete inherited policies. For example, if you want to delete a policy that a cluster inherited from an organization, you need to go to the organization and delete the policy at that level.</w:t>
      </w:r>
    </w:p>
    <w:p>
      <w:pPr>
        <w:pStyle w:val="BodyText"/>
        <w:numPr>
          <w:numId w:val="263"/>
        </w:numPr>
      </w:pPr>
      <w:r>
        <w:t>From the list of direct policies for the selected object, click the vertical ellipsis (</w:t>
      </w:r>
      <w:r>
        <w:drawing>
          <wp:inline>
            <wp:extent cx="132588" cy="137160"/>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for the policy that you want to modify or delete and select your action.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503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Modify a policy</w:t>
            </w:r>
          </w:p>
        </w:tc>
        <w:tc>
          <w:tcPr>
            <w:tcBorders>
              <w:left w:val="nil"/>
              <w:right w:val="nil"/>
            </w:tcBorders>
          </w:tcPr>
          <w:p>
            <w:pPr>
              <w:pStyle w:val="TableBodyText"/>
              <w:numPr>
                <w:numId w:val="264"/>
              </w:numPr>
            </w:pPr>
            <w:r>
              <w:t xml:space="preserve">Click </w:t>
            </w:r>
            <w:r>
              <w:rPr>
                <w:rStyle w:val="InlineUI"/>
              </w:rPr>
              <w:t>Edit</w:t>
            </w:r>
            <w:r>
              <w:t>.</w:t>
            </w:r>
          </w:p>
          <w:p>
            <w:pPr>
              <w:pStyle w:val="TableBodyText"/>
              <w:numPr>
                <w:numId w:val="264"/>
              </w:numPr>
            </w:pPr>
            <w:r>
              <w:t xml:space="preserve">Make your corrections and click the </w:t>
            </w:r>
            <w:r>
              <w:rPr>
                <w:rStyle w:val="InlineUI"/>
              </w:rPr>
              <w:t>Save</w:t>
            </w:r>
            <w:r>
              <w:t xml:space="preserve"> button.</w:t>
            </w:r>
          </w:p>
        </w:tc>
      </w:tr>
      <w:tr>
        <w:tblPrEx>
          <w:tblInd w:w="480" w:type="dxa"/>
          <w:tblCellMar>
            <w:left w:w="108" w:type="dxa"/>
            <w:right w:w="108" w:type="dxa"/>
          </w:tblCellMar>
        </w:tblPrEx>
        <w:trPr>
          <w:cantSplit/>
        </w:trPr>
        <w:tc>
          <w:tcPr>
            <w:tcBorders>
              <w:left w:val="nil"/>
              <w:right w:val="nil"/>
            </w:tcBorders>
          </w:tcPr>
          <w:p>
            <w:pPr>
              <w:pStyle w:val="TableBodyText"/>
            </w:pPr>
            <w:r>
              <w:t>Delete a policy</w:t>
            </w:r>
          </w:p>
        </w:tc>
        <w:tc>
          <w:tcPr>
            <w:tcBorders>
              <w:left w:val="nil"/>
              <w:right w:val="nil"/>
            </w:tcBorders>
          </w:tcPr>
          <w:p>
            <w:pPr>
              <w:pStyle w:val="TableBodyText"/>
              <w:numPr>
                <w:numId w:val="265"/>
              </w:numPr>
            </w:pPr>
            <w:r>
              <w:t xml:space="preserve">Click </w:t>
            </w:r>
            <w:r>
              <w:rPr>
                <w:rStyle w:val="InlineUI"/>
              </w:rPr>
              <w:t>Delete</w:t>
            </w:r>
            <w:r>
              <w:t>.</w:t>
            </w:r>
          </w:p>
          <w:p>
            <w:pPr>
              <w:pStyle w:val="TableBodyText"/>
              <w:numPr>
                <w:numId w:val="265"/>
              </w:numPr>
            </w:pPr>
            <w:r>
              <w:t>Confirm the deletion.</w:t>
            </w:r>
          </w:p>
        </w:tc>
      </w:tr>
    </w:tbl>
    <w:p>
      <w:pPr>
        <w:pStyle w:val="Heading4"/>
        <w:spacing w:before="120"/>
      </w:pPr>
      <w:bookmarkStart w:id="301" w:name="B3c48819a61fc4f1a9da59541504ee373"/>
      <w:bookmarkStart w:id="302" w:name="_Toc256000829"/>
      <w:r>
        <w:t>VKS Cluster Management Image Registry Policies</w:t>
      </w:r>
      <w:bookmarkEnd w:id="302"/>
      <w:bookmarkEnd w:id="301"/>
    </w:p>
    <w:p>
      <w:pPr>
        <w:pStyle w:val="BodyText"/>
      </w:pPr>
      <w:r>
        <w:t xml:space="preserve">Define the registries from which images can be pulled for deployment in your managed </w:t>
      </w:r>
      <w:r>
        <w:t>VKS</w:t>
      </w:r>
      <w:r>
        <w:t xml:space="preserve"> cluster namespaces.</w:t>
      </w:r>
    </w:p>
    <w:p>
      <w:pPr>
        <w:pStyle w:val="BodyText"/>
      </w:pPr>
      <w:r>
        <w:t xml:space="preserve">Using </w:t>
      </w:r>
      <w:r>
        <w:t>VKS</w:t>
      </w:r>
      <w:r>
        <w:t xml:space="preserve"> cluster management, you can make the deployments to namespaces in your clusters more secure by restricting the image registries from which images are pulled, as well as the images that can be pulled from a registry. By default, </w:t>
      </w:r>
      <w:r>
        <w:t>VKS</w:t>
      </w:r>
      <w:r>
        <w:t xml:space="preserve"> cluster management does not impose any such restriction, and allows you to manage image registry restrictions at the organization, project, or cluster level.</w:t>
      </w:r>
    </w:p>
    <w:p>
      <w:pPr>
        <w:pStyle w:val="BodyText"/>
      </w:pPr>
      <w:r>
        <w:t xml:space="preserve">Each namespace can be protected by an image registry policy that defines the registries from which an image can be pulled, and these policies are inherited down through the organizational hierarchy. For more information about policies and policy inheritance,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B5544aafc83ef4102bfe2b8f7cb46ef96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VKS Cluster Management Policies</w:t>
      </w:r>
      <w:r>
        <w:fldChar w:fldCharType="end"/>
      </w:r>
      <w:r>
        <w:t>.</w:t>
      </w:r>
    </w:p>
    <w:p>
      <w:pPr>
        <w:pStyle w:val="Heading5"/>
      </w:pPr>
      <w:r>
        <w:t>Create an Image Registry Policy</w:t>
      </w:r>
    </w:p>
    <w:p>
      <w:pPr>
        <w:pStyle w:val="BodyText"/>
      </w:pPr>
      <w:r>
        <w:t>Add an image registry policy that restricts the images that can be pulled for deployment in your managed namespaces.</w:t>
      </w:r>
    </w:p>
    <w:p>
      <w:pPr>
        <w:pStyle w:val="BodyText"/>
      </w:pPr>
      <w:r>
        <w:rPr>
          <w:rStyle w:val="Strong"/>
        </w:rPr>
        <w:t>Prerequisites</w:t>
      </w:r>
    </w:p>
    <w:p>
      <w:pPr>
        <w:pStyle w:val="BodyText"/>
      </w:pPr>
      <w:r>
        <w:t>Verify that you are assigned one of the appropriate roles:</w:t>
      </w:r>
    </w:p>
    <w:p>
      <w:pPr>
        <w:pStyle w:val="BodyText"/>
        <w:numPr>
          <w:numId w:val="266"/>
        </w:numPr>
      </w:pPr>
      <w:r>
        <w:rPr>
          <w:rStyle w:val="InlineUI"/>
        </w:rPr>
        <w:t>Organization Administrator</w:t>
      </w:r>
    </w:p>
    <w:p>
      <w:pPr>
        <w:pStyle w:val="BodyText"/>
        <w:numPr>
          <w:numId w:val="266"/>
        </w:numPr>
      </w:pPr>
      <w:r>
        <w:rPr>
          <w:rStyle w:val="InlineUI"/>
        </w:rPr>
        <w:t>Project Administrator</w:t>
      </w:r>
    </w:p>
    <w:p>
      <w:pPr>
        <w:pStyle w:val="BodyText"/>
      </w:pPr>
      <w:r>
        <w:rPr>
          <w:rStyle w:val="Strong"/>
        </w:rPr>
        <w:t>Procedure</w:t>
      </w:r>
    </w:p>
    <w:p>
      <w:pPr>
        <w:pStyle w:val="BodyText"/>
        <w:numPr>
          <w:numId w:val="267"/>
        </w:numPr>
      </w:pPr>
      <w:r>
        <w:t xml:space="preserve">Log in to the </w:t>
      </w:r>
      <w:r>
        <w:t>VCF Automation</w:t>
      </w:r>
      <w:r>
        <w:t xml:space="preserve"> organization portal.</w:t>
      </w:r>
    </w:p>
    <w:p>
      <w:pPr>
        <w:pStyle w:val="BodyText"/>
        <w:numPr>
          <w:numId w:val="267"/>
        </w:numPr>
      </w:pPr>
      <w:r>
        <w:t xml:space="preserve">Click the </w:t>
      </w:r>
      <w:r>
        <w:rPr>
          <w:rStyle w:val="InlineUI"/>
        </w:rPr>
        <w:t>Manage &amp; Govern</w:t>
      </w:r>
      <w:r>
        <w:t xml:space="preserve"> tab.</w:t>
      </w:r>
    </w:p>
    <w:p>
      <w:pPr>
        <w:pStyle w:val="BodyText"/>
        <w:numPr>
          <w:numId w:val="26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67"/>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67"/>
        </w:numPr>
      </w:pPr>
      <w:r>
        <w:t xml:space="preserve">Click the </w:t>
      </w:r>
      <w:r>
        <w:rPr>
          <w:rStyle w:val="InlineUI"/>
        </w:rPr>
        <w:t>Image registry</w:t>
      </w:r>
      <w:r>
        <w:t xml:space="preserve"> tab and select an object from the </w:t>
      </w:r>
      <w:r>
        <w:rPr>
          <w:rStyle w:val="InlineUI"/>
        </w:rPr>
        <w:t>Projects</w:t>
      </w:r>
      <w:r>
        <w:t xml:space="preserve"> tree.</w:t>
      </w:r>
    </w:p>
    <w:p>
      <w:pPr>
        <w:pStyle w:val="BodyText"/>
        <w:ind w:left="480"/>
      </w:pPr>
      <w:r>
        <w:t>Policies arepropagated down through the tree. If you create a policy for an organization, all the projects and clusters in that organization inherit the policy.</w:t>
      </w:r>
    </w:p>
    <w:p>
      <w:pPr>
        <w:pStyle w:val="BodyText"/>
        <w:numPr>
          <w:numId w:val="267"/>
        </w:numPr>
      </w:pPr>
      <w:r>
        <w:t xml:space="preserve">Click the </w:t>
      </w:r>
      <w:r>
        <w:rPr>
          <w:rStyle w:val="InlineUI"/>
        </w:rPr>
        <w:t>Create image registry policy</w:t>
      </w:r>
      <w:r>
        <w:t xml:space="preserve"> button.</w:t>
      </w:r>
    </w:p>
    <w:p>
      <w:pPr>
        <w:pStyle w:val="BodyText"/>
        <w:ind w:left="480"/>
      </w:pPr>
      <w:r>
        <w:t xml:space="preserve">The </w:t>
      </w:r>
      <w:r>
        <w:rPr>
          <w:rStyle w:val="InlineUI"/>
        </w:rPr>
        <w:t>Create image registry policy</w:t>
      </w:r>
      <w:r>
        <w:t xml:space="preserve"> wizard opens as a page.</w:t>
      </w:r>
    </w:p>
    <w:p>
      <w:pPr>
        <w:pStyle w:val="BodyText"/>
        <w:numPr>
          <w:numId w:val="267"/>
        </w:numPr>
      </w:pPr>
      <w:r>
        <w:t xml:space="preserve">In the </w:t>
      </w:r>
      <w:r>
        <w:rPr>
          <w:rStyle w:val="InlineUI"/>
        </w:rPr>
        <w:t>Create image registry policy</w:t>
      </w:r>
      <w:r>
        <w:t xml:space="preserve"> wizard, select the </w:t>
      </w:r>
      <w:r>
        <w:rPr>
          <w:rStyle w:val="InlineUI"/>
        </w:rPr>
        <w:t>Custom</w:t>
      </w:r>
      <w:r>
        <w:t xml:space="preserve"> template to use.</w:t>
      </w:r>
    </w:p>
    <w:p>
      <w:pPr>
        <w:pStyle w:val="BodyText"/>
        <w:numPr>
          <w:numId w:val="267"/>
        </w:numPr>
      </w:pPr>
      <w:r>
        <w:t xml:space="preserve">In the </w:t>
      </w:r>
      <w:r>
        <w:rPr>
          <w:rStyle w:val="InlineUI"/>
        </w:rPr>
        <w:t>Basic details</w:t>
      </w:r>
      <w:r>
        <w:t xml:space="preserve"> section, enter a policy name in the repsective text field.</w:t>
      </w:r>
    </w:p>
    <w:p>
      <w:pPr>
        <w:pStyle w:val="BodyText"/>
        <w:numPr>
          <w:numId w:val="267"/>
        </w:numPr>
      </w:pPr>
      <w:r>
        <w:t xml:space="preserve">In the </w:t>
      </w:r>
      <w:r>
        <w:rPr>
          <w:rStyle w:val="InlineUI"/>
        </w:rPr>
        <w:t>Rules</w:t>
      </w:r>
      <w:r>
        <w:t xml:space="preserve"> section, create at least one rule for the policy.</w:t>
      </w:r>
    </w:p>
    <w:p>
      <w:pPr>
        <w:pStyle w:val="BodyText"/>
        <w:numPr>
          <w:ilvl w:val="1"/>
          <w:numId w:val="267"/>
        </w:numPr>
      </w:pPr>
      <w:r>
        <w:t xml:space="preserve">Click the </w:t>
      </w:r>
      <w:r>
        <w:rPr>
          <w:rStyle w:val="InlineUI"/>
        </w:rPr>
        <w:t>Add rule</w:t>
      </w:r>
      <w:r>
        <w:t xml:space="preserve"> button.</w:t>
      </w:r>
    </w:p>
    <w:p>
      <w:pPr>
        <w:pStyle w:val="BodyText"/>
        <w:numPr>
          <w:ilvl w:val="1"/>
          <w:numId w:val="267"/>
        </w:numPr>
      </w:pPr>
      <w:r>
        <w:t>Define the rule by entering specifics in the respective fields.</w:t>
      </w:r>
    </w:p>
    <w:p>
      <w:pPr>
        <w:pStyle w:val="BodyText"/>
        <w:ind w:left="960"/>
      </w:pPr>
      <w:r>
        <w:t>You must define at least one rule.</w:t>
      </w:r>
    </w:p>
    <w:p>
      <w:pPr>
        <w:pStyle w:val="BodyText"/>
        <w:numPr>
          <w:ilvl w:val="1"/>
          <w:numId w:val="267"/>
        </w:numPr>
      </w:pPr>
      <w:r>
        <w:t>If you want to create another rule, repeat Step a and Step b.</w:t>
      </w:r>
    </w:p>
    <w:p>
      <w:pPr>
        <w:pStyle w:val="BodyText"/>
        <w:numPr>
          <w:numId w:val="267"/>
        </w:numPr>
      </w:pPr>
      <w:r>
        <w:t xml:space="preserve">(Optional) In the </w:t>
      </w:r>
      <w:r>
        <w:rPr>
          <w:rStyle w:val="InlineUI"/>
        </w:rPr>
        <w:t>Namespace selectors</w:t>
      </w:r>
      <w:r>
        <w:t xml:space="preserve"> section, click the </w:t>
      </w:r>
      <w:r>
        <w:rPr>
          <w:rStyle w:val="InlineUI"/>
        </w:rPr>
        <w:t>Add label</w:t>
      </w:r>
      <w:r>
        <w:t xml:space="preserve"> buttons to add label selectors to specify particular namespaces to include or exclude for this policy.</w:t>
      </w:r>
    </w:p>
    <w:p>
      <w:pPr>
        <w:pStyle w:val="BodyText"/>
        <w:numPr>
          <w:numId w:val="267"/>
        </w:numPr>
      </w:pPr>
      <w:r>
        <w:t xml:space="preserve">In the </w:t>
      </w:r>
      <w:r>
        <w:rPr>
          <w:rStyle w:val="InlineUI"/>
        </w:rPr>
        <w:t>Policy enforcement</w:t>
      </w:r>
      <w:r>
        <w:t xml:space="preserve"> section, select the enforcement action for the policy from the </w:t>
      </w:r>
      <w:r>
        <w:rPr>
          <w:rStyle w:val="InlineUI"/>
        </w:rPr>
        <w:t>Enformcement action</w:t>
      </w:r>
      <w:r>
        <w:t xml:space="preserve"> drop-down menu.</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1"/>
        <w:gridCol w:w="822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Deny (default action)</w:t>
            </w:r>
          </w:p>
        </w:tc>
        <w:tc>
          <w:tcPr>
            <w:tcBorders>
              <w:left w:val="nil"/>
              <w:right w:val="nil"/>
            </w:tcBorders>
          </w:tcPr>
          <w:p>
            <w:pPr>
              <w:pStyle w:val="TableBodyText"/>
            </w:pPr>
            <w:r>
              <w:t>This option indicates that the policy is fully enforced, denying admission requests with any violation.</w:t>
            </w:r>
          </w:p>
        </w:tc>
      </w:tr>
      <w:tr>
        <w:tblPrEx>
          <w:tblInd w:w="480" w:type="dxa"/>
          <w:tblCellMar>
            <w:left w:w="108" w:type="dxa"/>
            <w:right w:w="108" w:type="dxa"/>
          </w:tblCellMar>
        </w:tblPrEx>
        <w:trPr>
          <w:cantSplit/>
        </w:trPr>
        <w:tc>
          <w:tcPr>
            <w:tcBorders>
              <w:left w:val="nil"/>
              <w:right w:val="nil"/>
            </w:tcBorders>
          </w:tcPr>
          <w:p>
            <w:pPr>
              <w:pStyle w:val="TableBodyText"/>
            </w:pPr>
            <w:r>
              <w:t>Dry run</w:t>
            </w:r>
          </w:p>
        </w:tc>
        <w:tc>
          <w:tcPr>
            <w:tcBorders>
              <w:left w:val="nil"/>
              <w:right w:val="nil"/>
            </w:tcBorders>
          </w:tcPr>
          <w:p>
            <w:pPr>
              <w:pStyle w:val="TableBodyText"/>
            </w:pPr>
            <w:r>
              <w:t xml:space="preserve">This option indicates that the policy is not enforced, but enables you to see the impact of the policy for testing. If this option is selected, the policy does not prevent containers from being scheduled on the cluster, but you do receive alerts for policy violations on the </w:t>
            </w:r>
            <w:r>
              <w:rPr>
                <w:rStyle w:val="InlineUI"/>
              </w:rPr>
              <w:t>Policy Insights</w:t>
            </w:r>
            <w:r>
              <w:t xml:space="preserve"> page. You can later edit this policy to re-enable policy enforcement.</w:t>
            </w:r>
          </w:p>
        </w:tc>
      </w:tr>
      <w:tr>
        <w:tblPrEx>
          <w:tblInd w:w="480" w:type="dxa"/>
          <w:tblCellMar>
            <w:left w:w="108" w:type="dxa"/>
            <w:right w:w="108" w:type="dxa"/>
          </w:tblCellMar>
        </w:tblPrEx>
        <w:trPr>
          <w:cantSplit/>
        </w:trPr>
        <w:tc>
          <w:tcPr>
            <w:tcBorders>
              <w:left w:val="nil"/>
              <w:right w:val="nil"/>
            </w:tcBorders>
          </w:tcPr>
          <w:p>
            <w:pPr>
              <w:pStyle w:val="TableBodyText"/>
            </w:pPr>
            <w:r>
              <w:t>Warn</w:t>
            </w:r>
          </w:p>
        </w:tc>
        <w:tc>
          <w:tcPr>
            <w:tcBorders>
              <w:left w:val="nil"/>
              <w:right w:val="nil"/>
            </w:tcBorders>
          </w:tcPr>
          <w:p>
            <w:pPr>
              <w:pStyle w:val="TableBodyText"/>
            </w:pPr>
            <w:r>
              <w:t>This option works like the Dry run option, except that it provides immediate feedback when a potential denial occurs.</w:t>
            </w:r>
          </w:p>
        </w:tc>
      </w:tr>
    </w:tbl>
    <w:p>
      <w:pPr>
        <w:pStyle w:val="BodyText"/>
        <w:numPr>
          <w:numId w:val="267"/>
        </w:numPr>
        <w:spacing w:before="240"/>
      </w:pPr>
      <w:r>
        <w:t xml:space="preserve">Click the </w:t>
      </w:r>
      <w:r>
        <w:rPr>
          <w:rStyle w:val="InlineUI"/>
        </w:rPr>
        <w:t>Create policy</w:t>
      </w:r>
      <w:r>
        <w:t xml:space="preserve"> button.</w:t>
      </w:r>
    </w:p>
    <w:p>
      <w:pPr>
        <w:pStyle w:val="BodyText"/>
      </w:pPr>
      <w:r>
        <w:rPr>
          <w:rStyle w:val="Strong"/>
        </w:rPr>
        <w:t>Results</w:t>
      </w:r>
    </w:p>
    <w:p>
      <w:pPr>
        <w:pStyle w:val="BodyText"/>
      </w:pPr>
      <w:r>
        <w:t xml:space="preserve">The created image registry policy appears in the table with direct security policies for the selected object. The newly created image registry policy is inherited by all child objects in the </w:t>
      </w:r>
      <w:r>
        <w:rPr>
          <w:rStyle w:val="InlineUI"/>
        </w:rPr>
        <w:t>Projects</w:t>
      </w:r>
      <w:r>
        <w:t xml:space="preserve"> tree.</w:t>
      </w:r>
    </w:p>
    <w:p>
      <w:pPr>
        <w:pStyle w:val="Heading5"/>
      </w:pPr>
      <w:r>
        <w:t>Edit or Delete an Image Registry Policy</w:t>
      </w:r>
    </w:p>
    <w:p>
      <w:pPr>
        <w:pStyle w:val="BodyText"/>
      </w:pPr>
      <w:r>
        <w:t>You can modify an image registry policy to suit your needs better or you can delete it when you no longer need it.</w:t>
      </w:r>
    </w:p>
    <w:p>
      <w:pPr>
        <w:pStyle w:val="BodyText"/>
      </w:pPr>
      <w:r>
        <w:rPr>
          <w:rStyle w:val="Strong"/>
        </w:rPr>
        <w:t>Prerequisites</w:t>
      </w:r>
    </w:p>
    <w:p>
      <w:pPr>
        <w:pStyle w:val="BodyText"/>
      </w:pPr>
      <w:r>
        <w:t>Verify that you are assigned one of the appropriate roles:</w:t>
      </w:r>
    </w:p>
    <w:p>
      <w:pPr>
        <w:pStyle w:val="BodyText"/>
        <w:numPr>
          <w:numId w:val="268"/>
        </w:numPr>
      </w:pPr>
      <w:r>
        <w:rPr>
          <w:rStyle w:val="InlineUI"/>
        </w:rPr>
        <w:t>Organization Administrator</w:t>
      </w:r>
    </w:p>
    <w:p>
      <w:pPr>
        <w:pStyle w:val="BodyText"/>
        <w:numPr>
          <w:numId w:val="268"/>
        </w:numPr>
      </w:pPr>
      <w:r>
        <w:rPr>
          <w:rStyle w:val="InlineUI"/>
        </w:rPr>
        <w:t>Project Administrator</w:t>
      </w:r>
    </w:p>
    <w:p>
      <w:pPr>
        <w:pStyle w:val="BodyText"/>
      </w:pPr>
      <w:r>
        <w:rPr>
          <w:rStyle w:val="Strong"/>
        </w:rPr>
        <w:t>Procedure</w:t>
      </w:r>
    </w:p>
    <w:p>
      <w:pPr>
        <w:pStyle w:val="BodyText"/>
        <w:numPr>
          <w:numId w:val="269"/>
        </w:numPr>
      </w:pPr>
      <w:r>
        <w:t xml:space="preserve">Log in to the </w:t>
      </w:r>
      <w:r>
        <w:t>VCF Automation</w:t>
      </w:r>
      <w:r>
        <w:t xml:space="preserve"> organization portal.</w:t>
      </w:r>
    </w:p>
    <w:p>
      <w:pPr>
        <w:pStyle w:val="BodyText"/>
        <w:numPr>
          <w:numId w:val="269"/>
        </w:numPr>
      </w:pPr>
      <w:r>
        <w:t xml:space="preserve">Click the </w:t>
      </w:r>
      <w:r>
        <w:rPr>
          <w:rStyle w:val="InlineUI"/>
        </w:rPr>
        <w:t>Manage &amp; Govern</w:t>
      </w:r>
      <w:r>
        <w:t xml:space="preserve"> tab.</w:t>
      </w:r>
    </w:p>
    <w:p>
      <w:pPr>
        <w:pStyle w:val="BodyText"/>
        <w:numPr>
          <w:numId w:val="26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69"/>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69"/>
        </w:numPr>
      </w:pPr>
      <w:r>
        <w:t xml:space="preserve">Click the </w:t>
      </w:r>
      <w:r>
        <w:rPr>
          <w:rStyle w:val="InlineUI"/>
        </w:rPr>
        <w:t>Image registry</w:t>
      </w:r>
      <w:r>
        <w:t xml:space="preserve"> tab and select an object from the </w:t>
      </w:r>
      <w:r>
        <w:rPr>
          <w:rStyle w:val="InlineUI"/>
        </w:rPr>
        <w:t>Projects</w:t>
      </w:r>
      <w:r>
        <w:t xml:space="preserve"> tree.</w:t>
      </w:r>
    </w:p>
    <w:p>
      <w:pPr>
        <w:pStyle w:val="BodyText"/>
        <w:pBdr>
          <w:top w:val="single" w:sz="8" w:space="2" w:color="D3D3D3"/>
          <w:bottom w:val="single" w:sz="8" w:space="2" w:color="D3D3D3"/>
        </w:pBdr>
        <w:ind w:left="480"/>
      </w:pPr>
      <w:r>
        <w:rPr>
          <w:rStyle w:val="NoteLeaderimportant"/>
        </w:rPr>
        <w:t>Important</w:t>
        <w:tab/>
      </w:r>
      <w:r>
        <w:t>You can edit or delete only direct policies for a given object. You cannot modify or delete inherited policies. For example, if you want to delete a policy that a cluster inherited from an organization, you need to go to the organization and delete the policy at that level.</w:t>
      </w:r>
    </w:p>
    <w:p>
      <w:pPr>
        <w:pStyle w:val="BodyText"/>
        <w:numPr>
          <w:numId w:val="269"/>
        </w:numPr>
      </w:pPr>
      <w:r>
        <w:t>From the list of direct policies for the selected object, click the vertical ellipsis (</w:t>
      </w:r>
      <w:r>
        <w:drawing>
          <wp:inline>
            <wp:extent cx="132588" cy="137160"/>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for the policy that you want to modify or delete and select your action.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503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Modify a policy</w:t>
            </w:r>
          </w:p>
        </w:tc>
        <w:tc>
          <w:tcPr>
            <w:tcBorders>
              <w:left w:val="nil"/>
              <w:right w:val="nil"/>
            </w:tcBorders>
          </w:tcPr>
          <w:p>
            <w:pPr>
              <w:pStyle w:val="TableBodyText"/>
              <w:numPr>
                <w:numId w:val="270"/>
              </w:numPr>
            </w:pPr>
            <w:r>
              <w:t xml:space="preserve">Click </w:t>
            </w:r>
            <w:r>
              <w:rPr>
                <w:rStyle w:val="InlineUI"/>
              </w:rPr>
              <w:t>Edit</w:t>
            </w:r>
            <w:r>
              <w:t>.</w:t>
            </w:r>
          </w:p>
          <w:p>
            <w:pPr>
              <w:pStyle w:val="TableBodyText"/>
              <w:numPr>
                <w:numId w:val="270"/>
              </w:numPr>
            </w:pPr>
            <w:r>
              <w:t xml:space="preserve">Make your corrections and click the </w:t>
            </w:r>
            <w:r>
              <w:rPr>
                <w:rStyle w:val="InlineUI"/>
              </w:rPr>
              <w:t>Save</w:t>
            </w:r>
            <w:r>
              <w:t xml:space="preserve"> button.</w:t>
            </w:r>
          </w:p>
        </w:tc>
      </w:tr>
      <w:tr>
        <w:tblPrEx>
          <w:tblInd w:w="480" w:type="dxa"/>
          <w:tblCellMar>
            <w:left w:w="108" w:type="dxa"/>
            <w:right w:w="108" w:type="dxa"/>
          </w:tblCellMar>
        </w:tblPrEx>
        <w:trPr>
          <w:cantSplit/>
        </w:trPr>
        <w:tc>
          <w:tcPr>
            <w:tcBorders>
              <w:left w:val="nil"/>
              <w:right w:val="nil"/>
            </w:tcBorders>
          </w:tcPr>
          <w:p>
            <w:pPr>
              <w:pStyle w:val="TableBodyText"/>
            </w:pPr>
            <w:r>
              <w:t>Delete a policy</w:t>
            </w:r>
          </w:p>
        </w:tc>
        <w:tc>
          <w:tcPr>
            <w:tcBorders>
              <w:left w:val="nil"/>
              <w:right w:val="nil"/>
            </w:tcBorders>
          </w:tcPr>
          <w:p>
            <w:pPr>
              <w:pStyle w:val="TableBodyText"/>
              <w:numPr>
                <w:numId w:val="271"/>
              </w:numPr>
            </w:pPr>
            <w:r>
              <w:t xml:space="preserve">Click </w:t>
            </w:r>
            <w:r>
              <w:rPr>
                <w:rStyle w:val="InlineUI"/>
              </w:rPr>
              <w:t>Delete</w:t>
            </w:r>
            <w:r>
              <w:t>.</w:t>
            </w:r>
          </w:p>
          <w:p>
            <w:pPr>
              <w:pStyle w:val="TableBodyText"/>
              <w:numPr>
                <w:numId w:val="271"/>
              </w:numPr>
            </w:pPr>
            <w:r>
              <w:t>Confirm the deletion.</w:t>
            </w:r>
          </w:p>
        </w:tc>
      </w:tr>
    </w:tbl>
    <w:p>
      <w:pPr>
        <w:pStyle w:val="Heading4"/>
        <w:spacing w:before="120"/>
      </w:pPr>
      <w:bookmarkStart w:id="303" w:name="Bfe058cce137d43f2afd547f829883c03"/>
      <w:bookmarkStart w:id="304" w:name="_Toc256000830"/>
      <w:r>
        <w:t>VKS Cluster Management Quota Policies</w:t>
      </w:r>
      <w:bookmarkEnd w:id="304"/>
      <w:bookmarkEnd w:id="303"/>
    </w:p>
    <w:p>
      <w:pPr>
        <w:pStyle w:val="BodyText"/>
      </w:pPr>
      <w:r>
        <w:t>Use a namespace quota policy to restrict the aggregate quantity of resources used in your clusters.</w:t>
      </w:r>
    </w:p>
    <w:p>
      <w:pPr>
        <w:pStyle w:val="BodyText"/>
      </w:pPr>
      <w:r>
        <w:t xml:space="preserve">Using </w:t>
      </w:r>
      <w:r>
        <w:t>VKS</w:t>
      </w:r>
      <w:r>
        <w:t xml:space="preserve"> cluster management, you can create a quota policy that enables you to set limits on the resources that can be consumed by the namespaces in your clusters. When you create a quota policy, you can choose from three preconfigured sets of resource limits (small, medium, large), or configure your own with a custom template that allows you to specify the quantity limits of various resource types.</w:t>
      </w:r>
    </w:p>
    <w:p>
      <w:pPr>
        <w:pStyle w:val="BodyText"/>
      </w:pPr>
      <w:r>
        <w:t xml:space="preserve">After you apply a quota policy at the organization, project, or cluster level, </w:t>
      </w:r>
      <w:r>
        <w:t>VKS</w:t>
      </w:r>
      <w:r>
        <w:t xml:space="preserve"> cluster management monitors the resource requests in the namespaces in your managed clusters. When the resource requests approach the limit you set, you see a warning in the table on the </w:t>
      </w:r>
      <w:r>
        <w:rPr>
          <w:rStyle w:val="InlineUI"/>
        </w:rPr>
        <w:t>Policy insights</w:t>
      </w:r>
      <w:r>
        <w:t xml:space="preserve"> page. For more information about policy insights,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B5e695ef96350424c850acb9a08db1cbc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 VKS Cluster Management Policy Insights</w:t>
      </w:r>
      <w:r>
        <w:fldChar w:fldCharType="end"/>
      </w:r>
      <w:r>
        <w:t>.</w:t>
      </w:r>
    </w:p>
    <w:p>
      <w:pPr>
        <w:pStyle w:val="Heading5"/>
      </w:pPr>
      <w:r>
        <w:t>Create a Quota Policy</w:t>
      </w:r>
    </w:p>
    <w:p>
      <w:pPr>
        <w:pStyle w:val="BodyText"/>
      </w:pPr>
      <w:r>
        <w:t xml:space="preserve">Add a quota policy that restricts the usage of resources in your </w:t>
      </w:r>
      <w:r>
        <w:t>VKS</w:t>
      </w:r>
      <w:r>
        <w:t xml:space="preserve"> clusters.</w:t>
      </w:r>
    </w:p>
    <w:p>
      <w:pPr>
        <w:pStyle w:val="BodyText"/>
      </w:pPr>
      <w:r>
        <w:rPr>
          <w:rStyle w:val="Strong"/>
        </w:rPr>
        <w:t>Prerequisites</w:t>
      </w:r>
    </w:p>
    <w:p>
      <w:pPr>
        <w:pStyle w:val="BodyText"/>
      </w:pPr>
      <w:r>
        <w:t>Verify that you are assigned one of the appropriate roles:</w:t>
      </w:r>
    </w:p>
    <w:p>
      <w:pPr>
        <w:pStyle w:val="BodyText"/>
        <w:numPr>
          <w:numId w:val="272"/>
        </w:numPr>
      </w:pPr>
      <w:r>
        <w:rPr>
          <w:rStyle w:val="InlineUI"/>
        </w:rPr>
        <w:t>Organization Administrator</w:t>
      </w:r>
    </w:p>
    <w:p>
      <w:pPr>
        <w:pStyle w:val="BodyText"/>
        <w:numPr>
          <w:numId w:val="272"/>
        </w:numPr>
      </w:pPr>
      <w:r>
        <w:rPr>
          <w:rStyle w:val="InlineUI"/>
        </w:rPr>
        <w:t>Project Administrator</w:t>
      </w:r>
    </w:p>
    <w:p>
      <w:pPr>
        <w:pStyle w:val="BodyText"/>
      </w:pPr>
      <w:r>
        <w:rPr>
          <w:rStyle w:val="Strong"/>
        </w:rPr>
        <w:t>Procedure</w:t>
      </w:r>
    </w:p>
    <w:p>
      <w:pPr>
        <w:pStyle w:val="BodyText"/>
        <w:numPr>
          <w:numId w:val="273"/>
        </w:numPr>
      </w:pPr>
      <w:r>
        <w:t xml:space="preserve">Log in to the </w:t>
      </w:r>
      <w:r>
        <w:t>VCF Automation</w:t>
      </w:r>
      <w:r>
        <w:t xml:space="preserve"> organization portal.</w:t>
      </w:r>
    </w:p>
    <w:p>
      <w:pPr>
        <w:pStyle w:val="BodyText"/>
        <w:numPr>
          <w:numId w:val="273"/>
        </w:numPr>
      </w:pPr>
      <w:r>
        <w:t xml:space="preserve">Click the </w:t>
      </w:r>
      <w:r>
        <w:rPr>
          <w:rStyle w:val="InlineUI"/>
        </w:rPr>
        <w:t>Manage &amp; Govern</w:t>
      </w:r>
      <w:r>
        <w:t xml:space="preserve"> tab.</w:t>
      </w:r>
    </w:p>
    <w:p>
      <w:pPr>
        <w:pStyle w:val="BodyText"/>
        <w:numPr>
          <w:numId w:val="273"/>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73"/>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73"/>
        </w:numPr>
      </w:pPr>
      <w:r>
        <w:t xml:space="preserve">Click the </w:t>
      </w:r>
      <w:r>
        <w:rPr>
          <w:rStyle w:val="InlineUI"/>
        </w:rPr>
        <w:t>Quota</w:t>
      </w:r>
      <w:r>
        <w:t xml:space="preserve"> tab and select an object from the </w:t>
      </w:r>
      <w:r>
        <w:rPr>
          <w:rStyle w:val="InlineUI"/>
        </w:rPr>
        <w:t>Projects</w:t>
      </w:r>
      <w:r>
        <w:t xml:space="preserve"> tree.</w:t>
      </w:r>
    </w:p>
    <w:p>
      <w:pPr>
        <w:pStyle w:val="BodyText"/>
        <w:ind w:left="480"/>
      </w:pPr>
      <w:r>
        <w:t>Policies are propagateddown through the tree. If you create a policy for an organization, all the projects and clusters in that organization inherit the policy.</w:t>
      </w:r>
    </w:p>
    <w:p>
      <w:pPr>
        <w:pStyle w:val="BodyText"/>
        <w:numPr>
          <w:numId w:val="273"/>
        </w:numPr>
      </w:pPr>
      <w:r>
        <w:t xml:space="preserve">Click the </w:t>
      </w:r>
      <w:r>
        <w:rPr>
          <w:rStyle w:val="InlineUI"/>
        </w:rPr>
        <w:t>Create quota policy</w:t>
      </w:r>
      <w:r>
        <w:t xml:space="preserve"> button.</w:t>
      </w:r>
    </w:p>
    <w:p>
      <w:pPr>
        <w:pStyle w:val="BodyText"/>
        <w:numPr>
          <w:numId w:val="273"/>
        </w:numPr>
      </w:pPr>
      <w:r>
        <w:t>Select the policy template to use.</w:t>
      </w:r>
    </w:p>
    <w:p>
      <w:pPr>
        <w:pStyle w:val="BodyText"/>
        <w:ind w:left="480"/>
      </w:pPr>
      <w:r>
        <w:t>You can choose from three preconfigured templates - small, medium, and large - that define common limits on CPU and memory requests. You can also select to use a custom template that enables you to specify CPU and memory limits and requests.</w:t>
      </w:r>
    </w:p>
    <w:p>
      <w:pPr>
        <w:pStyle w:val="BodyText"/>
        <w:numPr>
          <w:numId w:val="273"/>
        </w:numPr>
      </w:pPr>
      <w:r>
        <w:t>Enter a policy name in the repsective text field.</w:t>
      </w:r>
    </w:p>
    <w:p>
      <w:pPr>
        <w:pStyle w:val="BodyText"/>
        <w:numPr>
          <w:numId w:val="273"/>
        </w:numPr>
      </w:pPr>
      <w:r>
        <w:t>If you select to use a custom template, specify the CPU and memory limits for the policy.</w:t>
      </w:r>
    </w:p>
    <w:p>
      <w:pPr>
        <w:pStyle w:val="BodyText"/>
        <w:numPr>
          <w:numId w:val="273"/>
        </w:numPr>
      </w:pPr>
      <w:r>
        <w:t xml:space="preserve">(Optional) Click the </w:t>
      </w:r>
      <w:r>
        <w:rPr>
          <w:rStyle w:val="InlineUI"/>
        </w:rPr>
        <w:t>Add label selector</w:t>
      </w:r>
      <w:r>
        <w:t xml:space="preserve"> buttons to add label selectors to specify particular namespaces to include or exclude for this policy.</w:t>
      </w:r>
    </w:p>
    <w:p>
      <w:pPr>
        <w:pStyle w:val="BodyText"/>
        <w:numPr>
          <w:numId w:val="273"/>
        </w:numPr>
      </w:pPr>
      <w:r>
        <w:t xml:space="preserve">Click the </w:t>
      </w:r>
      <w:r>
        <w:rPr>
          <w:rStyle w:val="InlineUI"/>
        </w:rPr>
        <w:t>Create policy</w:t>
      </w:r>
      <w:r>
        <w:t xml:space="preserve"> button.</w:t>
      </w:r>
    </w:p>
    <w:p>
      <w:pPr>
        <w:pStyle w:val="BodyText"/>
      </w:pPr>
      <w:r>
        <w:rPr>
          <w:rStyle w:val="Strong"/>
        </w:rPr>
        <w:t>Results</w:t>
      </w:r>
    </w:p>
    <w:p>
      <w:pPr>
        <w:pStyle w:val="BodyText"/>
      </w:pPr>
      <w:r>
        <w:t xml:space="preserve">The created quota policy appears in the </w:t>
      </w:r>
      <w:r>
        <w:rPr>
          <w:rStyle w:val="InlineUI"/>
        </w:rPr>
        <w:t>Direct Quota policies</w:t>
      </w:r>
      <w:r>
        <w:t xml:space="preserve"> table. The newly created image registry policy is inherited by all child objects in the </w:t>
      </w:r>
      <w:r>
        <w:rPr>
          <w:rStyle w:val="InlineUI"/>
        </w:rPr>
        <w:t>Projects</w:t>
      </w:r>
      <w:r>
        <w:t xml:space="preserve"> tree.</w:t>
      </w:r>
    </w:p>
    <w:p>
      <w:pPr>
        <w:pStyle w:val="Heading5"/>
      </w:pPr>
      <w:r>
        <w:t>Edit or Delete a Quota Policy</w:t>
      </w:r>
    </w:p>
    <w:p>
      <w:pPr>
        <w:pStyle w:val="BodyText"/>
      </w:pPr>
      <w:r>
        <w:t>You can modify a quota policy to suit your needs better or you can delete it when you no longer need it.</w:t>
      </w:r>
    </w:p>
    <w:p>
      <w:pPr>
        <w:pStyle w:val="BodyText"/>
      </w:pPr>
      <w:r>
        <w:rPr>
          <w:rStyle w:val="Strong"/>
        </w:rPr>
        <w:t>Prerequisites</w:t>
      </w:r>
    </w:p>
    <w:p>
      <w:pPr>
        <w:pStyle w:val="BodyText"/>
      </w:pPr>
      <w:r>
        <w:t>Verify that you are assigned one of the appropriate roles:</w:t>
      </w:r>
    </w:p>
    <w:p>
      <w:pPr>
        <w:pStyle w:val="BodyText"/>
        <w:numPr>
          <w:numId w:val="274"/>
        </w:numPr>
      </w:pPr>
      <w:r>
        <w:rPr>
          <w:rStyle w:val="InlineUI"/>
        </w:rPr>
        <w:t>Organization Administrator</w:t>
      </w:r>
    </w:p>
    <w:p>
      <w:pPr>
        <w:pStyle w:val="BodyText"/>
        <w:numPr>
          <w:numId w:val="274"/>
        </w:numPr>
      </w:pPr>
      <w:r>
        <w:rPr>
          <w:rStyle w:val="InlineUI"/>
        </w:rPr>
        <w:t>Project Administrator</w:t>
      </w:r>
    </w:p>
    <w:p>
      <w:pPr>
        <w:pStyle w:val="BodyText"/>
      </w:pPr>
      <w:r>
        <w:rPr>
          <w:rStyle w:val="Strong"/>
        </w:rPr>
        <w:t>Procedure</w:t>
      </w:r>
    </w:p>
    <w:p>
      <w:pPr>
        <w:pStyle w:val="BodyText"/>
        <w:numPr>
          <w:numId w:val="275"/>
        </w:numPr>
      </w:pPr>
      <w:r>
        <w:t xml:space="preserve">Log in to the </w:t>
      </w:r>
      <w:r>
        <w:t>VCF Automation</w:t>
      </w:r>
      <w:r>
        <w:t xml:space="preserve"> organization portal.</w:t>
      </w:r>
    </w:p>
    <w:p>
      <w:pPr>
        <w:pStyle w:val="BodyText"/>
        <w:numPr>
          <w:numId w:val="275"/>
        </w:numPr>
      </w:pPr>
      <w:r>
        <w:t xml:space="preserve">Click the </w:t>
      </w:r>
      <w:r>
        <w:rPr>
          <w:rStyle w:val="InlineUI"/>
        </w:rPr>
        <w:t>Manage &amp; Govern</w:t>
      </w:r>
      <w:r>
        <w:t xml:space="preserve"> tab.</w:t>
      </w:r>
    </w:p>
    <w:p>
      <w:pPr>
        <w:pStyle w:val="BodyText"/>
        <w:numPr>
          <w:numId w:val="275"/>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75"/>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75"/>
        </w:numPr>
      </w:pPr>
      <w:r>
        <w:t xml:space="preserve">Click the </w:t>
      </w:r>
      <w:r>
        <w:rPr>
          <w:rStyle w:val="InlineUI"/>
        </w:rPr>
        <w:t>Quota</w:t>
      </w:r>
      <w:r>
        <w:t xml:space="preserve"> tab and select an object from the </w:t>
      </w:r>
      <w:r>
        <w:rPr>
          <w:rStyle w:val="InlineUI"/>
        </w:rPr>
        <w:t>Projects</w:t>
      </w:r>
      <w:r>
        <w:t xml:space="preserve"> tree.</w:t>
      </w:r>
    </w:p>
    <w:p>
      <w:pPr>
        <w:pStyle w:val="BodyText"/>
        <w:numPr>
          <w:numId w:val="275"/>
        </w:numPr>
      </w:pPr>
      <w:r>
        <w:t xml:space="preserve">From the </w:t>
      </w:r>
      <w:r>
        <w:rPr>
          <w:rStyle w:val="InlineUI"/>
        </w:rPr>
        <w:t>Direct Qota policies</w:t>
      </w:r>
      <w:r>
        <w:t xml:space="preserve"> table, select a policy and select your action.</w:t>
      </w:r>
      <w:r>
        <w:drawing>
          <wp:inline>
            <wp:extent cx="6324600" cy="2383643"/>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48"/>
                    <a:stretch>
                      <a:fillRect/>
                    </a:stretch>
                  </pic:blipFill>
                  <pic:spPr>
                    <a:xfrm>
                      <a:off x="0" y="0"/>
                      <a:ext cx="6324600" cy="2383643"/>
                    </a:xfrm>
                    <a:prstGeom prst="rect">
                      <a:avLst/>
                    </a:prstGeom>
                  </pic:spPr>
                </pic:pic>
              </a:graphicData>
            </a:graphic>
          </wp:inline>
        </w:drawing>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503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Action</w:t>
            </w:r>
          </w:p>
        </w:tc>
        <w:tc>
          <w:tcPr>
            <w:tcBorders>
              <w:left w:val="nil"/>
              <w:right w:val="nil"/>
            </w:tcBorders>
          </w:tcPr>
          <w:p>
            <w:pPr>
              <w:pStyle w:val="TableBodyText"/>
            </w:pPr>
            <w:r>
              <w:t>Steps</w:t>
            </w:r>
          </w:p>
        </w:tc>
      </w:tr>
      <w:tr>
        <w:tblPrEx>
          <w:tblInd w:w="480" w:type="dxa"/>
          <w:tblCellMar>
            <w:left w:w="108" w:type="dxa"/>
            <w:right w:w="108" w:type="dxa"/>
          </w:tblCellMar>
        </w:tblPrEx>
        <w:trPr>
          <w:cantSplit/>
        </w:trPr>
        <w:tc>
          <w:tcPr>
            <w:tcBorders>
              <w:left w:val="nil"/>
              <w:right w:val="nil"/>
            </w:tcBorders>
          </w:tcPr>
          <w:p>
            <w:pPr>
              <w:pStyle w:val="TableBodyText"/>
            </w:pPr>
            <w:r>
              <w:t>Modify a policy</w:t>
            </w:r>
          </w:p>
        </w:tc>
        <w:tc>
          <w:tcPr>
            <w:tcBorders>
              <w:left w:val="nil"/>
              <w:right w:val="nil"/>
            </w:tcBorders>
          </w:tcPr>
          <w:p>
            <w:pPr>
              <w:pStyle w:val="TableBodyText"/>
              <w:numPr>
                <w:numId w:val="276"/>
              </w:numPr>
            </w:pPr>
            <w:r>
              <w:t xml:space="preserve">Click </w:t>
            </w:r>
            <w:r>
              <w:rPr>
                <w:rStyle w:val="InlineUI"/>
              </w:rPr>
              <w:t>Edit</w:t>
            </w:r>
            <w:r>
              <w:t>.</w:t>
            </w:r>
          </w:p>
          <w:p>
            <w:pPr>
              <w:pStyle w:val="TableBodyText"/>
              <w:numPr>
                <w:numId w:val="276"/>
              </w:numPr>
            </w:pPr>
            <w:r>
              <w:t xml:space="preserve">Make your corrections and click the </w:t>
            </w:r>
            <w:r>
              <w:rPr>
                <w:rStyle w:val="InlineUI"/>
              </w:rPr>
              <w:t>Save</w:t>
            </w:r>
            <w:r>
              <w:t xml:space="preserve"> button.</w:t>
            </w:r>
          </w:p>
        </w:tc>
      </w:tr>
      <w:tr>
        <w:tblPrEx>
          <w:tblInd w:w="480" w:type="dxa"/>
          <w:tblCellMar>
            <w:left w:w="108" w:type="dxa"/>
            <w:right w:w="108" w:type="dxa"/>
          </w:tblCellMar>
        </w:tblPrEx>
        <w:trPr>
          <w:cantSplit/>
        </w:trPr>
        <w:tc>
          <w:tcPr>
            <w:tcBorders>
              <w:left w:val="nil"/>
              <w:right w:val="nil"/>
            </w:tcBorders>
          </w:tcPr>
          <w:p>
            <w:pPr>
              <w:pStyle w:val="TableBodyText"/>
            </w:pPr>
            <w:r>
              <w:t>Delete a policy</w:t>
            </w:r>
          </w:p>
        </w:tc>
        <w:tc>
          <w:tcPr>
            <w:tcBorders>
              <w:left w:val="nil"/>
              <w:right w:val="nil"/>
            </w:tcBorders>
          </w:tcPr>
          <w:p>
            <w:pPr>
              <w:pStyle w:val="TableBodyText"/>
              <w:numPr>
                <w:numId w:val="277"/>
              </w:numPr>
            </w:pPr>
            <w:r>
              <w:t xml:space="preserve">Click </w:t>
            </w:r>
            <w:r>
              <w:rPr>
                <w:rStyle w:val="InlineUI"/>
              </w:rPr>
              <w:t>Delete</w:t>
            </w:r>
            <w:r>
              <w:t>.</w:t>
            </w:r>
          </w:p>
          <w:p>
            <w:pPr>
              <w:pStyle w:val="TableBodyText"/>
              <w:numPr>
                <w:numId w:val="277"/>
              </w:numPr>
            </w:pPr>
            <w:r>
              <w:t>Confirm the deletion.</w:t>
            </w:r>
          </w:p>
        </w:tc>
      </w:tr>
    </w:tbl>
    <w:p>
      <w:pPr>
        <w:pStyle w:val="Heading4"/>
        <w:spacing w:before="120"/>
      </w:pPr>
      <w:bookmarkStart w:id="305" w:name="B6a446f5acac04b4f82aa88a52d5247b5"/>
      <w:bookmarkStart w:id="306" w:name="_Toc256000831"/>
      <w:r>
        <w:t>VKS Cluster Management Custom Policies</w:t>
      </w:r>
      <w:bookmarkEnd w:id="306"/>
      <w:bookmarkEnd w:id="305"/>
    </w:p>
    <w:p>
      <w:pPr>
        <w:pStyle w:val="BodyText"/>
      </w:pPr>
      <w:r>
        <w:t>Custom policies enable you to to address aspects of cluster management that specifically suit the needs of your organization and that are not covered by the other types of policies.</w:t>
      </w:r>
    </w:p>
    <w:p>
      <w:pPr>
        <w:pStyle w:val="BodyText"/>
      </w:pPr>
      <w:r>
        <w:t xml:space="preserve">Custom policies in </w:t>
      </w:r>
      <w:r>
        <w:t>VKS</w:t>
      </w:r>
      <w:r>
        <w:t xml:space="preserve"> cluster management are implemented using OPA Gatekeeper as a policy engine. To create a custom policy template, you use Rego, the policy language of OPA. For more information about Rego, see the OPA Policy Language documentation at </w:t>
      </w:r>
      <w:hyperlink r:id="rId43" w:tooltip="https://www.openpolicyagent.org/docs/policy-language" w:history="1">
        <w:r>
          <w:rPr>
            <w:color w:val="0000FF"/>
            <w:u w:val="single"/>
          </w:rPr>
          <w:t>https://www.openpolicyagent.org/docs/policy-language</w:t>
        </w:r>
      </w:hyperlink>
      <w:r>
        <w:t>.</w:t>
      </w:r>
    </w:p>
    <w:p>
      <w:pPr>
        <w:pStyle w:val="BodyText"/>
      </w:pPr>
      <w:r>
        <w:t xml:space="preserve">You create custom policies by using policy templates. </w:t>
      </w:r>
      <w:r>
        <w:t>VKS</w:t>
      </w:r>
      <w:r>
        <w:t xml:space="preserve"> cluster management provides predefined policy templates, but you can also create your own templates and later use them for your custom policies. For more inforamtion about </w:t>
      </w:r>
      <w:r>
        <w:t>VKS</w:t>
      </w:r>
      <w:r>
        <w:t xml:space="preserve"> cluster management policy templates,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B70cc43bab6b445e08f5c89c8b875bb8d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VKS Cluster Management Policy Templates</w:t>
      </w:r>
      <w:r>
        <w:fldChar w:fldCharType="end"/>
      </w:r>
      <w:r>
        <w:t>.</w:t>
      </w:r>
    </w:p>
    <w:p>
      <w:pPr>
        <w:pStyle w:val="Heading5"/>
      </w:pPr>
      <w:r>
        <w:t>Create a Cutom Policy</w:t>
      </w:r>
    </w:p>
    <w:p>
      <w:pPr>
        <w:pStyle w:val="BodyText"/>
      </w:pPr>
      <w:r>
        <w:t>Define and implement specialized policies that govern your Kubernetes clusters.</w:t>
      </w:r>
    </w:p>
    <w:p>
      <w:pPr>
        <w:pStyle w:val="BodyText"/>
      </w:pPr>
      <w:r>
        <w:rPr>
          <w:rStyle w:val="Strong"/>
        </w:rPr>
        <w:t>Prerequisites</w:t>
      </w:r>
    </w:p>
    <w:p>
      <w:pPr>
        <w:pStyle w:val="BodyText"/>
      </w:pPr>
      <w:r>
        <w:t>Verify that you are assigned one of the appropriate roles:</w:t>
      </w:r>
    </w:p>
    <w:p>
      <w:pPr>
        <w:pStyle w:val="BodyText"/>
        <w:numPr>
          <w:numId w:val="278"/>
        </w:numPr>
      </w:pPr>
      <w:r>
        <w:rPr>
          <w:rStyle w:val="InlineUI"/>
        </w:rPr>
        <w:t>Organization Administrator</w:t>
      </w:r>
    </w:p>
    <w:p>
      <w:pPr>
        <w:pStyle w:val="BodyText"/>
        <w:numPr>
          <w:numId w:val="278"/>
        </w:numPr>
      </w:pPr>
      <w:r>
        <w:rPr>
          <w:rStyle w:val="InlineUI"/>
        </w:rPr>
        <w:t>Project Administrator</w:t>
      </w:r>
    </w:p>
    <w:p>
      <w:pPr>
        <w:pStyle w:val="BodyText"/>
      </w:pPr>
      <w:r>
        <w:rPr>
          <w:rStyle w:val="Strong"/>
        </w:rPr>
        <w:t>Procedure</w:t>
      </w:r>
    </w:p>
    <w:p>
      <w:pPr>
        <w:pStyle w:val="BodyText"/>
        <w:numPr>
          <w:numId w:val="279"/>
        </w:numPr>
      </w:pPr>
      <w:r>
        <w:t xml:space="preserve">Log in to the </w:t>
      </w:r>
      <w:r>
        <w:t>VCF Automation</w:t>
      </w:r>
      <w:r>
        <w:t xml:space="preserve"> organization portal.</w:t>
      </w:r>
    </w:p>
    <w:p>
      <w:pPr>
        <w:pStyle w:val="BodyText"/>
        <w:numPr>
          <w:numId w:val="279"/>
        </w:numPr>
      </w:pPr>
      <w:r>
        <w:t xml:space="preserve">Click the </w:t>
      </w:r>
      <w:r>
        <w:rPr>
          <w:rStyle w:val="InlineUI"/>
        </w:rPr>
        <w:t>Manage &amp; Govern</w:t>
      </w:r>
      <w:r>
        <w:t xml:space="preserve"> tab.</w:t>
      </w:r>
    </w:p>
    <w:p>
      <w:pPr>
        <w:pStyle w:val="BodyText"/>
        <w:numPr>
          <w:numId w:val="27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79"/>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79"/>
        </w:numPr>
      </w:pPr>
      <w:r>
        <w:t xml:space="preserve">Click the </w:t>
      </w:r>
      <w:r>
        <w:rPr>
          <w:rStyle w:val="InlineUI"/>
        </w:rPr>
        <w:t>Custom</w:t>
      </w:r>
      <w:r>
        <w:t xml:space="preserve"> tab and select an object from the </w:t>
      </w:r>
      <w:r>
        <w:rPr>
          <w:rStyle w:val="InlineUI"/>
        </w:rPr>
        <w:t>Projects</w:t>
      </w:r>
      <w:r>
        <w:t xml:space="preserve"> tree.</w:t>
      </w:r>
    </w:p>
    <w:p>
      <w:pPr>
        <w:pStyle w:val="BodyText"/>
        <w:ind w:left="480"/>
      </w:pPr>
      <w:r>
        <w:t>Policies are propagated down through the tree. If you create a policy for an organization, all the projects and clusters in that organization inherit the policy.</w:t>
      </w:r>
    </w:p>
    <w:p>
      <w:pPr>
        <w:pStyle w:val="BodyText"/>
        <w:numPr>
          <w:numId w:val="279"/>
        </w:numPr>
      </w:pPr>
      <w:r>
        <w:t xml:space="preserve">Click the </w:t>
      </w:r>
      <w:r>
        <w:rPr>
          <w:rStyle w:val="InlineUI"/>
        </w:rPr>
        <w:t>Create custom policy</w:t>
      </w:r>
      <w:r>
        <w:t xml:space="preserve"> button.</w:t>
      </w:r>
    </w:p>
    <w:p>
      <w:pPr>
        <w:pStyle w:val="BodyText"/>
        <w:numPr>
          <w:numId w:val="279"/>
        </w:numPr>
      </w:pPr>
      <w:r>
        <w:t>Select the policy template to use.</w:t>
      </w:r>
    </w:p>
    <w:p>
      <w:pPr>
        <w:pStyle w:val="BodyText"/>
        <w:numPr>
          <w:numId w:val="279"/>
        </w:numPr>
      </w:pPr>
      <w:r>
        <w:t>Enter a policy name in the respective text field.</w:t>
      </w:r>
    </w:p>
    <w:p>
      <w:pPr>
        <w:pStyle w:val="BodyText"/>
        <w:numPr>
          <w:numId w:val="279"/>
        </w:numPr>
      </w:pPr>
      <w:r>
        <w:t xml:space="preserve">In the </w:t>
      </w:r>
      <w:r>
        <w:rPr>
          <w:rStyle w:val="InlineUI"/>
        </w:rPr>
        <w:t>Target Resource</w:t>
      </w:r>
      <w:r>
        <w:t xml:space="preserve"> section, click the </w:t>
      </w:r>
      <w:r>
        <w:rPr>
          <w:rStyle w:val="InlineUI"/>
        </w:rPr>
        <w:t>Add resource</w:t>
      </w:r>
      <w:r>
        <w:t xml:space="preserve"> button to add a target Kubernetes resource.</w:t>
      </w:r>
    </w:p>
    <w:p>
      <w:pPr>
        <w:pStyle w:val="BodyText"/>
        <w:ind w:left="480"/>
      </w:pPr>
      <w:r>
        <w:t>A target resource, identified by a kind and an API group, specifies the Kubernetes API resource on which the policy is enforced.</w:t>
      </w:r>
    </w:p>
    <w:p>
      <w:pPr>
        <w:pStyle w:val="BodyText"/>
        <w:ind w:left="480"/>
      </w:pPr>
      <w:r>
        <w:t>You can add multiple target resource for a single custom policy.</w:t>
      </w:r>
    </w:p>
    <w:p>
      <w:pPr>
        <w:pStyle w:val="BodyText"/>
        <w:numPr>
          <w:numId w:val="279"/>
        </w:numPr>
      </w:pPr>
      <w:r>
        <w:t xml:space="preserve">In the </w:t>
      </w:r>
      <w:r>
        <w:rPr>
          <w:rStyle w:val="InlineUI"/>
        </w:rPr>
        <w:t>Parameters</w:t>
      </w:r>
      <w:r>
        <w:t xml:space="preserve"> section, specify parameters for your policy.</w:t>
      </w:r>
    </w:p>
    <w:p>
      <w:pPr>
        <w:pStyle w:val="BodyText"/>
        <w:ind w:left="480"/>
      </w:pPr>
      <w:r>
        <w:t xml:space="preserve">This step is mandatory only if your selected template accepts parameters. If the template does not accept parameters, the </w:t>
      </w:r>
      <w:r>
        <w:rPr>
          <w:rStyle w:val="InlineUI"/>
        </w:rPr>
        <w:t>Parameters</w:t>
      </w:r>
      <w:r>
        <w:t xml:space="preserve"> section is not displayed at all.</w:t>
      </w:r>
    </w:p>
    <w:p>
      <w:pPr>
        <w:pStyle w:val="BodyText"/>
        <w:numPr>
          <w:numId w:val="279"/>
        </w:numPr>
      </w:pPr>
      <w:r>
        <w:t xml:space="preserve">(Optional) Click the </w:t>
      </w:r>
      <w:r>
        <w:rPr>
          <w:rStyle w:val="InlineUI"/>
        </w:rPr>
        <w:t>Add label selector</w:t>
      </w:r>
      <w:r>
        <w:t xml:space="preserve"> buttons to add label selectors to specify particular namespaces to include or exclude for this policy.</w:t>
      </w:r>
    </w:p>
    <w:p>
      <w:pPr>
        <w:pStyle w:val="BodyText"/>
        <w:numPr>
          <w:numId w:val="279"/>
        </w:numPr>
      </w:pPr>
      <w:r>
        <w:t xml:space="preserve">In the </w:t>
      </w:r>
      <w:r>
        <w:rPr>
          <w:rStyle w:val="InlineUI"/>
        </w:rPr>
        <w:t>Policy enforcement</w:t>
      </w:r>
      <w:r>
        <w:t xml:space="preserve"> section, select the enforcement action for the policy from the </w:t>
      </w:r>
      <w:r>
        <w:rPr>
          <w:rStyle w:val="InlineUI"/>
        </w:rPr>
        <w:t>Enformcement action</w:t>
      </w:r>
      <w:r>
        <w:t xml:space="preserve"> drop-down menu.</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1"/>
        <w:gridCol w:w="822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Deny (default action)</w:t>
            </w:r>
          </w:p>
        </w:tc>
        <w:tc>
          <w:tcPr>
            <w:tcBorders>
              <w:left w:val="nil"/>
              <w:right w:val="nil"/>
            </w:tcBorders>
          </w:tcPr>
          <w:p>
            <w:pPr>
              <w:pStyle w:val="TableBodyText"/>
            </w:pPr>
            <w:r>
              <w:t>This option indicates that the policy is fully enforced, denying admission requests with any violation.</w:t>
            </w:r>
          </w:p>
        </w:tc>
      </w:tr>
      <w:tr>
        <w:tblPrEx>
          <w:tblInd w:w="480" w:type="dxa"/>
          <w:tblCellMar>
            <w:left w:w="108" w:type="dxa"/>
            <w:right w:w="108" w:type="dxa"/>
          </w:tblCellMar>
        </w:tblPrEx>
        <w:trPr>
          <w:cantSplit/>
        </w:trPr>
        <w:tc>
          <w:tcPr>
            <w:tcBorders>
              <w:left w:val="nil"/>
              <w:right w:val="nil"/>
            </w:tcBorders>
          </w:tcPr>
          <w:p>
            <w:pPr>
              <w:pStyle w:val="TableBodyText"/>
            </w:pPr>
            <w:r>
              <w:t>Dry run</w:t>
            </w:r>
          </w:p>
        </w:tc>
        <w:tc>
          <w:tcPr>
            <w:tcBorders>
              <w:left w:val="nil"/>
              <w:right w:val="nil"/>
            </w:tcBorders>
          </w:tcPr>
          <w:p>
            <w:pPr>
              <w:pStyle w:val="TableBodyText"/>
            </w:pPr>
            <w:r>
              <w:t xml:space="preserve">This option indicates that the policy is not enforced, but enables you to see the impact of the policy for testing. If this option is selected, the policy does not prevent containers from being scheduled on the cluster, but you do receive alerts for policy violations on the </w:t>
            </w:r>
            <w:r>
              <w:rPr>
                <w:rStyle w:val="InlineUI"/>
              </w:rPr>
              <w:t>Policy Insights</w:t>
            </w:r>
            <w:r>
              <w:t xml:space="preserve"> page. You can later edit this policy to re-enable policy enforcement.</w:t>
            </w:r>
          </w:p>
        </w:tc>
      </w:tr>
      <w:tr>
        <w:tblPrEx>
          <w:tblInd w:w="480" w:type="dxa"/>
          <w:tblCellMar>
            <w:left w:w="108" w:type="dxa"/>
            <w:right w:w="108" w:type="dxa"/>
          </w:tblCellMar>
        </w:tblPrEx>
        <w:trPr>
          <w:cantSplit/>
        </w:trPr>
        <w:tc>
          <w:tcPr>
            <w:tcBorders>
              <w:left w:val="nil"/>
              <w:right w:val="nil"/>
            </w:tcBorders>
          </w:tcPr>
          <w:p>
            <w:pPr>
              <w:pStyle w:val="TableBodyText"/>
            </w:pPr>
            <w:r>
              <w:t>Warn</w:t>
            </w:r>
          </w:p>
        </w:tc>
        <w:tc>
          <w:tcPr>
            <w:tcBorders>
              <w:left w:val="nil"/>
              <w:right w:val="nil"/>
            </w:tcBorders>
          </w:tcPr>
          <w:p>
            <w:pPr>
              <w:pStyle w:val="TableBodyText"/>
            </w:pPr>
            <w:r>
              <w:t>This option works like the Dry run option, except that it provides immediate feedback when a potential denial occurs.</w:t>
            </w:r>
          </w:p>
        </w:tc>
      </w:tr>
    </w:tbl>
    <w:p>
      <w:pPr>
        <w:pStyle w:val="BodyText"/>
        <w:numPr>
          <w:numId w:val="279"/>
        </w:numPr>
        <w:spacing w:before="240"/>
      </w:pPr>
      <w:r>
        <w:t xml:space="preserve">Click the </w:t>
      </w:r>
      <w:r>
        <w:rPr>
          <w:rStyle w:val="InlineUI"/>
        </w:rPr>
        <w:t>Create Policy</w:t>
      </w:r>
      <w:r>
        <w:t xml:space="preserve"> button.</w:t>
      </w:r>
    </w:p>
    <w:p>
      <w:pPr>
        <w:pStyle w:val="BodyText"/>
        <w:ind w:left="480"/>
      </w:pPr>
      <w:r>
        <w:t>VKS</w:t>
      </w:r>
      <w:r>
        <w:t xml:space="preserve"> Cluster Management installs the Gatekeeper admission webhook on your cluster, synchronizes the policy template to your cluster, and then creates the policy and applies it to your cluster.</w:t>
      </w:r>
    </w:p>
    <w:p>
      <w:pPr>
        <w:pStyle w:val="BodyText"/>
      </w:pPr>
      <w:r>
        <w:rPr>
          <w:rStyle w:val="Strong"/>
        </w:rPr>
        <w:t>Results</w:t>
      </w:r>
    </w:p>
    <w:p>
      <w:pPr>
        <w:pStyle w:val="BodyText"/>
      </w:pPr>
      <w:r>
        <w:t xml:space="preserve">The created custom policy appears in the </w:t>
      </w:r>
      <w:r>
        <w:rPr>
          <w:rStyle w:val="InlineUI"/>
        </w:rPr>
        <w:t>Direct Custom policies</w:t>
      </w:r>
      <w:r>
        <w:t xml:space="preserve"> table. The newly created custom is inherited by all child objects in the </w:t>
      </w:r>
      <w:r>
        <w:rPr>
          <w:rStyle w:val="InlineUI"/>
        </w:rPr>
        <w:t>Projects</w:t>
      </w:r>
      <w:r>
        <w:t xml:space="preserve"> tree.</w:t>
      </w:r>
    </w:p>
    <w:p>
      <w:pPr>
        <w:pStyle w:val="Heading5"/>
      </w:pPr>
      <w:r>
        <w:t>Edit or Delete a Custom Policy</w:t>
      </w:r>
    </w:p>
    <w:p>
      <w:pPr>
        <w:pStyle w:val="BodyText"/>
      </w:pPr>
      <w:r>
        <w:t>You can modify the custom policies that you create or you can delete them when you no longer need them.</w:t>
      </w:r>
    </w:p>
    <w:p>
      <w:pPr>
        <w:pStyle w:val="BodyText"/>
      </w:pPr>
      <w:r>
        <w:rPr>
          <w:rStyle w:val="Strong"/>
        </w:rPr>
        <w:t>Prerequisites</w:t>
      </w:r>
    </w:p>
    <w:p>
      <w:pPr>
        <w:pStyle w:val="BodyText"/>
      </w:pPr>
      <w:r>
        <w:t>Verify that you are assigned one of the appropriate roles:</w:t>
      </w:r>
    </w:p>
    <w:p>
      <w:pPr>
        <w:pStyle w:val="BodyText"/>
        <w:numPr>
          <w:numId w:val="280"/>
        </w:numPr>
      </w:pPr>
      <w:r>
        <w:rPr>
          <w:rStyle w:val="InlineUI"/>
        </w:rPr>
        <w:t>Organization Administrator</w:t>
      </w:r>
    </w:p>
    <w:p>
      <w:pPr>
        <w:pStyle w:val="BodyText"/>
        <w:numPr>
          <w:numId w:val="280"/>
        </w:numPr>
      </w:pPr>
      <w:r>
        <w:rPr>
          <w:rStyle w:val="InlineUI"/>
        </w:rPr>
        <w:t>Project Administrator</w:t>
      </w:r>
    </w:p>
    <w:p>
      <w:pPr>
        <w:pStyle w:val="BodyText"/>
      </w:pPr>
      <w:r>
        <w:rPr>
          <w:rStyle w:val="Strong"/>
        </w:rPr>
        <w:t>Procedure</w:t>
      </w:r>
    </w:p>
    <w:p>
      <w:pPr>
        <w:pStyle w:val="BodyText"/>
        <w:numPr>
          <w:numId w:val="281"/>
        </w:numPr>
      </w:pPr>
      <w:r>
        <w:t xml:space="preserve">Log in to the </w:t>
      </w:r>
      <w:r>
        <w:t>VCF Automation</w:t>
      </w:r>
      <w:r>
        <w:t xml:space="preserve"> organization portal.</w:t>
      </w:r>
    </w:p>
    <w:p>
      <w:pPr>
        <w:pStyle w:val="BodyText"/>
        <w:numPr>
          <w:numId w:val="281"/>
        </w:numPr>
      </w:pPr>
      <w:r>
        <w:t xml:space="preserve">Click the </w:t>
      </w:r>
      <w:r>
        <w:rPr>
          <w:rStyle w:val="InlineUI"/>
        </w:rPr>
        <w:t>Manage &amp; Govern</w:t>
      </w:r>
      <w:r>
        <w:t xml:space="preserve"> tab.</w:t>
      </w:r>
    </w:p>
    <w:p>
      <w:pPr>
        <w:pStyle w:val="BodyText"/>
        <w:numPr>
          <w:numId w:val="281"/>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81"/>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81"/>
        </w:numPr>
      </w:pPr>
      <w:r>
        <w:t xml:space="preserve">Click the </w:t>
      </w:r>
      <w:r>
        <w:rPr>
          <w:rStyle w:val="InlineUI"/>
        </w:rPr>
        <w:t>Custom</w:t>
      </w:r>
      <w:r>
        <w:t xml:space="preserve"> tab and select an object from the </w:t>
      </w:r>
      <w:r>
        <w:rPr>
          <w:rStyle w:val="InlineUI"/>
        </w:rPr>
        <w:t>Projects</w:t>
      </w:r>
      <w:r>
        <w:t xml:space="preserve"> tree.</w:t>
      </w:r>
    </w:p>
    <w:p>
      <w:pPr>
        <w:pStyle w:val="BodyText"/>
        <w:numPr>
          <w:numId w:val="281"/>
        </w:numPr>
      </w:pPr>
      <w:r>
        <w:t xml:space="preserve">From the </w:t>
      </w:r>
      <w:r>
        <w:rPr>
          <w:rStyle w:val="InlineUI"/>
        </w:rPr>
        <w:t>Direct Custom policies</w:t>
      </w:r>
      <w:r>
        <w:t xml:space="preserve"> table, select a policy and select your action.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503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Action</w:t>
            </w:r>
          </w:p>
        </w:tc>
        <w:tc>
          <w:tcPr>
            <w:tcBorders>
              <w:left w:val="nil"/>
              <w:right w:val="nil"/>
            </w:tcBorders>
          </w:tcPr>
          <w:p>
            <w:pPr>
              <w:pStyle w:val="TableBodyText"/>
            </w:pPr>
            <w:r>
              <w:t>Steps</w:t>
            </w:r>
          </w:p>
        </w:tc>
      </w:tr>
      <w:tr>
        <w:tblPrEx>
          <w:tblInd w:w="480" w:type="dxa"/>
          <w:tblCellMar>
            <w:left w:w="108" w:type="dxa"/>
            <w:right w:w="108" w:type="dxa"/>
          </w:tblCellMar>
        </w:tblPrEx>
        <w:trPr>
          <w:cantSplit/>
        </w:trPr>
        <w:tc>
          <w:tcPr>
            <w:tcBorders>
              <w:left w:val="nil"/>
              <w:right w:val="nil"/>
            </w:tcBorders>
          </w:tcPr>
          <w:p>
            <w:pPr>
              <w:pStyle w:val="TableBodyText"/>
            </w:pPr>
            <w:r>
              <w:t>Modify a policy</w:t>
            </w:r>
          </w:p>
        </w:tc>
        <w:tc>
          <w:tcPr>
            <w:tcBorders>
              <w:left w:val="nil"/>
              <w:right w:val="nil"/>
            </w:tcBorders>
          </w:tcPr>
          <w:p>
            <w:pPr>
              <w:pStyle w:val="TableBodyText"/>
              <w:numPr>
                <w:numId w:val="282"/>
              </w:numPr>
            </w:pPr>
            <w:r>
              <w:t xml:space="preserve">Click </w:t>
            </w:r>
            <w:r>
              <w:rPr>
                <w:rStyle w:val="InlineUI"/>
              </w:rPr>
              <w:t>Edit</w:t>
            </w:r>
            <w:r>
              <w:t>.</w:t>
            </w:r>
          </w:p>
          <w:p>
            <w:pPr>
              <w:pStyle w:val="TableBodyText"/>
              <w:numPr>
                <w:numId w:val="282"/>
              </w:numPr>
            </w:pPr>
            <w:r>
              <w:t xml:space="preserve">Make your corrections and click the </w:t>
            </w:r>
            <w:r>
              <w:rPr>
                <w:rStyle w:val="InlineUI"/>
              </w:rPr>
              <w:t>Save</w:t>
            </w:r>
            <w:r>
              <w:t xml:space="preserve"> button.</w:t>
            </w:r>
          </w:p>
        </w:tc>
      </w:tr>
      <w:tr>
        <w:tblPrEx>
          <w:tblInd w:w="480" w:type="dxa"/>
          <w:tblCellMar>
            <w:left w:w="108" w:type="dxa"/>
            <w:right w:w="108" w:type="dxa"/>
          </w:tblCellMar>
        </w:tblPrEx>
        <w:trPr>
          <w:cantSplit/>
        </w:trPr>
        <w:tc>
          <w:tcPr>
            <w:tcBorders>
              <w:left w:val="nil"/>
              <w:right w:val="nil"/>
            </w:tcBorders>
          </w:tcPr>
          <w:p>
            <w:pPr>
              <w:pStyle w:val="TableBodyText"/>
            </w:pPr>
            <w:r>
              <w:t>Delete a policy</w:t>
            </w:r>
          </w:p>
        </w:tc>
        <w:tc>
          <w:tcPr>
            <w:tcBorders>
              <w:left w:val="nil"/>
              <w:right w:val="nil"/>
            </w:tcBorders>
          </w:tcPr>
          <w:p>
            <w:pPr>
              <w:pStyle w:val="TableBodyText"/>
              <w:numPr>
                <w:numId w:val="283"/>
              </w:numPr>
            </w:pPr>
            <w:r>
              <w:t xml:space="preserve">Click </w:t>
            </w:r>
            <w:r>
              <w:rPr>
                <w:rStyle w:val="InlineUI"/>
              </w:rPr>
              <w:t>Delete</w:t>
            </w:r>
            <w:r>
              <w:t>.</w:t>
            </w:r>
          </w:p>
          <w:p>
            <w:pPr>
              <w:pStyle w:val="TableBodyText"/>
              <w:numPr>
                <w:numId w:val="283"/>
              </w:numPr>
            </w:pPr>
            <w:r>
              <w:t>Confirm the deletion.</w:t>
            </w:r>
          </w:p>
        </w:tc>
      </w:tr>
    </w:tbl>
    <w:p>
      <w:pPr>
        <w:pStyle w:val="Heading4"/>
        <w:spacing w:before="120"/>
      </w:pPr>
      <w:bookmarkStart w:id="307" w:name="Bcfc6516f9b924715ad43cc903dc20e4d"/>
      <w:bookmarkStart w:id="308" w:name="_Toc256000832"/>
      <w:r>
        <w:t>VKS Cluster Management Mutation Policies</w:t>
      </w:r>
      <w:bookmarkEnd w:id="308"/>
      <w:bookmarkEnd w:id="307"/>
    </w:p>
    <w:p>
      <w:pPr>
        <w:pStyle w:val="BodyText"/>
      </w:pPr>
      <w:r>
        <w:t>You can make the deployments to your clusters more consistent by implementing mutation policies, which add or modify resources in those deployments before the resources are admitted. Mutation policies help you set default values on your resources before creation.</w:t>
      </w:r>
    </w:p>
    <w:p>
      <w:pPr>
        <w:pStyle w:val="BodyText"/>
      </w:pPr>
      <w:r>
        <w:t>You can use a mutation policy to alter the following types of Kubernetes resource properties:</w:t>
      </w:r>
    </w:p>
    <w:p>
      <w:pPr>
        <w:pStyle w:val="BodyText"/>
        <w:numPr>
          <w:numId w:val="284"/>
        </w:numPr>
      </w:pPr>
      <w:r>
        <w:t>Annotations</w:t>
      </w:r>
    </w:p>
    <w:p>
      <w:pPr>
        <w:pStyle w:val="BodyText"/>
        <w:numPr>
          <w:numId w:val="284"/>
        </w:numPr>
      </w:pPr>
      <w:r>
        <w:t>Labels</w:t>
      </w:r>
    </w:p>
    <w:p>
      <w:pPr>
        <w:pStyle w:val="BodyText"/>
        <w:numPr>
          <w:numId w:val="284"/>
        </w:numPr>
      </w:pPr>
      <w:r>
        <w:t>Pod security properties</w:t>
      </w:r>
    </w:p>
    <w:p>
      <w:pPr>
        <w:pStyle w:val="SectionHeading5"/>
      </w:pPr>
      <w:r>
        <w:t>Mutating Pod Specifications</w:t>
      </w:r>
    </w:p>
    <w:p>
      <w:pPr>
        <w:pStyle w:val="BodyText"/>
      </w:pPr>
      <w:r>
        <w:t xml:space="preserve">A mutation policy can alter, or mutate, the pod specification (that is, the </w:t>
      </w:r>
      <w:r>
        <w:rPr>
          <w:rStyle w:val="InlineCode"/>
        </w:rPr>
        <w:t>PodSpec</w:t>
      </w:r>
      <w:r>
        <w:t xml:space="preserve"> object) to enforce conformance to the policy. When a pod is deployed to the cluster, the policy mutates the </w:t>
      </w:r>
      <w:r>
        <w:rPr>
          <w:rStyle w:val="InlineCode"/>
        </w:rPr>
        <w:t>PodSpec</w:t>
      </w:r>
      <w:r>
        <w:t xml:space="preserve"> as defined in the mutation policy before admitting the request to deploy the pod.</w:t>
      </w:r>
    </w:p>
    <w:p>
      <w:pPr>
        <w:pStyle w:val="BodyText"/>
      </w:pPr>
      <w:r>
        <w:t>To create a mutation policy that alters the pod specification, you must use the pod-security template for that policy.</w:t>
      </w:r>
    </w:p>
    <w:p>
      <w:pPr>
        <w:pStyle w:val="SectionHeading5"/>
      </w:pPr>
      <w:r>
        <w:t>Mutating Labels and Annotations</w:t>
      </w:r>
    </w:p>
    <w:p>
      <w:pPr>
        <w:pStyle w:val="BodyText"/>
      </w:pPr>
      <w:r>
        <w:t>You can create a mutation policy to specify a label or annotation to be applied to a Kubernetes resource before it is admitted to a cluster. When a deployment is evaluated for admission, the mutation policy creates the label, which is a key-value pair, only if it does not already exist. If there is a preexisting label on the resource, the policy cannot change it. Also, because the policy evaluates deployments only during admission, mutations implemented by the policy can be altered manually after admission.</w:t>
      </w:r>
    </w:p>
    <w:p>
      <w:pPr>
        <w:pStyle w:val="BodyText"/>
      </w:pPr>
      <w:r>
        <w:t xml:space="preserve">For more information about how OPA Gatekeeper handles label and annotation mutations, see the </w:t>
      </w:r>
      <w:r>
        <w:rPr>
          <w:rStyle w:val="InlineCite"/>
        </w:rPr>
        <w:t>OPA Gatekeeper</w:t>
      </w:r>
      <w:r>
        <w:t xml:space="preserve"> documentation at </w:t>
      </w:r>
      <w:hyperlink r:id="rId49" w:tooltip="https://open-policy-agent.github.io/gatekeeper/website/docs/mutation/#assignmetadata" w:history="1">
        <w:r>
          <w:rPr>
            <w:color w:val="0000FF"/>
            <w:u w:val="single"/>
          </w:rPr>
          <w:t>https://open-policy-agent.github.io/gatekeeper/website/docs/mutation/#assignmetadata</w:t>
        </w:r>
      </w:hyperlink>
      <w:r>
        <w:t>.</w:t>
      </w:r>
    </w:p>
    <w:p>
      <w:pPr>
        <w:pStyle w:val="SectionHeading5"/>
      </w:pPr>
      <w:r>
        <w:t>Evaluation and Precedence of Mutation Policies</w:t>
      </w:r>
    </w:p>
    <w:p>
      <w:pPr>
        <w:pStyle w:val="BodyText"/>
      </w:pPr>
      <w:r>
        <w:t>When multiple mutation policies are applied to a cluster, either direct or inherited, they are evaluated as follows:</w:t>
      </w:r>
    </w:p>
    <w:p>
      <w:pPr>
        <w:pStyle w:val="BodyText"/>
        <w:numPr>
          <w:numId w:val="285"/>
        </w:numPr>
      </w:pPr>
      <w:r>
        <w:t>Mutation policies are run starting with those applied to the cluster, then those inherited from the project, and finally those inherited from the organization.</w:t>
      </w:r>
    </w:p>
    <w:p>
      <w:pPr>
        <w:pStyle w:val="BodyText"/>
        <w:numPr>
          <w:numId w:val="285"/>
        </w:numPr>
      </w:pPr>
      <w:r>
        <w:t>If at a certain level of the hierarchy, multiple mutation policies exist, they are run in alphanumeric order.</w:t>
      </w:r>
    </w:p>
    <w:p>
      <w:pPr>
        <w:pStyle w:val="BodyText"/>
        <w:pBdr>
          <w:top w:val="single" w:sz="8" w:space="2" w:color="D3D3D3"/>
          <w:bottom w:val="single" w:sz="8" w:space="2" w:color="D3D3D3"/>
        </w:pBdr>
        <w:ind w:left="480"/>
      </w:pPr>
      <w:r>
        <w:rPr>
          <w:rStyle w:val="NoteLeaderimportant"/>
        </w:rPr>
        <w:t>Important</w:t>
        <w:tab/>
      </w:r>
      <w:r>
        <w:t>Because a mutation policy can overwrite changes applied by a previously run mutation policy, the order in which they are run is important.</w:t>
      </w:r>
    </w:p>
    <w:p>
      <w:pPr>
        <w:pStyle w:val="SectionHeading5"/>
      </w:pPr>
      <w:r>
        <w:t>Evaluation and Precedence of Mutation and Security Policies</w:t>
      </w:r>
    </w:p>
    <w:p>
      <w:pPr>
        <w:pStyle w:val="BodyText"/>
      </w:pPr>
      <w:r>
        <w:t>Both security policies and mutation policies can be applied in the resource hierarchy, and they are both propagated down through the hierarchy.</w:t>
      </w:r>
    </w:p>
    <w:p>
      <w:pPr>
        <w:pStyle w:val="BodyText"/>
      </w:pPr>
      <w:r>
        <w:t>A security policy allows you to restrict certain aspects of pod execution in your clusters, such as privilege escalation, Linux capabilities, and allowed volume types. When a pod is deployed to a cluster with a security policy, and it does not conform to the constraints specified in the policy, the deployment is disallowed. A mutation policy is similar to the security policy type, except that it can alter, or mutate, the pod specification to enforce conformance to the policy.</w:t>
      </w:r>
    </w:p>
    <w:p>
      <w:pPr>
        <w:pStyle w:val="BodyText"/>
      </w:pPr>
      <w:r>
        <w:t xml:space="preserve">When a workload is deployed to a cluster that has both mutation policies and security policies, first the mutation policies are evaluated and applied, mutating the </w:t>
      </w:r>
      <w:r>
        <w:rPr>
          <w:rStyle w:val="InlineCode"/>
        </w:rPr>
        <w:t>PodSpec</w:t>
      </w:r>
      <w:r>
        <w:t xml:space="preserve"> as specified. Then, after all mutations are applied, the security policies are evaluated to determine if the </w:t>
      </w:r>
      <w:r>
        <w:rPr>
          <w:rStyle w:val="InlineCode"/>
        </w:rPr>
        <w:t>PodSpec</w:t>
      </w:r>
      <w:r>
        <w:t xml:space="preserve"> is conformant to allow deployment.</w:t>
      </w:r>
    </w:p>
    <w:p>
      <w:pPr>
        <w:pStyle w:val="BodyText"/>
      </w:pPr>
      <w:r>
        <w:t xml:space="preserve">For more information about security policies,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B284b82fa898e41fc87083592201ccc5c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Pod Security with VKS Cluster Management Security Policies</w:t>
      </w:r>
      <w:r>
        <w:fldChar w:fldCharType="end"/>
      </w:r>
      <w:r>
        <w:t>.</w:t>
      </w:r>
    </w:p>
    <w:p>
      <w:pPr>
        <w:pStyle w:val="Heading5"/>
      </w:pPr>
      <w:r>
        <w:t>Create a Mutation Policy</w:t>
      </w:r>
    </w:p>
    <w:p>
      <w:pPr>
        <w:pStyle w:val="BodyText"/>
      </w:pPr>
      <w:r>
        <w:t xml:space="preserve">Create a mutation policy that can alter a </w:t>
      </w:r>
      <w:r>
        <w:rPr>
          <w:rStyle w:val="InlineCode"/>
        </w:rPr>
        <w:t>PodSpec</w:t>
      </w:r>
      <w:r>
        <w:t xml:space="preserve"> object to specify how pods can run in your clusters.</w:t>
      </w:r>
    </w:p>
    <w:p>
      <w:pPr>
        <w:pStyle w:val="BodyText"/>
      </w:pPr>
      <w:r>
        <w:rPr>
          <w:rStyle w:val="Strong"/>
        </w:rPr>
        <w:t>Prerequisites</w:t>
      </w:r>
    </w:p>
    <w:p>
      <w:pPr>
        <w:pStyle w:val="BodyText"/>
      </w:pPr>
      <w:r>
        <w:t>Verify that you are assigned one of the appropriate roles:</w:t>
      </w:r>
    </w:p>
    <w:p>
      <w:pPr>
        <w:pStyle w:val="BodyText"/>
        <w:numPr>
          <w:numId w:val="286"/>
        </w:numPr>
      </w:pPr>
      <w:r>
        <w:rPr>
          <w:rStyle w:val="InlineUI"/>
        </w:rPr>
        <w:t>Organization Administrator</w:t>
      </w:r>
    </w:p>
    <w:p>
      <w:pPr>
        <w:pStyle w:val="BodyText"/>
        <w:numPr>
          <w:numId w:val="286"/>
        </w:numPr>
      </w:pPr>
      <w:r>
        <w:rPr>
          <w:rStyle w:val="InlineUI"/>
        </w:rPr>
        <w:t>Project Administrator</w:t>
      </w:r>
    </w:p>
    <w:p>
      <w:pPr>
        <w:pStyle w:val="BodyText"/>
      </w:pPr>
      <w:r>
        <w:rPr>
          <w:rStyle w:val="Strong"/>
        </w:rPr>
        <w:t>Procedure</w:t>
      </w:r>
    </w:p>
    <w:p>
      <w:pPr>
        <w:pStyle w:val="BodyText"/>
        <w:numPr>
          <w:numId w:val="287"/>
        </w:numPr>
      </w:pPr>
      <w:r>
        <w:t xml:space="preserve">Log in to the </w:t>
      </w:r>
      <w:r>
        <w:t>VCF Automation</w:t>
      </w:r>
      <w:r>
        <w:t xml:space="preserve"> organization portal.</w:t>
      </w:r>
    </w:p>
    <w:p>
      <w:pPr>
        <w:pStyle w:val="BodyText"/>
        <w:numPr>
          <w:numId w:val="287"/>
        </w:numPr>
      </w:pPr>
      <w:r>
        <w:t xml:space="preserve">Click the </w:t>
      </w:r>
      <w:r>
        <w:rPr>
          <w:rStyle w:val="InlineUI"/>
        </w:rPr>
        <w:t>Manage &amp; Govern</w:t>
      </w:r>
      <w:r>
        <w:t xml:space="preserve"> tab.</w:t>
      </w:r>
    </w:p>
    <w:p>
      <w:pPr>
        <w:pStyle w:val="BodyText"/>
        <w:numPr>
          <w:numId w:val="28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87"/>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87"/>
        </w:numPr>
      </w:pPr>
      <w:r>
        <w:t xml:space="preserve">Click the </w:t>
      </w:r>
      <w:r>
        <w:rPr>
          <w:rStyle w:val="InlineUI"/>
        </w:rPr>
        <w:t>Mutation</w:t>
      </w:r>
      <w:r>
        <w:t xml:space="preserve"> tab and select an object from the </w:t>
      </w:r>
      <w:r>
        <w:rPr>
          <w:rStyle w:val="InlineUI"/>
        </w:rPr>
        <w:t>Projects</w:t>
      </w:r>
      <w:r>
        <w:t xml:space="preserve"> tree.</w:t>
      </w:r>
    </w:p>
    <w:p>
      <w:pPr>
        <w:pStyle w:val="BodyText"/>
        <w:numPr>
          <w:numId w:val="287"/>
        </w:numPr>
      </w:pPr>
      <w:r>
        <w:t xml:space="preserve">Click the </w:t>
      </w:r>
      <w:r>
        <w:rPr>
          <w:rStyle w:val="InlineUI"/>
        </w:rPr>
        <w:t>Create mutation policy</w:t>
      </w:r>
      <w:r>
        <w:t xml:space="preserve"> button.</w:t>
      </w:r>
    </w:p>
    <w:p>
      <w:pPr>
        <w:pStyle w:val="BodyText"/>
        <w:ind w:left="480"/>
      </w:pPr>
      <w:r>
        <w:t xml:space="preserve">The </w:t>
      </w:r>
      <w:r>
        <w:rPr>
          <w:rStyle w:val="InlineUI"/>
        </w:rPr>
        <w:t>Create mutation policy</w:t>
      </w:r>
      <w:r>
        <w:t xml:space="preserve"> wizard opens as a separate page.</w:t>
      </w:r>
    </w:p>
    <w:p>
      <w:pPr>
        <w:pStyle w:val="BodyText"/>
        <w:numPr>
          <w:numId w:val="287"/>
        </w:numPr>
      </w:pPr>
      <w:r>
        <w:t>Select the mutation template that you want to use.</w:t>
      </w:r>
    </w:p>
    <w:p>
      <w:pPr>
        <w:pStyle w:val="BodyText"/>
        <w:numPr>
          <w:numId w:val="287"/>
        </w:numPr>
      </w:pPr>
      <w:r>
        <w:t xml:space="preserve">In the </w:t>
      </w:r>
      <w:r>
        <w:rPr>
          <w:rStyle w:val="InlineUI"/>
        </w:rPr>
        <w:t>Basic details</w:t>
      </w:r>
      <w:r>
        <w:t xml:space="preserve"> section, enter a policy name in the respective text field.</w:t>
      </w:r>
    </w:p>
    <w:p>
      <w:pPr>
        <w:pStyle w:val="BodyText"/>
        <w:numPr>
          <w:numId w:val="287"/>
        </w:numPr>
      </w:pPr>
      <w:r>
        <w:t xml:space="preserve">In the </w:t>
      </w:r>
      <w:r>
        <w:rPr>
          <w:rStyle w:val="InlineUI"/>
        </w:rPr>
        <w:t>Mutation options</w:t>
      </w:r>
      <w:r>
        <w:t xml:space="preserve"> section, locate the property for which you want to provide a mutation, and then click the edit icon (</w:t>
      </w:r>
      <w:r>
        <w:drawing>
          <wp:inline>
            <wp:extent cx="295238" cy="219048"/>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50"/>
                    <a:stretch>
                      <a:fillRect/>
                    </a:stretch>
                  </pic:blipFill>
                  <pic:spPr>
                    <a:xfrm>
                      <a:off x="0" y="0"/>
                      <a:ext cx="295238" cy="219048"/>
                    </a:xfrm>
                    <a:prstGeom prst="rect">
                      <a:avLst/>
                    </a:prstGeom>
                  </pic:spPr>
                </pic:pic>
              </a:graphicData>
            </a:graphic>
          </wp:inline>
        </w:drawing>
      </w:r>
      <w:r>
        <w:t>).</w:t>
      </w:r>
    </w:p>
    <w:p>
      <w:pPr>
        <w:pStyle w:val="BodyText"/>
        <w:ind w:left="480"/>
      </w:pPr>
      <w:r>
        <w:t xml:space="preserve">If you select the </w:t>
      </w:r>
      <w:r>
        <w:rPr>
          <w:rStyle w:val="InlineUI"/>
        </w:rPr>
        <w:t>annotation</w:t>
      </w:r>
      <w:r>
        <w:t xml:space="preserve"> or </w:t>
      </w:r>
      <w:r>
        <w:rPr>
          <w:rStyle w:val="InlineUI"/>
        </w:rPr>
        <w:t>label</w:t>
      </w:r>
      <w:r>
        <w:t xml:space="preserve"> template at Step 7, the </w:t>
      </w:r>
      <w:r>
        <w:rPr>
          <w:rStyle w:val="InlineUI"/>
        </w:rPr>
        <w:t>Mutation options</w:t>
      </w:r>
      <w:r>
        <w:t xml:space="preserve"> section prompts you to select target Kubernetes resources and to then specify the annotation or label mutation for the policy.</w:t>
      </w:r>
    </w:p>
    <w:p>
      <w:pPr>
        <w:pStyle w:val="BodyText"/>
        <w:numPr>
          <w:numId w:val="287"/>
        </w:numPr>
      </w:pPr>
      <w:r>
        <w:t xml:space="preserve">In the </w:t>
      </w:r>
      <w:r>
        <w:rPr>
          <w:rStyle w:val="InlineUI"/>
        </w:rPr>
        <w:t>Capabilities add</w:t>
      </w:r>
      <w:r>
        <w:t xml:space="preserve"> dialog box, provide details about how you want to mutate the property and click </w:t>
      </w:r>
      <w:r>
        <w:rPr>
          <w:rStyle w:val="InlineUI"/>
        </w:rPr>
        <w:t>Confirm</w:t>
      </w:r>
      <w:r>
        <w:t>.</w:t>
      </w:r>
    </w:p>
    <w:p>
      <w:pPr>
        <w:pStyle w:val="BodyText"/>
        <w:ind w:left="480"/>
      </w:pPr>
      <w:r>
        <w:t>The property mutation dialog box shows the options available for the property. The contents of the dialog box vary according to which property you choose to mutate.</w:t>
      </w:r>
    </w:p>
    <w:p>
      <w:pPr>
        <w:pStyle w:val="BodyText"/>
        <w:numPr>
          <w:numId w:val="287"/>
        </w:numPr>
      </w:pPr>
      <w:r>
        <w:t xml:space="preserve">(Optional) In the </w:t>
      </w:r>
      <w:r>
        <w:rPr>
          <w:rStyle w:val="InlineUI"/>
        </w:rPr>
        <w:t>Namespace selectors</w:t>
      </w:r>
      <w:r>
        <w:t xml:space="preserve"> section, click the </w:t>
      </w:r>
      <w:r>
        <w:rPr>
          <w:rStyle w:val="InlineUI"/>
        </w:rPr>
        <w:t>Add label</w:t>
      </w:r>
      <w:r>
        <w:t xml:space="preserve"> buttons to add label selectors to specify particular namespaces to include or exclude for this policy.</w:t>
      </w:r>
    </w:p>
    <w:p>
      <w:pPr>
        <w:pStyle w:val="BodyText"/>
        <w:numPr>
          <w:numId w:val="287"/>
        </w:numPr>
      </w:pPr>
      <w:r>
        <w:t xml:space="preserve">Click the </w:t>
      </w:r>
      <w:r>
        <w:rPr>
          <w:rStyle w:val="InlineUI"/>
        </w:rPr>
        <w:t>Create policy</w:t>
      </w:r>
      <w:r>
        <w:t xml:space="preserve"> button.</w:t>
      </w:r>
    </w:p>
    <w:p>
      <w:pPr>
        <w:pStyle w:val="BodyText"/>
      </w:pPr>
      <w:r>
        <w:rPr>
          <w:rStyle w:val="Strong"/>
        </w:rPr>
        <w:t>Results</w:t>
      </w:r>
    </w:p>
    <w:p>
      <w:pPr>
        <w:pStyle w:val="BodyText"/>
      </w:pPr>
      <w:r>
        <w:t>The new mutation policy is created and applied to the selected object. Because a mutation policy assesses and mutates resources only at the time of admission, the policy impacts only new, incoming requests for creating or updating pods. The mutation policy does not impact pods that have already been admitted into the cluster.</w:t>
      </w:r>
    </w:p>
    <w:p>
      <w:pPr>
        <w:pStyle w:val="Heading5"/>
      </w:pPr>
      <w:r>
        <w:t>Edit or Delete a Mutation Policy</w:t>
      </w:r>
    </w:p>
    <w:p>
      <w:pPr>
        <w:pStyle w:val="BodyText"/>
      </w:pPr>
      <w:r>
        <w:t>You can edit an existing mutation policy that constrains pod execution in your clusters or you can delete the policy, if you no longer need it.</w:t>
      </w:r>
    </w:p>
    <w:p>
      <w:pPr>
        <w:pStyle w:val="BodyText"/>
      </w:pPr>
      <w:r>
        <w:rPr>
          <w:rStyle w:val="Strong"/>
        </w:rPr>
        <w:t>Prerequisites</w:t>
      </w:r>
    </w:p>
    <w:p>
      <w:pPr>
        <w:pStyle w:val="BodyText"/>
      </w:pPr>
      <w:r>
        <w:t>Verify that you are assigned one of the appropriate roles:</w:t>
      </w:r>
    </w:p>
    <w:p>
      <w:pPr>
        <w:pStyle w:val="BodyText"/>
        <w:numPr>
          <w:numId w:val="288"/>
        </w:numPr>
      </w:pPr>
      <w:r>
        <w:rPr>
          <w:rStyle w:val="InlineUI"/>
        </w:rPr>
        <w:t>Organization Administrator</w:t>
      </w:r>
    </w:p>
    <w:p>
      <w:pPr>
        <w:pStyle w:val="BodyText"/>
        <w:numPr>
          <w:numId w:val="288"/>
        </w:numPr>
      </w:pPr>
      <w:r>
        <w:rPr>
          <w:rStyle w:val="InlineUI"/>
        </w:rPr>
        <w:t>Project Administrator</w:t>
      </w:r>
    </w:p>
    <w:p>
      <w:pPr>
        <w:pStyle w:val="BodyText"/>
      </w:pPr>
      <w:r>
        <w:rPr>
          <w:rStyle w:val="Strong"/>
        </w:rPr>
        <w:t>Procedure</w:t>
      </w:r>
    </w:p>
    <w:p>
      <w:pPr>
        <w:pStyle w:val="BodyText"/>
        <w:numPr>
          <w:numId w:val="289"/>
        </w:numPr>
      </w:pPr>
      <w:r>
        <w:t xml:space="preserve">Log in to the </w:t>
      </w:r>
      <w:r>
        <w:t>VCF Automation</w:t>
      </w:r>
      <w:r>
        <w:t xml:space="preserve"> organization portal.</w:t>
      </w:r>
    </w:p>
    <w:p>
      <w:pPr>
        <w:pStyle w:val="BodyText"/>
        <w:numPr>
          <w:numId w:val="289"/>
        </w:numPr>
      </w:pPr>
      <w:r>
        <w:t xml:space="preserve">Click the </w:t>
      </w:r>
      <w:r>
        <w:rPr>
          <w:rStyle w:val="InlineUI"/>
        </w:rPr>
        <w:t>Manage &amp; Govern</w:t>
      </w:r>
      <w:r>
        <w:t xml:space="preserve"> tab.</w:t>
      </w:r>
    </w:p>
    <w:p>
      <w:pPr>
        <w:pStyle w:val="BodyText"/>
        <w:numPr>
          <w:numId w:val="28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89"/>
        </w:numPr>
      </w:pPr>
      <w:r>
        <w:t xml:space="preserve">On the </w:t>
      </w:r>
      <w:r>
        <w:rPr>
          <w:rStyle w:val="InlineUI"/>
        </w:rPr>
        <w:t>vSphere Kubernetes Service Cluster Management</w:t>
      </w:r>
      <w:r>
        <w:t xml:space="preserve"> page, select </w:t>
      </w:r>
      <w:r>
        <w:rPr>
          <w:rStyle w:val="InlineUI"/>
        </w:rPr>
        <w:t>Policies</w:t>
      </w:r>
      <w:r>
        <w:rPr>
          <w:rStyle w:val="InlineUI"/>
        </w:rPr>
        <w:t xml:space="preserve"> &gt; </w:t>
      </w:r>
      <w:r>
        <w:rPr>
          <w:rStyle w:val="InlineUI"/>
        </w:rPr>
        <w:t>Assignments</w:t>
      </w:r>
      <w:r>
        <w:t>.</w:t>
      </w:r>
    </w:p>
    <w:p>
      <w:pPr>
        <w:pStyle w:val="BodyText"/>
        <w:numPr>
          <w:numId w:val="289"/>
        </w:numPr>
      </w:pPr>
      <w:r>
        <w:t xml:space="preserve">Click the </w:t>
      </w:r>
      <w:r>
        <w:rPr>
          <w:rStyle w:val="InlineUI"/>
        </w:rPr>
        <w:t>Mutation</w:t>
      </w:r>
      <w:r>
        <w:t xml:space="preserve"> tab and select an object from the </w:t>
      </w:r>
      <w:r>
        <w:rPr>
          <w:rStyle w:val="InlineUI"/>
        </w:rPr>
        <w:t>Projects</w:t>
      </w:r>
      <w:r>
        <w:t xml:space="preserve"> tree.</w:t>
      </w:r>
    </w:p>
    <w:p>
      <w:pPr>
        <w:pStyle w:val="BodyText"/>
        <w:pBdr>
          <w:top w:val="single" w:sz="8" w:space="2" w:color="D3D3D3"/>
          <w:bottom w:val="single" w:sz="8" w:space="2" w:color="D3D3D3"/>
        </w:pBdr>
        <w:ind w:left="480"/>
      </w:pPr>
      <w:r>
        <w:rPr>
          <w:rStyle w:val="NoteLeaderimportant"/>
        </w:rPr>
        <w:t>Important</w:t>
        <w:tab/>
      </w:r>
      <w:r>
        <w:t>You can edit or delete only direct policies for a given object. You cannot modify or delete inherited policies. For example, if you want to delete a policy that a cluster inherited from an organization, you need to go to the organization and delete the policy at that level.</w:t>
      </w:r>
    </w:p>
    <w:p>
      <w:pPr>
        <w:pStyle w:val="BodyText"/>
        <w:numPr>
          <w:numId w:val="289"/>
        </w:numPr>
      </w:pPr>
      <w:r>
        <w:t>From the list of direct policies for the selected object, click the vertical ellipsis (</w:t>
      </w:r>
      <w:r>
        <w:drawing>
          <wp:inline>
            <wp:extent cx="132588" cy="137160"/>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for the policy that you want to modify or delete and select your action.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65"/>
        <w:gridCol w:w="841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Modify a policy</w:t>
            </w:r>
          </w:p>
        </w:tc>
        <w:tc>
          <w:tcPr>
            <w:tcBorders>
              <w:left w:val="nil"/>
              <w:right w:val="nil"/>
            </w:tcBorders>
          </w:tcPr>
          <w:p>
            <w:pPr>
              <w:pStyle w:val="TableBodyText"/>
              <w:numPr>
                <w:numId w:val="290"/>
              </w:numPr>
            </w:pPr>
            <w:r>
              <w:t xml:space="preserve">Click </w:t>
            </w:r>
            <w:r>
              <w:rPr>
                <w:rStyle w:val="InlineUI"/>
              </w:rPr>
              <w:t>Edit</w:t>
            </w:r>
            <w:r>
              <w:t>.</w:t>
            </w:r>
          </w:p>
          <w:p>
            <w:pPr>
              <w:pStyle w:val="TableBodyText"/>
              <w:numPr>
                <w:numId w:val="290"/>
              </w:numPr>
            </w:pPr>
            <w:r>
              <w:t xml:space="preserve">Make your corrections and click the </w:t>
            </w:r>
            <w:r>
              <w:rPr>
                <w:rStyle w:val="InlineUI"/>
              </w:rPr>
              <w:t>Save</w:t>
            </w:r>
            <w:r>
              <w:t xml:space="preserve"> button.</w:t>
            </w:r>
          </w:p>
          <w:p>
            <w:pPr>
              <w:pStyle w:val="TableBodyText"/>
              <w:pBdr>
                <w:top w:val="single" w:sz="8" w:space="2" w:color="D3D3D3"/>
                <w:bottom w:val="single" w:sz="8" w:space="2" w:color="D3D3D3"/>
              </w:pBdr>
              <w:ind w:left="480"/>
            </w:pPr>
            <w:r>
              <w:rPr>
                <w:rStyle w:val="NoteLeadernote"/>
              </w:rPr>
              <w:t>Note</w:t>
              <w:tab/>
            </w:r>
            <w:r>
              <w:t xml:space="preserve">When you click </w:t>
            </w:r>
            <w:r>
              <w:rPr>
                <w:rStyle w:val="InlineUI"/>
              </w:rPr>
              <w:t>Save</w:t>
            </w:r>
            <w:r>
              <w:t xml:space="preserve">, the updated policy is applied to the object and is displayed on the </w:t>
            </w:r>
            <w:r>
              <w:rPr>
                <w:rStyle w:val="InlineUI"/>
              </w:rPr>
              <w:t>Policy assignments</w:t>
            </w:r>
            <w:r>
              <w:t xml:space="preserve"> page. Because a mutation policy assesses and mutates pods only at the time of admission, the policy impacts only new, incoming requests for creating or updating pods. The mutation policy does not impact pods that have already been admitted into the cluster.</w:t>
            </w:r>
          </w:p>
        </w:tc>
      </w:tr>
      <w:tr>
        <w:tblPrEx>
          <w:tblInd w:w="480" w:type="dxa"/>
          <w:tblCellMar>
            <w:left w:w="108" w:type="dxa"/>
            <w:right w:w="108" w:type="dxa"/>
          </w:tblCellMar>
        </w:tblPrEx>
        <w:trPr>
          <w:cantSplit/>
        </w:trPr>
        <w:tc>
          <w:tcPr>
            <w:tcBorders>
              <w:left w:val="nil"/>
              <w:right w:val="nil"/>
            </w:tcBorders>
          </w:tcPr>
          <w:p>
            <w:pPr>
              <w:pStyle w:val="TableBodyText"/>
            </w:pPr>
            <w:r>
              <w:t>Delete a policy</w:t>
            </w:r>
          </w:p>
        </w:tc>
        <w:tc>
          <w:tcPr>
            <w:tcBorders>
              <w:left w:val="nil"/>
              <w:right w:val="nil"/>
            </w:tcBorders>
          </w:tcPr>
          <w:p>
            <w:pPr>
              <w:pStyle w:val="TableBodyText"/>
              <w:numPr>
                <w:numId w:val="291"/>
              </w:numPr>
            </w:pPr>
            <w:r>
              <w:t xml:space="preserve">Click </w:t>
            </w:r>
            <w:r>
              <w:rPr>
                <w:rStyle w:val="InlineUI"/>
              </w:rPr>
              <w:t>Delete</w:t>
            </w:r>
            <w:r>
              <w:t>.</w:t>
            </w:r>
          </w:p>
          <w:p>
            <w:pPr>
              <w:pStyle w:val="TableBodyText"/>
              <w:numPr>
                <w:numId w:val="291"/>
              </w:numPr>
            </w:pPr>
            <w:r>
              <w:t>Confirm the deletion.</w:t>
            </w:r>
          </w:p>
          <w:p>
            <w:pPr>
              <w:pStyle w:val="TableBodyText"/>
              <w:pBdr>
                <w:top w:val="single" w:sz="8" w:space="2" w:color="D3D3D3"/>
                <w:bottom w:val="single" w:sz="8" w:space="2" w:color="D3D3D3"/>
              </w:pBdr>
              <w:ind w:left="480"/>
            </w:pPr>
            <w:r>
              <w:rPr>
                <w:rStyle w:val="NoteLeadernote"/>
              </w:rPr>
              <w:t>Note</w:t>
              <w:tab/>
            </w:r>
            <w:r>
              <w:t xml:space="preserve">When you click </w:t>
            </w:r>
            <w:r>
              <w:rPr>
                <w:rStyle w:val="InlineUI"/>
              </w:rPr>
              <w:t>Delete</w:t>
            </w:r>
            <w:r>
              <w:t>, the policy is removed from the object. However, the mutations that have already been applied by the policy are not backed out of pods that were deployed while the policy was active.</w:t>
            </w:r>
          </w:p>
        </w:tc>
      </w:tr>
    </w:tbl>
    <w:p>
      <w:pPr>
        <w:pStyle w:val="Heading3"/>
        <w:spacing w:before="320"/>
      </w:pPr>
      <w:bookmarkStart w:id="309" w:name="_Toc256000833"/>
      <w:r>
        <w:t>Viewing Details About VKS Clusters With VKS Cluster Management</w:t>
      </w:r>
      <w:bookmarkEnd w:id="309"/>
    </w:p>
    <w:p>
      <w:pPr>
        <w:pStyle w:val="BodyText"/>
      </w:pPr>
      <w:r>
        <w:t xml:space="preserve">Starting with </w:t>
      </w:r>
      <w:r>
        <w:t>VCF</w:t>
      </w:r>
      <w:r>
        <w:t xml:space="preserve"> 9.0.1, you can use </w:t>
      </w:r>
      <w:r>
        <w:t>VKS</w:t>
      </w:r>
      <w:r>
        <w:t xml:space="preserve"> cluster management enables you to monitor the health and utilization of your </w:t>
      </w:r>
      <w:r>
        <w:t>VKS</w:t>
      </w:r>
      <w:r>
        <w:t xml:space="preserve"> clusters and resources. In the list of </w:t>
      </w:r>
      <w:r>
        <w:t>VKS</w:t>
      </w:r>
      <w:r>
        <w:t xml:space="preserve"> clusters in </w:t>
      </w:r>
      <w:r>
        <w:t>VCF Automation</w:t>
      </w:r>
      <w:r>
        <w:t xml:space="preserve">, you can view general information about each cluster, for example cluster health, status, </w:t>
      </w:r>
      <w:r>
        <w:t>vSphere Kubernetes release</w:t>
      </w:r>
      <w:r>
        <w:t xml:space="preserve"> version, and so on. You can view additional details about each cluster on the cluster subtabs that appear when you click the cluster. For easier navigation, you can use the filters on each cluster tab.</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VKS Cluster Information Available in VKS Cluster Management</w:t>
      </w:r>
    </w:p>
    <w:p>
      <w:pPr>
        <w:pStyle w:val="BodyText"/>
      </w:pPr>
      <w:r>
        <w:drawing>
          <wp:inline>
            <wp:extent cx="6324600" cy="3342819"/>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51"/>
                    <a:stretch>
                      <a:fillRect/>
                    </a:stretch>
                  </pic:blipFill>
                  <pic:spPr>
                    <a:xfrm>
                      <a:off x="0" y="0"/>
                      <a:ext cx="6324600" cy="3342819"/>
                    </a:xfrm>
                    <a:prstGeom prst="rect">
                      <a:avLst/>
                    </a:prstGeom>
                  </pic:spPr>
                </pic:pic>
              </a:graphicData>
            </a:graphic>
          </wp:inline>
        </w:drawing>
      </w:r>
    </w:p>
    <w:p>
      <w:pPr>
        <w:pStyle w:val="BodyText"/>
      </w:pPr>
      <w:r>
        <w:t xml:space="preserve">For more information about cluster and node health,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B4422f5aee50c4834ba036ea88d746722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Is a VKS Cluster?</w:t>
      </w:r>
      <w:r>
        <w:fldChar w:fldCharType="end"/>
      </w:r>
      <w:r>
        <w:t>.</w:t>
      </w:r>
    </w:p>
    <w:p>
      <w:pPr>
        <w:pStyle w:val="BodyText"/>
      </w:pPr>
      <w:r>
        <w:t xml:space="preserve">For more information about add-on management,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B2edfa27655624ccdb06486e681109897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Add-Ons on VKS Clusters with VKS Cluster Management</w:t>
      </w:r>
      <w:r>
        <w:fldChar w:fldCharType="end"/>
      </w:r>
      <w:r>
        <w:t>.</w:t>
      </w:r>
    </w:p>
    <w:p>
      <w:pPr>
        <w:pStyle w:val="BodyText"/>
      </w:pPr>
      <w:r>
        <w:t xml:space="preserve">For more information about data protection,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B3a45e77c89cc4abca90d67fa62cee7b6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Backing Up and Restoring VKS Clusters and VKS Cluster Namespaces with VKS Cluster Management</w:t>
      </w:r>
      <w:r>
        <w:fldChar w:fldCharType="end"/>
      </w:r>
      <w:r>
        <w:t>.</w:t>
      </w:r>
    </w:p>
    <w:p>
      <w:pPr>
        <w:pStyle w:val="SectionHeading4"/>
      </w:pPr>
      <w:bookmarkStart w:id="310" w:name="_Toc256000834"/>
      <w:r>
        <w:t>VKS Cluster Management Object Labels</w:t>
      </w:r>
      <w:bookmarkEnd w:id="310"/>
    </w:p>
    <w:p>
      <w:pPr>
        <w:pStyle w:val="BodyText"/>
      </w:pPr>
      <w:r>
        <w:t xml:space="preserve">Labels help you identify and organize your Kubernetes resources. </w:t>
      </w:r>
      <w:r>
        <w:t>VKS</w:t>
      </w:r>
      <w:r>
        <w:t xml:space="preserve"> cluster management uses system-defined labels that are outlined in blue in the user interface. Labels can be applied to clusters, nodes, namespaces, and workloads. You cannot modify those system-defined labels, but you can use them to filter or sort your lists of clusters, nodes, namespaces, or workloads.</w:t>
      </w:r>
    </w:p>
    <w:p>
      <w:pPr>
        <w:pStyle w:val="BodyText"/>
      </w:pPr>
      <w:r>
        <w:t xml:space="preserve">Labels are displayed in object lists and in the detailed page for an object. For example, the </w:t>
      </w:r>
      <w:r>
        <w:rPr>
          <w:rStyle w:val="InlineUI"/>
        </w:rPr>
        <w:t>Namespaces</w:t>
      </w:r>
      <w:r>
        <w:t xml:space="preserve"> tab for a cluster displays a table with cluster nodes along with the labels that are applied to them. When you click on a node from the list, its labels are displayed in the summary panel at the top.</w:t>
      </w:r>
    </w:p>
    <w:p>
      <w:pPr>
        <w:pStyle w:val="Heading3"/>
      </w:pPr>
      <w:bookmarkStart w:id="311" w:name="B2edfa27655624ccdb06486e681109897"/>
      <w:bookmarkStart w:id="312" w:name="_Toc256000835"/>
      <w:r>
        <w:t>Managing Add-Ons on VKS Clusters with VKS Cluster Management</w:t>
      </w:r>
      <w:bookmarkEnd w:id="312"/>
      <w:bookmarkEnd w:id="311"/>
    </w:p>
    <w:p>
      <w:pPr>
        <w:pStyle w:val="BodyText"/>
      </w:pPr>
      <w:r>
        <w:t xml:space="preserve">As an organization administrator, you can use </w:t>
      </w:r>
      <w:r>
        <w:t>VKS</w:t>
      </w:r>
      <w:r>
        <w:t xml:space="preserve"> cluster management to install and manage add-ons on your </w:t>
      </w:r>
      <w:r>
        <w:t>VKS</w:t>
      </w:r>
      <w:r>
        <w:t xml:space="preserve"> clusters. Managing add-ons is a functionality that is available with </w:t>
      </w:r>
      <w:r>
        <w:t>VKS</w:t>
      </w:r>
      <w:r>
        <w:t xml:space="preserve"> version 3.5 and later.</w:t>
      </w:r>
    </w:p>
    <w:p>
      <w:pPr>
        <w:pStyle w:val="BodyText"/>
      </w:pPr>
      <w:r>
        <w:t>VKS</w:t>
      </w:r>
      <w:r>
        <w:t xml:space="preserve"> cluster management uses an open-source community standard, Carvel, for add-on management. For more information about packages and package management using Carvel, visit </w:t>
      </w:r>
      <w:hyperlink r:id="rId52" w:tooltip="https://carvel.dev/kapp-controller/" w:history="1">
        <w:r>
          <w:rPr>
            <w:color w:val="0000FF"/>
            <w:u w:val="single"/>
          </w:rPr>
          <w:t>https://carvel.dev/kapp-controller/</w:t>
        </w:r>
      </w:hyperlink>
      <w:r>
        <w:t>.</w:t>
      </w:r>
    </w:p>
    <w:p>
      <w:pPr>
        <w:pStyle w:val="BodyText"/>
      </w:pPr>
      <w:r>
        <w:t xml:space="preserve">In </w:t>
      </w:r>
      <w:r>
        <w:t>VCF Automation</w:t>
      </w:r>
      <w:r>
        <w:t>, you can view which add-ons are already installed on your cluster. Additionally, you can install on the cluster any of the availabe add-ons.</w:t>
      </w:r>
    </w:p>
    <w:p>
      <w:pPr>
        <w:pStyle w:val="Heading4"/>
      </w:pPr>
      <w:bookmarkStart w:id="313" w:name="_Toc256000836"/>
      <w:r>
        <w:t>View the Available Add-On Repositories</w:t>
      </w:r>
      <w:bookmarkEnd w:id="313"/>
    </w:p>
    <w:p>
      <w:pPr>
        <w:pStyle w:val="BodyText"/>
      </w:pPr>
      <w:r>
        <w:t xml:space="preserve">Add-on repositories provide you with the add-ons that you can install on your </w:t>
      </w:r>
      <w:r>
        <w:t>VKS</w:t>
      </w:r>
      <w:r>
        <w:t xml:space="preserve"> clusters. With </w:t>
      </w:r>
      <w:r>
        <w:t>VKS</w:t>
      </w:r>
      <w:r>
        <w:t xml:space="preserve"> cluster management, you can view what add-on repositories are available to a </w:t>
      </w:r>
      <w:r>
        <w:t>VKS</w:t>
      </w:r>
      <w:r>
        <w:t xml:space="preserve"> cluster and some details about the repositories, such as the repository creation date, URL, and status.</w:t>
      </w:r>
    </w:p>
    <w:p>
      <w:pPr>
        <w:pStyle w:val="BodyText"/>
      </w:pPr>
      <w:r>
        <w:t xml:space="preserve">When a cluster is attached to </w:t>
      </w:r>
      <w:r>
        <w:t>VKS</w:t>
      </w:r>
      <w:r>
        <w:t xml:space="preserve"> cluster management, the default add-on repository becomes available to the cluster.</w:t>
      </w:r>
    </w:p>
    <w:p>
      <w:pPr>
        <w:pStyle w:val="BodyText"/>
      </w:pPr>
      <w:r>
        <w:rPr>
          <w:rStyle w:val="Strong"/>
        </w:rPr>
        <w:t>Prerequisites</w:t>
      </w:r>
    </w:p>
    <w:p>
      <w:pPr>
        <w:pStyle w:val="BodyText"/>
      </w:pPr>
      <w:r>
        <w:t>Verify that you are assigned one of the appropriate roles:</w:t>
      </w:r>
    </w:p>
    <w:p>
      <w:pPr>
        <w:pStyle w:val="BodyText"/>
        <w:numPr>
          <w:numId w:val="292"/>
        </w:numPr>
      </w:pPr>
      <w:r>
        <w:rPr>
          <w:rStyle w:val="InlineUI"/>
        </w:rPr>
        <w:t>Organization Administrator</w:t>
      </w:r>
    </w:p>
    <w:p>
      <w:pPr>
        <w:pStyle w:val="BodyText"/>
        <w:numPr>
          <w:numId w:val="292"/>
        </w:numPr>
      </w:pPr>
      <w:r>
        <w:rPr>
          <w:rStyle w:val="InlineUI"/>
        </w:rPr>
        <w:t>Project Administrator</w:t>
      </w:r>
    </w:p>
    <w:p>
      <w:pPr>
        <w:pStyle w:val="BodyText"/>
      </w:pPr>
      <w:r>
        <w:rPr>
          <w:rStyle w:val="Strong"/>
        </w:rPr>
        <w:t>Procedure</w:t>
      </w:r>
    </w:p>
    <w:p>
      <w:pPr>
        <w:pStyle w:val="BodyText"/>
        <w:numPr>
          <w:numId w:val="293"/>
        </w:numPr>
      </w:pPr>
      <w:r>
        <w:t xml:space="preserve">Log in to the </w:t>
      </w:r>
      <w:r>
        <w:t>VCF Automation</w:t>
      </w:r>
      <w:r>
        <w:t xml:space="preserve"> organization portal.</w:t>
      </w:r>
    </w:p>
    <w:p>
      <w:pPr>
        <w:pStyle w:val="BodyText"/>
        <w:numPr>
          <w:numId w:val="293"/>
        </w:numPr>
      </w:pPr>
      <w:r>
        <w:t xml:space="preserve">Click the </w:t>
      </w:r>
      <w:r>
        <w:rPr>
          <w:rStyle w:val="InlineUI"/>
        </w:rPr>
        <w:t>Manage &amp; Govern</w:t>
      </w:r>
      <w:r>
        <w:t xml:space="preserve"> tab.</w:t>
      </w:r>
    </w:p>
    <w:p>
      <w:pPr>
        <w:pStyle w:val="BodyText"/>
        <w:numPr>
          <w:numId w:val="293"/>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93"/>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293"/>
        </w:numPr>
      </w:pPr>
      <w:r>
        <w:t xml:space="preserve">Click a cluster from the list and click </w:t>
      </w:r>
      <w:r>
        <w:rPr>
          <w:rStyle w:val="InlineUI"/>
        </w:rPr>
        <w:t>Add-ons</w:t>
      </w:r>
      <w:r>
        <w:rPr>
          <w:rStyle w:val="InlineUI"/>
        </w:rPr>
        <w:t xml:space="preserve"> &gt; </w:t>
      </w:r>
      <w:r>
        <w:rPr>
          <w:rStyle w:val="InlineUI"/>
        </w:rPr>
        <w:t>Repositories</w:t>
      </w:r>
      <w:r>
        <w:t>.</w:t>
      </w:r>
    </w:p>
    <w:p>
      <w:pPr>
        <w:pStyle w:val="BodyText"/>
      </w:pPr>
      <w:r>
        <w:rPr>
          <w:rStyle w:val="Strong"/>
        </w:rPr>
        <w:t>Results</w:t>
      </w:r>
    </w:p>
    <w:p>
      <w:pPr>
        <w:pStyle w:val="BodyText"/>
      </w:pPr>
      <w:r>
        <w:t xml:space="preserve">You see all add-on repositories that are available for use with </w:t>
      </w:r>
      <w:r>
        <w:t>VKS</w:t>
      </w:r>
      <w:r>
        <w:t xml:space="preserve"> cluster management.</w:t>
      </w:r>
    </w:p>
    <w:p>
      <w:pPr>
        <w:pStyle w:val="BodyText"/>
      </w:pPr>
      <w:r>
        <w:rPr>
          <w:rStyle w:val="Strong"/>
        </w:rPr>
        <w:t>What to do next</w:t>
      </w:r>
    </w:p>
    <w:p>
      <w:pPr>
        <w:pStyle w:val="BodyText"/>
      </w:pPr>
      <w:r>
        <w:t xml:space="preserve">View the add-ons that are available for installation and install the desired add-ons on your cluster.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B95b95177ef4342fca5457c57c8133c87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 an Add-On to a VKS Cluster</w:t>
      </w:r>
      <w:r>
        <w:fldChar w:fldCharType="end"/>
      </w:r>
      <w:r>
        <w:t>.</w:t>
      </w:r>
    </w:p>
    <w:p>
      <w:pPr>
        <w:pStyle w:val="Heading4"/>
      </w:pPr>
      <w:bookmarkStart w:id="314" w:name="_Toc256000837"/>
      <w:r>
        <w:t>View the Available Add-Ons</w:t>
      </w:r>
      <w:bookmarkEnd w:id="314"/>
    </w:p>
    <w:p>
      <w:pPr>
        <w:pStyle w:val="BodyText"/>
      </w:pPr>
      <w:r>
        <w:t xml:space="preserve">With </w:t>
      </w:r>
      <w:r>
        <w:t>VKS</w:t>
      </w:r>
      <w:r>
        <w:t xml:space="preserve"> cluster management, you can view a list of all the add-ons that are available for installation on a </w:t>
      </w:r>
      <w:r>
        <w:t>VKS</w:t>
      </w:r>
      <w:r>
        <w:t xml:space="preserve"> cluster.</w:t>
      </w:r>
    </w:p>
    <w:p>
      <w:pPr>
        <w:pStyle w:val="BodyText"/>
      </w:pPr>
      <w:r>
        <w:rPr>
          <w:rStyle w:val="Strong"/>
        </w:rPr>
        <w:t>Prerequisites</w:t>
      </w:r>
    </w:p>
    <w:p>
      <w:pPr>
        <w:pStyle w:val="BodyText"/>
      </w:pPr>
      <w:r>
        <w:t>Verify that you are assigned one of the appropriate roles:</w:t>
      </w:r>
    </w:p>
    <w:p>
      <w:pPr>
        <w:pStyle w:val="BodyText"/>
        <w:numPr>
          <w:numId w:val="294"/>
        </w:numPr>
      </w:pPr>
      <w:r>
        <w:rPr>
          <w:rStyle w:val="InlineUI"/>
        </w:rPr>
        <w:t>Organization Administrator</w:t>
      </w:r>
    </w:p>
    <w:p>
      <w:pPr>
        <w:pStyle w:val="BodyText"/>
        <w:numPr>
          <w:numId w:val="294"/>
        </w:numPr>
      </w:pPr>
      <w:r>
        <w:rPr>
          <w:rStyle w:val="InlineUI"/>
        </w:rPr>
        <w:t>Project Administrator</w:t>
      </w:r>
    </w:p>
    <w:p>
      <w:pPr>
        <w:pStyle w:val="BodyText"/>
      </w:pPr>
      <w:r>
        <w:rPr>
          <w:rStyle w:val="Strong"/>
        </w:rPr>
        <w:t>Procedure</w:t>
      </w:r>
    </w:p>
    <w:p>
      <w:pPr>
        <w:pStyle w:val="BodyText"/>
        <w:numPr>
          <w:numId w:val="295"/>
        </w:numPr>
      </w:pPr>
      <w:r>
        <w:t xml:space="preserve">Log in to the </w:t>
      </w:r>
      <w:r>
        <w:t>VCF Automation</w:t>
      </w:r>
      <w:r>
        <w:t xml:space="preserve"> organization portal.</w:t>
      </w:r>
    </w:p>
    <w:p>
      <w:pPr>
        <w:pStyle w:val="BodyText"/>
        <w:numPr>
          <w:numId w:val="295"/>
        </w:numPr>
      </w:pPr>
      <w:r>
        <w:t xml:space="preserve">Click the </w:t>
      </w:r>
      <w:r>
        <w:rPr>
          <w:rStyle w:val="InlineUI"/>
        </w:rPr>
        <w:t>Manage &amp; Govern</w:t>
      </w:r>
      <w:r>
        <w:t xml:space="preserve"> tab.</w:t>
      </w:r>
    </w:p>
    <w:p>
      <w:pPr>
        <w:pStyle w:val="BodyText"/>
        <w:numPr>
          <w:numId w:val="295"/>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95"/>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295"/>
        </w:numPr>
      </w:pPr>
      <w:r>
        <w:t xml:space="preserve">Click a cluster from the list and click </w:t>
      </w:r>
      <w:r>
        <w:rPr>
          <w:rStyle w:val="InlineUI"/>
        </w:rPr>
        <w:t>Add-ons</w:t>
      </w:r>
      <w:r>
        <w:rPr>
          <w:rStyle w:val="InlineUI"/>
        </w:rPr>
        <w:t xml:space="preserve"> &gt; </w:t>
      </w:r>
      <w:r>
        <w:rPr>
          <w:rStyle w:val="InlineUI"/>
        </w:rPr>
        <w:t>Available Add-Ons</w:t>
      </w:r>
      <w:r>
        <w:t>.</w:t>
      </w:r>
    </w:p>
    <w:p>
      <w:pPr>
        <w:pStyle w:val="BodyText"/>
      </w:pPr>
      <w:r>
        <w:rPr>
          <w:rStyle w:val="Strong"/>
        </w:rPr>
        <w:t>What to do next</w:t>
      </w:r>
    </w:p>
    <w:p>
      <w:pPr>
        <w:pStyle w:val="BodyText"/>
      </w:pPr>
      <w:r>
        <w:t xml:space="preserve">Install an add-on that is available.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B95b95177ef4342fca5457c57c8133c87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 an Add-On to a VKS Cluster</w:t>
      </w:r>
      <w:r>
        <w:fldChar w:fldCharType="end"/>
      </w:r>
      <w:r>
        <w:t>.</w:t>
      </w:r>
    </w:p>
    <w:p>
      <w:pPr>
        <w:pStyle w:val="Heading4"/>
      </w:pPr>
      <w:bookmarkStart w:id="315" w:name="_Toc256000838"/>
      <w:r>
        <w:t>View the Installed Add-Ons for a VKS Cluster</w:t>
      </w:r>
      <w:bookmarkEnd w:id="315"/>
    </w:p>
    <w:p>
      <w:pPr>
        <w:pStyle w:val="BodyText"/>
      </w:pPr>
      <w:r>
        <w:t xml:space="preserve">With </w:t>
      </w:r>
      <w:r>
        <w:t>VKS</w:t>
      </w:r>
      <w:r>
        <w:t xml:space="preserve"> cluster management, you can view a list of all the add-ons that are currently installed on a </w:t>
      </w:r>
      <w:r>
        <w:t>VKS</w:t>
      </w:r>
      <w:r>
        <w:t xml:space="preserve"> cluster in your environment.</w:t>
      </w:r>
    </w:p>
    <w:p>
      <w:pPr>
        <w:pStyle w:val="BodyText"/>
        <w:pBdr>
          <w:top w:val="single" w:sz="8" w:space="2" w:color="D3D3D3"/>
          <w:bottom w:val="single" w:sz="8" w:space="2" w:color="D3D3D3"/>
        </w:pBdr>
      </w:pPr>
      <w:r>
        <w:rPr>
          <w:rStyle w:val="NoteLeaderimportant"/>
        </w:rPr>
        <w:t>Important</w:t>
        <w:tab/>
      </w:r>
      <w:r>
        <w:t xml:space="preserve">In the list of installed add-ons, you only see the add-ons that are installed in the organization namespace. Installed add-ons that are in the public </w:t>
      </w:r>
      <w:r>
        <w:t>Supervisor</w:t>
      </w:r>
      <w:r>
        <w:t xml:space="preserve"> namespace, </w:t>
      </w:r>
      <w:r>
        <w:rPr>
          <w:rStyle w:val="InlineCode"/>
        </w:rPr>
        <w:t>vmware-system-vks-public</w:t>
      </w:r>
      <w:r>
        <w:t>, are not shown in the list.</w:t>
      </w:r>
    </w:p>
    <w:p>
      <w:pPr>
        <w:pStyle w:val="BodyText"/>
      </w:pPr>
      <w:r>
        <w:rPr>
          <w:rStyle w:val="Strong"/>
        </w:rPr>
        <w:t>Prerequisites</w:t>
      </w:r>
    </w:p>
    <w:p>
      <w:pPr>
        <w:pStyle w:val="BodyText"/>
      </w:pPr>
      <w:r>
        <w:t>Verify that you are assigned one of the appropriate roles:</w:t>
      </w:r>
    </w:p>
    <w:p>
      <w:pPr>
        <w:pStyle w:val="BodyText"/>
        <w:numPr>
          <w:numId w:val="296"/>
        </w:numPr>
      </w:pPr>
      <w:r>
        <w:rPr>
          <w:rStyle w:val="InlineUI"/>
        </w:rPr>
        <w:t>Organization Administrator</w:t>
      </w:r>
    </w:p>
    <w:p>
      <w:pPr>
        <w:pStyle w:val="BodyText"/>
        <w:numPr>
          <w:numId w:val="296"/>
        </w:numPr>
      </w:pPr>
      <w:r>
        <w:rPr>
          <w:rStyle w:val="InlineUI"/>
        </w:rPr>
        <w:t>Project Administrator</w:t>
      </w:r>
    </w:p>
    <w:p>
      <w:pPr>
        <w:pStyle w:val="BodyText"/>
      </w:pPr>
      <w:r>
        <w:rPr>
          <w:rStyle w:val="Strong"/>
        </w:rPr>
        <w:t>Procedure</w:t>
      </w:r>
    </w:p>
    <w:p>
      <w:pPr>
        <w:pStyle w:val="BodyText"/>
        <w:numPr>
          <w:numId w:val="297"/>
        </w:numPr>
      </w:pPr>
      <w:r>
        <w:t xml:space="preserve">Log in to the </w:t>
      </w:r>
      <w:r>
        <w:t>VCF Automation</w:t>
      </w:r>
      <w:r>
        <w:t xml:space="preserve"> organization portal.</w:t>
      </w:r>
    </w:p>
    <w:p>
      <w:pPr>
        <w:pStyle w:val="BodyText"/>
        <w:numPr>
          <w:numId w:val="297"/>
        </w:numPr>
      </w:pPr>
      <w:r>
        <w:t xml:space="preserve">Click the </w:t>
      </w:r>
      <w:r>
        <w:rPr>
          <w:rStyle w:val="InlineUI"/>
        </w:rPr>
        <w:t>Manage &amp; Govern</w:t>
      </w:r>
      <w:r>
        <w:t xml:space="preserve"> tab.</w:t>
      </w:r>
    </w:p>
    <w:p>
      <w:pPr>
        <w:pStyle w:val="BodyText"/>
        <w:numPr>
          <w:numId w:val="29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97"/>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297"/>
        </w:numPr>
      </w:pPr>
      <w:r>
        <w:t xml:space="preserve">Click a cluster from the list and click </w:t>
      </w:r>
      <w:r>
        <w:rPr>
          <w:rStyle w:val="InlineUI"/>
        </w:rPr>
        <w:t>Add-ons</w:t>
      </w:r>
      <w:r>
        <w:rPr>
          <w:rStyle w:val="InlineUI"/>
        </w:rPr>
        <w:t xml:space="preserve"> &gt; </w:t>
      </w:r>
      <w:r>
        <w:rPr>
          <w:rStyle w:val="InlineUI"/>
        </w:rPr>
        <w:t>Installed Add-Ons</w:t>
      </w:r>
      <w:r>
        <w:t>.</w:t>
      </w:r>
    </w:p>
    <w:p>
      <w:pPr>
        <w:pStyle w:val="BodyText"/>
      </w:pPr>
      <w:r>
        <w:rPr>
          <w:rStyle w:val="Strong"/>
        </w:rPr>
        <w:t>What to do next</w:t>
      </w:r>
    </w:p>
    <w:p>
      <w:pPr>
        <w:pStyle w:val="BodyText"/>
      </w:pPr>
      <w:r>
        <w:t>You can edit or delete an already installed add-on.</w:t>
      </w:r>
    </w:p>
    <w:p>
      <w:pPr>
        <w:pStyle w:val="BodyText"/>
      </w:pPr>
      <w:r>
        <w:t xml:space="preserve">For information about editing an installed add-on,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Bea66afe326404a678a840847607aaea4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Edit an Installed Add-On</w:t>
      </w:r>
      <w:r>
        <w:fldChar w:fldCharType="end"/>
      </w:r>
      <w:r>
        <w:t>.</w:t>
      </w:r>
    </w:p>
    <w:p>
      <w:pPr>
        <w:pStyle w:val="BodyText"/>
      </w:pPr>
      <w:r>
        <w:t>To delete the installed add-on, click the vertical ellipsis (</w:t>
      </w:r>
    </w:p>
    <w:p>
      <w:pPr>
        <w:pStyle w:val="BodyText"/>
      </w:pPr>
      <w:r>
        <w:drawing>
          <wp:inline>
            <wp:extent cx="132588" cy="137160"/>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add-on, and click </w:t>
      </w:r>
      <w:r>
        <w:rPr>
          <w:rStyle w:val="InlineUI"/>
        </w:rPr>
        <w:t>Delete</w:t>
      </w:r>
      <w:r>
        <w:t>.</w:t>
      </w:r>
    </w:p>
    <w:p>
      <w:pPr>
        <w:pStyle w:val="Heading4"/>
      </w:pPr>
      <w:bookmarkStart w:id="316" w:name="B95b95177ef4342fca5457c57c8133c87"/>
      <w:bookmarkStart w:id="317" w:name="_Toc256000839"/>
      <w:r>
        <w:t>Install an Add-On to a VKS Cluster</w:t>
      </w:r>
      <w:bookmarkEnd w:id="317"/>
      <w:bookmarkEnd w:id="316"/>
    </w:p>
    <w:p>
      <w:pPr>
        <w:pStyle w:val="BodyText"/>
      </w:pPr>
      <w:r>
        <w:t xml:space="preserve">You can use </w:t>
      </w:r>
      <w:r>
        <w:t>VKS</w:t>
      </w:r>
      <w:r>
        <w:t xml:space="preserve"> cluster management to install any of the available add-ons to your </w:t>
      </w:r>
      <w:r>
        <w:t>VKS</w:t>
      </w:r>
      <w:r>
        <w:t xml:space="preserve"> cluster.</w:t>
      </w:r>
    </w:p>
    <w:p>
      <w:pPr>
        <w:pStyle w:val="BodyText"/>
      </w:pPr>
      <w:r>
        <w:rPr>
          <w:rStyle w:val="Strong"/>
        </w:rPr>
        <w:t>Prerequisites</w:t>
      </w:r>
    </w:p>
    <w:p>
      <w:pPr>
        <w:pStyle w:val="BodyText"/>
      </w:pPr>
      <w:r>
        <w:t>Verify that you are assigned one of the appropriate roles:</w:t>
      </w:r>
    </w:p>
    <w:p>
      <w:pPr>
        <w:pStyle w:val="BodyText"/>
        <w:numPr>
          <w:numId w:val="298"/>
        </w:numPr>
      </w:pPr>
      <w:r>
        <w:rPr>
          <w:rStyle w:val="InlineUI"/>
        </w:rPr>
        <w:t>Organization Administrator</w:t>
      </w:r>
    </w:p>
    <w:p>
      <w:pPr>
        <w:pStyle w:val="BodyText"/>
        <w:numPr>
          <w:numId w:val="298"/>
        </w:numPr>
      </w:pPr>
      <w:r>
        <w:rPr>
          <w:rStyle w:val="InlineUI"/>
        </w:rPr>
        <w:t>Project Administrator</w:t>
      </w:r>
    </w:p>
    <w:p>
      <w:pPr>
        <w:pStyle w:val="BodyText"/>
      </w:pPr>
      <w:r>
        <w:rPr>
          <w:rStyle w:val="Strong"/>
        </w:rPr>
        <w:t>Procedure</w:t>
      </w:r>
    </w:p>
    <w:p>
      <w:pPr>
        <w:pStyle w:val="BodyText"/>
        <w:numPr>
          <w:numId w:val="299"/>
        </w:numPr>
      </w:pPr>
      <w:r>
        <w:t xml:space="preserve">Log in to the </w:t>
      </w:r>
      <w:r>
        <w:t>VCF Automation</w:t>
      </w:r>
      <w:r>
        <w:t xml:space="preserve"> organization portal.</w:t>
      </w:r>
    </w:p>
    <w:p>
      <w:pPr>
        <w:pStyle w:val="BodyText"/>
        <w:numPr>
          <w:numId w:val="299"/>
        </w:numPr>
      </w:pPr>
      <w:r>
        <w:t xml:space="preserve">Click the </w:t>
      </w:r>
      <w:r>
        <w:rPr>
          <w:rStyle w:val="InlineUI"/>
        </w:rPr>
        <w:t>Manage &amp; Govern</w:t>
      </w:r>
      <w:r>
        <w:t xml:space="preserve"> tab.</w:t>
      </w:r>
    </w:p>
    <w:p>
      <w:pPr>
        <w:pStyle w:val="BodyText"/>
        <w:numPr>
          <w:numId w:val="29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299"/>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299"/>
        </w:numPr>
      </w:pPr>
      <w:r>
        <w:t xml:space="preserve">Click a cluster from the list and click </w:t>
      </w:r>
      <w:r>
        <w:rPr>
          <w:rStyle w:val="InlineUI"/>
        </w:rPr>
        <w:t>Add-ons</w:t>
      </w:r>
      <w:r>
        <w:rPr>
          <w:rStyle w:val="InlineUI"/>
        </w:rPr>
        <w:t xml:space="preserve"> &gt; </w:t>
      </w:r>
      <w:r>
        <w:rPr>
          <w:rStyle w:val="InlineUI"/>
        </w:rPr>
        <w:t>Available Add-ons</w:t>
      </w:r>
      <w:r>
        <w:t>.</w:t>
      </w:r>
    </w:p>
    <w:p>
      <w:pPr>
        <w:pStyle w:val="BodyText"/>
        <w:numPr>
          <w:numId w:val="299"/>
        </w:numPr>
      </w:pPr>
      <w:r>
        <w:t xml:space="preserve">Click the </w:t>
      </w:r>
      <w:r>
        <w:rPr>
          <w:rStyle w:val="InlineUI"/>
        </w:rPr>
        <w:t>Install add-on</w:t>
      </w:r>
      <w:r>
        <w:t xml:space="preserve"> button for the add-on that you want to install.</w:t>
      </w:r>
    </w:p>
    <w:p>
      <w:pPr>
        <w:pStyle w:val="BodyText"/>
        <w:numPr>
          <w:numId w:val="299"/>
        </w:numPr>
      </w:pPr>
      <w:r>
        <w:t>Enter a name for the installed instance of the add-on.</w:t>
      </w:r>
    </w:p>
    <w:p>
      <w:pPr>
        <w:pStyle w:val="BodyText"/>
        <w:ind w:left="480"/>
      </w:pPr>
      <w:r>
        <w:t>The name you enter must be unique. The installation fails, if an add-on with identical name exist in another cluster.</w:t>
      </w:r>
    </w:p>
    <w:p>
      <w:pPr>
        <w:pStyle w:val="BodyText"/>
        <w:numPr>
          <w:numId w:val="299"/>
        </w:numPr>
      </w:pPr>
      <w:r>
        <w:t xml:space="preserve">From the </w:t>
      </w:r>
      <w:r>
        <w:rPr>
          <w:rStyle w:val="InlineUI"/>
        </w:rPr>
        <w:t>Package version</w:t>
      </w:r>
      <w:r>
        <w:t xml:space="preserve"> drop-down menu, select the add-on version to install.</w:t>
      </w:r>
    </w:p>
    <w:p>
      <w:pPr>
        <w:pStyle w:val="BodyText"/>
        <w:ind w:left="480"/>
      </w:pPr>
      <w:r>
        <w:t xml:space="preserve">Instead of selecting a specific version, you can select </w:t>
      </w:r>
      <w:r>
        <w:rPr>
          <w:rStyle w:val="InlineUI"/>
        </w:rPr>
        <w:t>Latest compatible version</w:t>
      </w:r>
      <w:r>
        <w:t xml:space="preserve"> and let </w:t>
      </w:r>
      <w:r>
        <w:t>VKS</w:t>
      </w:r>
      <w:r>
        <w:t xml:space="preserve"> cluster management pick the latest add-on version that is compatible with your environment. The add-on is installed with its default configuration.</w:t>
      </w:r>
    </w:p>
    <w:p>
      <w:pPr>
        <w:pStyle w:val="BodyText"/>
        <w:numPr>
          <w:numId w:val="299"/>
        </w:numPr>
      </w:pPr>
      <w:r>
        <w:t xml:space="preserve">In the </w:t>
      </w:r>
      <w:r>
        <w:rPr>
          <w:rStyle w:val="InlineUI"/>
        </w:rPr>
        <w:t>Package Configuration</w:t>
      </w:r>
      <w:r>
        <w:t xml:space="preserve"> section, review and, optionally, edit the configuration values for the keys that the add-on defines as configurable.</w:t>
      </w:r>
    </w:p>
    <w:p>
      <w:pPr>
        <w:pStyle w:val="BodyText"/>
        <w:ind w:left="480"/>
      </w:pPr>
      <w:r>
        <w:t xml:space="preserve">The </w:t>
      </w:r>
      <w:r>
        <w:rPr>
          <w:rStyle w:val="InlineUI"/>
        </w:rPr>
        <w:t>Package Configuration</w:t>
      </w:r>
      <w:r>
        <w:t xml:space="preserve"> section is visible only if you select a specific add-on version at Step 8. If you select the </w:t>
      </w:r>
      <w:r>
        <w:rPr>
          <w:rStyle w:val="InlineUI"/>
        </w:rPr>
        <w:t>Latest compatible version</w:t>
      </w:r>
      <w:r>
        <w:t xml:space="preserve"> option, the </w:t>
      </w:r>
      <w:r>
        <w:rPr>
          <w:rStyle w:val="InlineUI"/>
        </w:rPr>
        <w:t>Package Configuration</w:t>
      </w:r>
      <w:r>
        <w:t xml:space="preserve"> section is not shown, because the add-on is installed with its default configuration. If you want to change the default configuration, you must install the add-on and then edit the installed add-on. For instruction about editing an installed add-on,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Bea66afe326404a678a840847607aaea4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Edit an Installed Add-On</w:t>
      </w:r>
      <w:r>
        <w:fldChar w:fldCharType="end"/>
      </w:r>
      <w:r>
        <w:t>.</w:t>
      </w:r>
    </w:p>
    <w:p>
      <w:pPr>
        <w:pStyle w:val="BodyText"/>
        <w:numPr>
          <w:ilvl w:val="1"/>
          <w:numId w:val="299"/>
        </w:numPr>
      </w:pPr>
      <w:r>
        <w:t xml:space="preserve">On the </w:t>
      </w:r>
      <w:r>
        <w:rPr>
          <w:rStyle w:val="InlineUI"/>
        </w:rPr>
        <w:t>Table View</w:t>
      </w:r>
      <w:r>
        <w:t xml:space="preserve"> tab, navigate to a key and click the edit icon (</w:t>
      </w:r>
      <w:r>
        <w:drawing>
          <wp:inline>
            <wp:extent cx="295238" cy="219048"/>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50"/>
                    <a:stretch>
                      <a:fillRect/>
                    </a:stretch>
                  </pic:blipFill>
                  <pic:spPr>
                    <a:xfrm>
                      <a:off x="0" y="0"/>
                      <a:ext cx="295238" cy="219048"/>
                    </a:xfrm>
                    <a:prstGeom prst="rect">
                      <a:avLst/>
                    </a:prstGeom>
                  </pic:spPr>
                </pic:pic>
              </a:graphicData>
            </a:graphic>
          </wp:inline>
        </w:drawing>
      </w:r>
      <w:r>
        <w:t>) in the last column of the table.</w:t>
      </w:r>
    </w:p>
    <w:p>
      <w:pPr>
        <w:pStyle w:val="BodyText"/>
        <w:ind w:left="960"/>
      </w:pPr>
      <w:r>
        <w:t>An edit dialog box apperas.</w:t>
      </w:r>
    </w:p>
    <w:p>
      <w:pPr>
        <w:pStyle w:val="BodyText"/>
        <w:numPr>
          <w:ilvl w:val="1"/>
          <w:numId w:val="299"/>
        </w:numPr>
      </w:pPr>
      <w:r>
        <w:t>Enter the new value in the dialog box and confirm your modification.</w:t>
      </w:r>
    </w:p>
    <w:p>
      <w:pPr>
        <w:pStyle w:val="BodyText"/>
        <w:numPr>
          <w:ilvl w:val="1"/>
          <w:numId w:val="299"/>
        </w:numPr>
      </w:pPr>
      <w:r>
        <w:t xml:space="preserve">Click </w:t>
      </w:r>
      <w:r>
        <w:rPr>
          <w:rStyle w:val="InlineUI"/>
        </w:rPr>
        <w:t>Save</w:t>
      </w:r>
      <w:r>
        <w:t>.</w:t>
      </w:r>
    </w:p>
    <w:p>
      <w:pPr>
        <w:pStyle w:val="BodyText"/>
        <w:numPr>
          <w:ilvl w:val="1"/>
          <w:numId w:val="299"/>
        </w:numPr>
      </w:pPr>
      <w:r>
        <w:t xml:space="preserve">(Optional) To view the changed configuration values, click the </w:t>
      </w:r>
      <w:r>
        <w:rPr>
          <w:rStyle w:val="InlineUI"/>
        </w:rPr>
        <w:t>Changes</w:t>
      </w:r>
      <w:r>
        <w:t xml:space="preserve"> tab.</w:t>
      </w:r>
    </w:p>
    <w:p>
      <w:pPr>
        <w:pStyle w:val="BodyText"/>
        <w:numPr>
          <w:numId w:val="299"/>
        </w:numPr>
      </w:pPr>
      <w:r>
        <w:t xml:space="preserve">Click the </w:t>
      </w:r>
      <w:r>
        <w:rPr>
          <w:rStyle w:val="InlineUI"/>
        </w:rPr>
        <w:t>Install package</w:t>
      </w:r>
      <w:r>
        <w:t xml:space="preserve"> button.</w:t>
      </w:r>
    </w:p>
    <w:p>
      <w:pPr>
        <w:pStyle w:val="BodyText"/>
      </w:pPr>
      <w:r>
        <w:rPr>
          <w:rStyle w:val="Strong"/>
        </w:rPr>
        <w:t>Results</w:t>
      </w:r>
    </w:p>
    <w:p>
      <w:pPr>
        <w:pStyle w:val="BodyText"/>
      </w:pPr>
      <w:r>
        <w:t xml:space="preserve">The add-on appears in the </w:t>
      </w:r>
      <w:r>
        <w:rPr>
          <w:rStyle w:val="InlineUI"/>
        </w:rPr>
        <w:t>Installed Add-ons</w:t>
      </w:r>
      <w:r>
        <w:t xml:space="preserve"> list.</w:t>
      </w:r>
    </w:p>
    <w:p>
      <w:pPr>
        <w:pStyle w:val="BodyText"/>
      </w:pPr>
      <w:r>
        <w:rPr>
          <w:rStyle w:val="Strong"/>
        </w:rPr>
        <w:t>What to do next</w:t>
      </w:r>
    </w:p>
    <w:p>
      <w:pPr>
        <w:pStyle w:val="BodyText"/>
      </w:pPr>
      <w:r>
        <w:t>To delete the installed add-on, click the vertical ellipsis (</w:t>
      </w:r>
    </w:p>
    <w:p>
      <w:pPr>
        <w:pStyle w:val="BodyText"/>
      </w:pPr>
      <w:r>
        <w:drawing>
          <wp:inline>
            <wp:extent cx="132588" cy="137160"/>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add-on, and click </w:t>
      </w:r>
      <w:r>
        <w:rPr>
          <w:rStyle w:val="InlineUI"/>
        </w:rPr>
        <w:t>Delete</w:t>
      </w:r>
      <w:r>
        <w:t xml:space="preserve">. The </w:t>
      </w:r>
      <w:r>
        <w:rPr>
          <w:rStyle w:val="InlineUI"/>
        </w:rPr>
        <w:t>Delete</w:t>
      </w:r>
      <w:r>
        <w:t xml:space="preserve"> button is unavailable, if the deletion of the add-on would affect mutiple clusters.</w:t>
      </w:r>
    </w:p>
    <w:p>
      <w:pPr>
        <w:pStyle w:val="BodyText"/>
      </w:pPr>
      <w:r>
        <w:t xml:space="preserve">To edit the installed add-on,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Bea66afe326404a678a840847607aaea4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Edit an Installed Add-On</w:t>
      </w:r>
      <w:r>
        <w:fldChar w:fldCharType="end"/>
      </w:r>
      <w:r>
        <w:t>.</w:t>
      </w:r>
    </w:p>
    <w:p>
      <w:pPr>
        <w:pStyle w:val="Heading4"/>
      </w:pPr>
      <w:bookmarkStart w:id="318" w:name="Bea66afe326404a678a840847607aaea4"/>
      <w:bookmarkStart w:id="319" w:name="_Toc256000840"/>
      <w:r>
        <w:t>Edit an Installed Add-On</w:t>
      </w:r>
      <w:bookmarkEnd w:id="319"/>
      <w:bookmarkEnd w:id="318"/>
    </w:p>
    <w:p>
      <w:pPr>
        <w:pStyle w:val="BodyText"/>
      </w:pPr>
      <w:r>
        <w:t xml:space="preserve">With </w:t>
      </w:r>
      <w:r>
        <w:t>VKS</w:t>
      </w:r>
      <w:r>
        <w:t xml:space="preserve"> cluster management, you can modify an add-on that is already installed on a </w:t>
      </w:r>
      <w:r>
        <w:t>VKS</w:t>
      </w:r>
      <w:r>
        <w:t xml:space="preserve"> cluster by updating its version or package configuration.</w:t>
      </w:r>
    </w:p>
    <w:p>
      <w:pPr>
        <w:pStyle w:val="BodyText"/>
      </w:pPr>
      <w:r>
        <w:rPr>
          <w:rStyle w:val="Strong"/>
        </w:rPr>
        <w:t>Prerequisites</w:t>
      </w:r>
    </w:p>
    <w:p>
      <w:pPr>
        <w:pStyle w:val="BodyText"/>
      </w:pPr>
      <w:r>
        <w:t>Verify that you are assigned one of the appropriate roles:</w:t>
      </w:r>
    </w:p>
    <w:p>
      <w:pPr>
        <w:pStyle w:val="BodyText"/>
        <w:numPr>
          <w:numId w:val="300"/>
        </w:numPr>
      </w:pPr>
      <w:r>
        <w:rPr>
          <w:rStyle w:val="InlineUI"/>
        </w:rPr>
        <w:t>Organization Administrator</w:t>
      </w:r>
    </w:p>
    <w:p>
      <w:pPr>
        <w:pStyle w:val="BodyText"/>
        <w:numPr>
          <w:numId w:val="300"/>
        </w:numPr>
      </w:pPr>
      <w:r>
        <w:rPr>
          <w:rStyle w:val="InlineUI"/>
        </w:rPr>
        <w:t>Project Administrator</w:t>
      </w:r>
    </w:p>
    <w:p>
      <w:pPr>
        <w:pStyle w:val="BodyText"/>
      </w:pPr>
      <w:r>
        <w:rPr>
          <w:rStyle w:val="Strong"/>
        </w:rPr>
        <w:t>Procedure</w:t>
      </w:r>
    </w:p>
    <w:p>
      <w:pPr>
        <w:pStyle w:val="BodyText"/>
        <w:numPr>
          <w:numId w:val="301"/>
        </w:numPr>
      </w:pPr>
      <w:r>
        <w:t xml:space="preserve">Log in to the </w:t>
      </w:r>
      <w:r>
        <w:t>VCF Automation</w:t>
      </w:r>
      <w:r>
        <w:t xml:space="preserve"> organization portal.</w:t>
      </w:r>
    </w:p>
    <w:p>
      <w:pPr>
        <w:pStyle w:val="BodyText"/>
        <w:numPr>
          <w:numId w:val="301"/>
        </w:numPr>
      </w:pPr>
      <w:r>
        <w:t xml:space="preserve">Click the </w:t>
      </w:r>
      <w:r>
        <w:rPr>
          <w:rStyle w:val="InlineUI"/>
        </w:rPr>
        <w:t>Manage &amp; Govern</w:t>
      </w:r>
      <w:r>
        <w:t xml:space="preserve"> tab.</w:t>
      </w:r>
    </w:p>
    <w:p>
      <w:pPr>
        <w:pStyle w:val="BodyText"/>
        <w:numPr>
          <w:numId w:val="301"/>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01"/>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01"/>
        </w:numPr>
      </w:pPr>
      <w:r>
        <w:t xml:space="preserve">Click a cluster from the list and click </w:t>
      </w:r>
      <w:r>
        <w:rPr>
          <w:rStyle w:val="InlineUI"/>
        </w:rPr>
        <w:t>Add-ons</w:t>
      </w:r>
      <w:r>
        <w:rPr>
          <w:rStyle w:val="InlineUI"/>
        </w:rPr>
        <w:t xml:space="preserve"> &gt; </w:t>
      </w:r>
      <w:r>
        <w:rPr>
          <w:rStyle w:val="InlineUI"/>
        </w:rPr>
        <w:t>Installed Add-ons</w:t>
      </w:r>
      <w:r>
        <w:t>.</w:t>
      </w:r>
    </w:p>
    <w:p>
      <w:pPr>
        <w:pStyle w:val="BodyText"/>
        <w:numPr>
          <w:numId w:val="301"/>
        </w:numPr>
      </w:pPr>
      <w:r>
        <w:t>Navigate to an add-on from the list, click the the vertical ellipsis (</w:t>
      </w:r>
      <w:r>
        <w:drawing>
          <wp:inline>
            <wp:extent cx="132588" cy="137160"/>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add-on and click </w:t>
      </w:r>
      <w:r>
        <w:rPr>
          <w:rStyle w:val="InlineUI"/>
        </w:rPr>
        <w:t>Edit</w:t>
      </w:r>
      <w:r>
        <w:t>.</w:t>
      </w:r>
    </w:p>
    <w:p>
      <w:pPr>
        <w:pStyle w:val="BodyText"/>
        <w:ind w:left="480"/>
      </w:pPr>
      <w:r>
        <w:t xml:space="preserve">You can only edit an add-on, if the add-on is in Active state. If the add-on is not in Active state, the </w:t>
      </w:r>
      <w:r>
        <w:rPr>
          <w:rStyle w:val="InlineUI"/>
        </w:rPr>
        <w:t>Edit</w:t>
      </w:r>
      <w:r>
        <w:t xml:space="preserve"> button is disabled. An add-on is in Active state when it gets installed on the cluster.</w:t>
      </w:r>
    </w:p>
    <w:p>
      <w:pPr>
        <w:pStyle w:val="BodyText"/>
        <w:numPr>
          <w:numId w:val="301"/>
        </w:numPr>
      </w:pPr>
      <w:r>
        <w:t xml:space="preserve">To change the version of the installed add-on, select </w:t>
      </w:r>
      <w:r>
        <w:rPr>
          <w:rStyle w:val="InlineUI"/>
        </w:rPr>
        <w:t>Change desired version</w:t>
      </w:r>
      <w:r>
        <w:t xml:space="preserve"> from the </w:t>
      </w:r>
      <w:r>
        <w:rPr>
          <w:rStyle w:val="InlineUI"/>
        </w:rPr>
        <w:t>Actions</w:t>
      </w:r>
      <w:r>
        <w:t xml:space="preserve"> drop-down menu and select the desired version.</w:t>
      </w:r>
    </w:p>
    <w:p>
      <w:pPr>
        <w:pStyle w:val="BodyText"/>
        <w:ind w:left="480"/>
      </w:pPr>
      <w:r>
        <w:t xml:space="preserve">You can select a specific version or, alternatively, you can select the </w:t>
      </w:r>
      <w:r>
        <w:rPr>
          <w:rStyle w:val="InlineUI"/>
        </w:rPr>
        <w:t>Latest compatible version</w:t>
      </w:r>
      <w:r>
        <w:t xml:space="preserve"> option.</w:t>
      </w:r>
    </w:p>
    <w:p>
      <w:pPr>
        <w:pStyle w:val="BodyText"/>
        <w:numPr>
          <w:numId w:val="301"/>
        </w:numPr>
      </w:pPr>
      <w:r>
        <w:t xml:space="preserve">In the </w:t>
      </w:r>
      <w:r>
        <w:rPr>
          <w:rStyle w:val="InlineUI"/>
        </w:rPr>
        <w:t>Package Configuration</w:t>
      </w:r>
      <w:r>
        <w:t xml:space="preserve"> section, edit the configuration values for the keys that the add-on defines as configurable.</w:t>
      </w:r>
    </w:p>
    <w:p>
      <w:pPr>
        <w:pStyle w:val="BodyText"/>
        <w:numPr>
          <w:ilvl w:val="1"/>
          <w:numId w:val="301"/>
        </w:numPr>
      </w:pPr>
      <w:r>
        <w:t xml:space="preserve">On the </w:t>
      </w:r>
      <w:r>
        <w:rPr>
          <w:rStyle w:val="InlineUI"/>
        </w:rPr>
        <w:t>Table View</w:t>
      </w:r>
      <w:r>
        <w:t xml:space="preserve"> tab, navigate to a configuration value.</w:t>
      </w:r>
    </w:p>
    <w:p>
      <w:pPr>
        <w:pStyle w:val="BodyText"/>
        <w:numPr>
          <w:ilvl w:val="1"/>
          <w:numId w:val="301"/>
        </w:numPr>
      </w:pPr>
      <w:r>
        <w:t>Click the edit icon (</w:t>
      </w:r>
      <w:r>
        <w:drawing>
          <wp:inline>
            <wp:extent cx="295238" cy="219048"/>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50"/>
                    <a:stretch>
                      <a:fillRect/>
                    </a:stretch>
                  </pic:blipFill>
                  <pic:spPr>
                    <a:xfrm>
                      <a:off x="0" y="0"/>
                      <a:ext cx="295238" cy="219048"/>
                    </a:xfrm>
                    <a:prstGeom prst="rect">
                      <a:avLst/>
                    </a:prstGeom>
                  </pic:spPr>
                </pic:pic>
              </a:graphicData>
            </a:graphic>
          </wp:inline>
        </w:drawing>
      </w:r>
      <w:r>
        <w:t>) in the last column from the table.</w:t>
      </w:r>
    </w:p>
    <w:p>
      <w:pPr>
        <w:pStyle w:val="BodyText"/>
        <w:ind w:left="960"/>
      </w:pPr>
      <w:r>
        <w:t>An edit dialog box opens.</w:t>
      </w:r>
    </w:p>
    <w:p>
      <w:pPr>
        <w:pStyle w:val="BodyText"/>
        <w:numPr>
          <w:ilvl w:val="1"/>
          <w:numId w:val="301"/>
        </w:numPr>
      </w:pPr>
      <w:r>
        <w:t>Enter the new value in the dialog box and confirm your modification.</w:t>
      </w:r>
    </w:p>
    <w:p>
      <w:pPr>
        <w:pStyle w:val="BodyText"/>
        <w:numPr>
          <w:ilvl w:val="1"/>
          <w:numId w:val="301"/>
        </w:numPr>
      </w:pPr>
      <w:r>
        <w:t xml:space="preserve">Click </w:t>
      </w:r>
      <w:r>
        <w:rPr>
          <w:rStyle w:val="InlineUI"/>
        </w:rPr>
        <w:t>Save</w:t>
      </w:r>
      <w:r>
        <w:t>.</w:t>
      </w:r>
    </w:p>
    <w:p>
      <w:pPr>
        <w:pStyle w:val="BodyText"/>
        <w:numPr>
          <w:ilvl w:val="1"/>
          <w:numId w:val="301"/>
        </w:numPr>
      </w:pPr>
      <w:r>
        <w:t xml:space="preserve">(Optional) To reset all values to their package defaults, click </w:t>
      </w:r>
      <w:r>
        <w:rPr>
          <w:rStyle w:val="InlineUI"/>
        </w:rPr>
        <w:t>Reset to package defaults</w:t>
      </w:r>
      <w:r>
        <w:t>.</w:t>
      </w:r>
    </w:p>
    <w:p>
      <w:pPr>
        <w:pStyle w:val="BodyText"/>
        <w:ind w:left="480"/>
      </w:pPr>
      <w:r>
        <w:t xml:space="preserve">View the changes before they are applied to your cluster by clicking the </w:t>
      </w:r>
      <w:r>
        <w:rPr>
          <w:rStyle w:val="InlineUI"/>
        </w:rPr>
        <w:t>Changes</w:t>
      </w:r>
      <w:r>
        <w:t xml:space="preserve"> tab.</w:t>
      </w:r>
    </w:p>
    <w:p>
      <w:pPr>
        <w:pStyle w:val="BodyText"/>
        <w:numPr>
          <w:numId w:val="301"/>
        </w:numPr>
      </w:pPr>
      <w:r>
        <w:t xml:space="preserve">Click the </w:t>
      </w:r>
      <w:r>
        <w:rPr>
          <w:rStyle w:val="InlineUI"/>
        </w:rPr>
        <w:t>Apply changes</w:t>
      </w:r>
      <w:r>
        <w:t xml:space="preserve"> button.</w:t>
      </w:r>
    </w:p>
    <w:p>
      <w:pPr>
        <w:pStyle w:val="BodyText"/>
      </w:pPr>
      <w:r>
        <w:rPr>
          <w:rStyle w:val="Strong"/>
        </w:rPr>
        <w:t>Results</w:t>
      </w:r>
    </w:p>
    <w:p>
      <w:pPr>
        <w:pStyle w:val="BodyText"/>
      </w:pPr>
      <w:r>
        <w:t>The add-on is updated.</w:t>
      </w:r>
    </w:p>
    <w:p>
      <w:pPr>
        <w:pStyle w:val="Heading3"/>
      </w:pPr>
      <w:bookmarkStart w:id="320" w:name="B3a45e77c89cc4abca90d67fa62cee7b6"/>
      <w:bookmarkStart w:id="321" w:name="_Toc256000841"/>
      <w:r>
        <w:t>Backing Up and Restoring VKS Clusters and VKS Cluster Namespaces with VKS Cluster Management</w:t>
      </w:r>
      <w:bookmarkEnd w:id="321"/>
      <w:bookmarkEnd w:id="320"/>
    </w:p>
    <w:p>
      <w:pPr>
        <w:pStyle w:val="BodyText"/>
      </w:pPr>
      <w:r>
        <w:t xml:space="preserve">Using </w:t>
      </w:r>
      <w:r>
        <w:t>VKS</w:t>
      </w:r>
      <w:r>
        <w:t xml:space="preserve"> cluster management, you can protect the valuable data resources in your Kubernetes clusters using the backup and restore features provided by Velero, an open-source community standard. Backup and restore capabilities are important because they enable you to safeguard your data and ensure business continuity.</w:t>
      </w:r>
    </w:p>
    <w:p>
      <w:pPr>
        <w:pStyle w:val="BodyText"/>
      </w:pPr>
      <w:r>
        <w:t xml:space="preserve">When you perform a backup, </w:t>
      </w:r>
      <w:r>
        <w:t>VKS</w:t>
      </w:r>
      <w:r>
        <w:t xml:space="preserve"> cluster management uses Velero to create a backup of the specified Kubernetes resources with snapshots of persistent volume data, and then stores the backup in a location that you specify. Velero supports backing up and restoring volumes using the File System Backup (FSB) method and the Container Storage Interface (CSI) snapshot method. For more information about Velero, see the official Velero documentation at </w:t>
      </w:r>
      <w:hyperlink r:id="rId53" w:tooltip="https://velero.io/docs" w:history="1">
        <w:r>
          <w:rPr>
            <w:color w:val="0000FF"/>
            <w:u w:val="single"/>
          </w:rPr>
          <w:t>https://velero.io/docs</w:t>
        </w:r>
      </w:hyperlink>
      <w:r>
        <w:t>.</w:t>
      </w:r>
    </w:p>
    <w:p>
      <w:pPr>
        <w:pStyle w:val="BodyText"/>
      </w:pPr>
      <w:r>
        <w:t xml:space="preserve">With </w:t>
      </w:r>
      <w:r>
        <w:t>VKS</w:t>
      </w:r>
      <w:r>
        <w:t xml:space="preserve"> cluster management, you can back up the following data:</w:t>
      </w:r>
    </w:p>
    <w:p>
      <w:pPr>
        <w:pStyle w:val="BodyText"/>
        <w:numPr>
          <w:numId w:val="302"/>
        </w:numPr>
      </w:pPr>
      <w:r>
        <w:t>All resources in a cluster</w:t>
      </w:r>
    </w:p>
    <w:p>
      <w:pPr>
        <w:pStyle w:val="BodyText"/>
        <w:numPr>
          <w:numId w:val="302"/>
        </w:numPr>
      </w:pPr>
      <w:r>
        <w:t xml:space="preserve">Selected namespaces in a </w:t>
      </w:r>
      <w:r>
        <w:t>VKS</w:t>
      </w:r>
      <w:r>
        <w:t xml:space="preserve"> cluster</w:t>
      </w:r>
    </w:p>
    <w:p>
      <w:pPr>
        <w:pStyle w:val="BodyText"/>
        <w:numPr>
          <w:numId w:val="302"/>
        </w:numPr>
      </w:pPr>
      <w:r>
        <w:t>Specific resources in a cluster identified by a label</w:t>
      </w:r>
    </w:p>
    <w:p>
      <w:pPr>
        <w:pStyle w:val="BodyText"/>
      </w:pPr>
      <w:r>
        <w:t>Similarly, you can restore the following data from your backups:</w:t>
      </w:r>
    </w:p>
    <w:p>
      <w:pPr>
        <w:pStyle w:val="BodyText"/>
        <w:numPr>
          <w:numId w:val="303"/>
        </w:numPr>
      </w:pPr>
      <w:r>
        <w:t>The entire cluster backup</w:t>
      </w:r>
    </w:p>
    <w:p>
      <w:pPr>
        <w:pStyle w:val="BodyText"/>
        <w:numPr>
          <w:numId w:val="303"/>
        </w:numPr>
      </w:pPr>
      <w:r>
        <w:t>Selected namespaces from the backup</w:t>
      </w:r>
    </w:p>
    <w:p>
      <w:pPr>
        <w:pStyle w:val="BodyText"/>
        <w:numPr>
          <w:numId w:val="303"/>
        </w:numPr>
      </w:pPr>
      <w:r>
        <w:t>Specific resources from the backup identified by a label</w:t>
      </w:r>
    </w:p>
    <w:p>
      <w:pPr>
        <w:pStyle w:val="BodyText"/>
      </w:pPr>
      <w:r>
        <w:t xml:space="preserve">With </w:t>
      </w:r>
      <w:r>
        <w:t>VKS</w:t>
      </w:r>
      <w:r>
        <w:t xml:space="preserve"> cluster management, you can create a backup of one cluster and restore it to a different cluster.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B835f8906dcb4423fbf9f1c09de328176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Restore a VKS Cluster Backup To a Different Cluster</w:t>
      </w:r>
      <w:r>
        <w:fldChar w:fldCharType="end"/>
      </w:r>
    </w:p>
    <w:p>
      <w:pPr>
        <w:pStyle w:val="SectionHeading4"/>
      </w:pPr>
      <w:bookmarkStart w:id="322" w:name="_Toc256000842"/>
      <w:r>
        <w:t>Backup Storage</w:t>
      </w:r>
      <w:bookmarkEnd w:id="322"/>
    </w:p>
    <w:p>
      <w:pPr>
        <w:pStyle w:val="BodyText"/>
      </w:pPr>
      <w:r>
        <w:t xml:space="preserve">For the storage of your backups, you can specify a target location that allows </w:t>
      </w:r>
      <w:r>
        <w:t>VKS</w:t>
      </w:r>
      <w:r>
        <w:t xml:space="preserve"> cluster management to manage the storage of backups, provisioning resources as necessary according to your specifications. However, if you prefer to manage your own storage for backups, you can specify a target location that points to a storage location that you create and maintain in your cloud provider account, such as an AWS S3 or S3-compatible storage location. With self-provisioned storage, you can use existing storage investments for backups, reducing network and cloud storage costs, and apply existing storage policies, quotas, and encryption. For a list of supported S3-compatible providers, see the official Velero documentation at </w:t>
      </w:r>
      <w:hyperlink r:id="rId54" w:tooltip="https://velero.io/docs/v1.9/supported-providers/#s3-compatible-object-store-providers" w:history="1">
        <w:r>
          <w:rPr>
            <w:color w:val="0000FF"/>
            <w:u w:val="single"/>
          </w:rPr>
          <w:t>https://velero.io/docs/v1.9/supported-providers/#s3-compatible-object-store-providers</w:t>
        </w:r>
      </w:hyperlink>
      <w:r>
        <w:t>.</w:t>
      </w:r>
    </w:p>
    <w:p>
      <w:pPr>
        <w:pStyle w:val="BodyText"/>
      </w:pPr>
      <w:r>
        <w:t>Before you define a backup for a cluster, you must create a target location and credential to use to perform the backup:</w:t>
      </w:r>
    </w:p>
    <w:p>
      <w:pPr>
        <w:pStyle w:val="BodyText"/>
        <w:numPr>
          <w:numId w:val="304"/>
        </w:numPr>
      </w:pPr>
      <w:r>
        <w:t xml:space="preserve">The data protection credential specifies the access credentials for the account where your backup is stored. This account can be either your AWS account where </w:t>
      </w:r>
      <w:r>
        <w:t>VKS</w:t>
      </w:r>
      <w:r>
        <w:t xml:space="preserve"> cluster management manages backup storage, or an account where you manage backups (the account that contains your AWS S3 or S3-compatible storage).</w:t>
      </w:r>
    </w:p>
    <w:p>
      <w:pPr>
        <w:pStyle w:val="BodyText"/>
        <w:numPr>
          <w:numId w:val="304"/>
        </w:numPr>
      </w:pPr>
      <w:r>
        <w:t>The data protection target location identifies the place where you want the backup stored, and references the associated data protection credential. You can share the target location across mutliple clusters.</w:t>
      </w:r>
    </w:p>
    <w:p>
      <w:pPr>
        <w:pStyle w:val="SectionHeading4"/>
      </w:pPr>
      <w:bookmarkStart w:id="323" w:name="_Toc256000843"/>
      <w:r>
        <w:t>Container Storage Interface (CSI) Volume Snapshots</w:t>
      </w:r>
      <w:bookmarkEnd w:id="323"/>
    </w:p>
    <w:p>
      <w:pPr>
        <w:pStyle w:val="BodyText"/>
      </w:pPr>
      <w:r>
        <w:t>Velero supports the backup and restore of volumes backed by CSI drivers. To create a CSI snapshot, you must specify a volume snapshot class that tells the Kubernetes engine which driver file to use for snapshot creation.</w:t>
      </w:r>
    </w:p>
    <w:p>
      <w:pPr>
        <w:pStyle w:val="BodyText"/>
      </w:pPr>
      <w:r>
        <w:t>CSI snapshots are available only for persistent volumes created using CSI drivers supporting volume snapshot. Optionally, you can copy the data on the CSI snapshots to the backup storage location.</w:t>
      </w:r>
    </w:p>
    <w:p>
      <w:pPr>
        <w:pStyle w:val="BodyText"/>
      </w:pPr>
      <w:r>
        <w:t>When scheduling a backup, if you want to move CSI snapshot data to the backup storage location, first Velero creates the CSI snapshot, then moves the CSI snapshot data to a backup storage location and finally removes the CSI snapshot to release the cluster storage occupied by the snapshot.</w:t>
      </w:r>
    </w:p>
    <w:p>
      <w:pPr>
        <w:pStyle w:val="BodyText"/>
      </w:pPr>
      <w:r>
        <w:t>Moving CSI snapshot data is useful for on-premises data centers, where usually the storage doesn’t support durable snapshots. Also, it is not cost-efficient to keep a number of CSI volume snapshots for longer duration on the cluster storage. Moving a CSI snapshot to a backup storage location lowers the cost for long time preservation of data.</w:t>
      </w:r>
    </w:p>
    <w:p>
      <w:pPr>
        <w:pStyle w:val="BodyText"/>
      </w:pPr>
      <w:r>
        <w:t xml:space="preserve">For more information, see the official Velero documentation at </w:t>
      </w:r>
      <w:hyperlink r:id="rId55" w:tooltip="https://velero.io/docs/main/csi/" w:history="1">
        <w:r>
          <w:rPr>
            <w:color w:val="0000FF"/>
            <w:u w:val="single"/>
          </w:rPr>
          <w:t>https://velero.io/docs/main/csi/</w:t>
        </w:r>
      </w:hyperlink>
      <w:r>
        <w:t xml:space="preserve"> and </w:t>
      </w:r>
      <w:hyperlink r:id="rId56" w:tooltip="https://velero.io/docs/main/csi-snapshot-data-movement/" w:history="1">
        <w:r>
          <w:rPr>
            <w:color w:val="0000FF"/>
            <w:u w:val="single"/>
          </w:rPr>
          <w:t>https://velero.io/docs/main/csi-snapshot-data-movement/</w:t>
        </w:r>
      </w:hyperlink>
      <w:r>
        <w:t>.</w:t>
      </w:r>
    </w:p>
    <w:p>
      <w:pPr>
        <w:pStyle w:val="BodyText"/>
      </w:pPr>
      <w:r>
        <w:t xml:space="preserve">For more information about requirements for using CSI,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B38a5825e051946a085d1ccb45c86d2a7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Using CSI Volume Backup</w:t>
      </w:r>
      <w:r>
        <w:fldChar w:fldCharType="end"/>
      </w:r>
      <w:r>
        <w:t>.</w:t>
      </w:r>
    </w:p>
    <w:p>
      <w:pPr>
        <w:pStyle w:val="SectionHeading4"/>
      </w:pPr>
      <w:bookmarkStart w:id="324" w:name="_Toc256000844"/>
      <w:r>
        <w:t>File System Backup</w:t>
      </w:r>
      <w:bookmarkEnd w:id="324"/>
    </w:p>
    <w:p>
      <w:pPr>
        <w:pStyle w:val="BodyText"/>
      </w:pPr>
      <w:r>
        <w:t xml:space="preserve">You can back up Kubernetes volumes attached to pods from the file system of the volumes. This approach is called File System Backup (FSB) or Pod Volume Backup. </w:t>
      </w:r>
      <w:r>
        <w:t>VKS</w:t>
      </w:r>
      <w:r>
        <w:t xml:space="preserve"> cluster management uses Velero to achieve this.</w:t>
      </w:r>
    </w:p>
    <w:p>
      <w:pPr>
        <w:pStyle w:val="BodyText"/>
      </w:pPr>
      <w:r>
        <w:t>FSB is enabled by default when you enable data protection on the cluster. When FSB is enabled, Kopia is installed on the cluster and Velero backs up pod volumes using Kopia. The data on the volumes backed up using FSB is copied to the backup storage location using Kopia.</w:t>
      </w:r>
    </w:p>
    <w:p>
      <w:pPr>
        <w:pStyle w:val="BodyText"/>
      </w:pPr>
      <w:r>
        <w:t>FSB offers two approaches of discovering pod volumes to be backed up:</w:t>
      </w:r>
    </w:p>
    <w:p>
      <w:pPr>
        <w:pStyle w:val="BodyText"/>
        <w:numPr>
          <w:numId w:val="305"/>
        </w:numPr>
      </w:pPr>
      <w:r>
        <w:t>Opt-out approach</w:t>
      </w:r>
    </w:p>
    <w:p>
      <w:pPr>
        <w:pStyle w:val="BodyText"/>
        <w:ind w:left="480"/>
      </w:pPr>
      <w:r>
        <w:t xml:space="preserve">This is the default approach of discovering pod volumes to be backed up. With this approach, all pod volumes are backed up, but you can use the </w:t>
      </w:r>
      <w:r>
        <w:rPr>
          <w:rStyle w:val="InlineCode"/>
        </w:rPr>
        <w:t>backup.velero.io/backup-volumes-excludes</w:t>
      </w:r>
      <w:r>
        <w:t xml:space="preserve"> annotation on the pod to exclude specific volumes from being backed up.</w:t>
      </w:r>
    </w:p>
    <w:p>
      <w:pPr>
        <w:pStyle w:val="BodyText"/>
        <w:numPr>
          <w:numId w:val="305"/>
        </w:numPr>
      </w:pPr>
      <w:r>
        <w:t>Opt-in approach</w:t>
      </w:r>
    </w:p>
    <w:p>
      <w:pPr>
        <w:pStyle w:val="BodyText"/>
        <w:ind w:left="480"/>
      </w:pPr>
      <w:r>
        <w:t xml:space="preserve">You must annotate every pod that contains a volume to be backed up by using the </w:t>
      </w:r>
      <w:r>
        <w:rPr>
          <w:rStyle w:val="InlineCode"/>
        </w:rPr>
        <w:t>backup.velero.io/backup-volumes</w:t>
      </w:r>
      <w:r>
        <w:t xml:space="preserve"> annotation with the volume’s name.</w:t>
      </w:r>
    </w:p>
    <w:p>
      <w:pPr>
        <w:pStyle w:val="BodyText"/>
      </w:pPr>
      <w:r>
        <w:t>FSB with opt-out is the default setting for all backup operations. During backup operation all volumes are evaluated based on the specified opt-out or opt-in approach to exclude or include volumes to be backed up using FSB.</w:t>
      </w:r>
    </w:p>
    <w:p>
      <w:pPr>
        <w:pStyle w:val="SectionHeading4"/>
      </w:pPr>
      <w:bookmarkStart w:id="325" w:name="_Toc256000845"/>
      <w:r>
        <w:t>Using Both FSB and CSI for Backups</w:t>
      </w:r>
      <w:bookmarkEnd w:id="325"/>
    </w:p>
    <w:p>
      <w:pPr>
        <w:pStyle w:val="BodyText"/>
      </w:pPr>
      <w:r>
        <w:t>By using FSB, you can back up and restore almost any type of Kubernetes volume. Therefore, if you use a volume type that doesn’t have the concept of a native snapshot or CSI volume snapshot, FSB might be the best choice. Moreover, FSB is not tied to a specific storage platform, so you can save the backup data to a different storage platform from the one backing up Kubernetes volumes, for example, a durable storage media.</w:t>
      </w:r>
    </w:p>
    <w:p>
      <w:pPr>
        <w:pStyle w:val="BodyText"/>
      </w:pPr>
      <w:r>
        <w:t xml:space="preserve">However, FSB backs up data from the live file system, so the backup data is less consistent than the CSI volume snapshot approach. FSB accesses the file system from the mounted </w:t>
      </w:r>
      <w:r>
        <w:rPr>
          <w:rStyle w:val="InlineCode"/>
        </w:rPr>
        <w:t>hostpath</w:t>
      </w:r>
      <w:r>
        <w:t xml:space="preserve"> directory, so the pods must run as </w:t>
      </w:r>
      <w:r>
        <w:rPr>
          <w:rStyle w:val="InlineUI"/>
        </w:rPr>
        <w:t>root</w:t>
      </w:r>
      <w:r>
        <w:t xml:space="preserve"> user and even under privileged mode in some environments.</w:t>
      </w:r>
    </w:p>
    <w:p>
      <w:pPr>
        <w:pStyle w:val="BodyText"/>
      </w:pPr>
      <w:r>
        <w:t xml:space="preserve">If both FSB and CSI volume snapshot are enabled and backup configured with CSI snapshot, Velero first evaluates volumes to be backed up using FSB based on the specified approach (opt-in or opt-out). CSI-driver based volumes not included in the FSB backup are backed up by CSI volume snapshot, if they meet the requirements for using CSI snapshots,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B38a5825e051946a085d1ccb45c86d2a7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Using CSI Volume Backup</w:t>
      </w:r>
      <w:r>
        <w:fldChar w:fldCharType="end"/>
      </w:r>
      <w:r>
        <w:t>.</w:t>
      </w:r>
    </w:p>
    <w:p>
      <w:pPr>
        <w:pStyle w:val="BodyText"/>
      </w:pPr>
      <w:r>
        <w:t>If both FSB and CSI volume snapshot are enabled but backup is not configured with CSI snapshot, Velero evaluates volumes to be backed up using FSB based on the specified approach (opt-in or opt-out). Volumes not included in FSB are not backed up.</w:t>
      </w:r>
    </w:p>
    <w:p>
      <w:pPr>
        <w:pStyle w:val="Heading4"/>
      </w:pPr>
      <w:bookmarkStart w:id="326" w:name="B38a5825e051946a085d1ccb45c86d2a7"/>
      <w:bookmarkStart w:id="327" w:name="_Toc256000846"/>
      <w:r>
        <w:t>Requirements for Using CSI Volume Backup</w:t>
      </w:r>
      <w:bookmarkEnd w:id="327"/>
      <w:bookmarkEnd w:id="326"/>
    </w:p>
    <w:p>
      <w:pPr>
        <w:pStyle w:val="BodyText"/>
      </w:pPr>
      <w:r>
        <w:t xml:space="preserve">When you configure data protection for </w:t>
      </w:r>
      <w:r>
        <w:t>VKS</w:t>
      </w:r>
      <w:r>
        <w:t xml:space="preserve"> cluster management, you must meet certain requirements to be able to use CSI volume backup.</w:t>
      </w:r>
    </w:p>
    <w:p>
      <w:pPr>
        <w:pStyle w:val="BodyText"/>
        <w:numPr>
          <w:numId w:val="306"/>
        </w:numPr>
      </w:pPr>
      <w:r>
        <w:t>Your cluster must be Kubernetes v1.20 or later.</w:t>
      </w:r>
    </w:p>
    <w:p>
      <w:pPr>
        <w:pStyle w:val="BodyText"/>
        <w:numPr>
          <w:numId w:val="306"/>
        </w:numPr>
      </w:pPr>
      <w:r>
        <w:t xml:space="preserve">Your cluster must be running a CSI driver capable of supporting volume snapshots at the v1 API level. For more information, see the information at </w:t>
      </w:r>
      <w:hyperlink r:id="rId57" w:tooltip="https://kubernetes.io/blog/2020/12/10/kubernetes-1.20-volume-snapshot-moves-to-ga/" w:history="1">
        <w:r>
          <w:rPr>
            <w:color w:val="0000FF"/>
            <w:u w:val="single"/>
          </w:rPr>
          <w:t>https://kubernetes.io/blog/2020/12/10/kubernetes-1.20-volume-snapshot-moves-to-ga/</w:t>
        </w:r>
      </w:hyperlink>
      <w:r>
        <w:t>.</w:t>
      </w:r>
    </w:p>
    <w:p>
      <w:pPr>
        <w:pStyle w:val="BodyText"/>
        <w:numPr>
          <w:numId w:val="306"/>
        </w:numPr>
      </w:pPr>
      <w:r>
        <w:t xml:space="preserve">Your cluster must be installed with the </w:t>
      </w:r>
      <w:r>
        <w:rPr>
          <w:rStyle w:val="InlineCode"/>
        </w:rPr>
        <w:t>snapshot.storage.k8s.io/v1</w:t>
      </w:r>
      <w:r>
        <w:t xml:space="preserve"> API group. </w:t>
      </w:r>
      <w:r>
        <w:rPr>
          <w:rStyle w:val="InlineCode"/>
        </w:rPr>
        <w:t>volumesnapshots.snapshot.storage.k8s.io</w:t>
      </w:r>
      <w:r>
        <w:t xml:space="preserve"> , </w:t>
      </w:r>
      <w:r>
        <w:rPr>
          <w:rStyle w:val="InlineCode"/>
        </w:rPr>
        <w:t>volumesnapshotcontents.snapshot.storage.k8s.io</w:t>
      </w:r>
      <w:r>
        <w:t xml:space="preserve">, and </w:t>
      </w:r>
      <w:r>
        <w:rPr>
          <w:rStyle w:val="InlineCode"/>
        </w:rPr>
        <w:t>volumesnapshotclass.snapshot.storage.k8s.io</w:t>
      </w:r>
      <w:r>
        <w:t xml:space="preserve"> CRDs must be present on the cluster. The output you see must be similar to the following one:</w:t>
      </w:r>
    </w:p>
    <w:p>
      <w:pPr>
        <w:pStyle w:val="CodeBlock"/>
        <w:ind w:left="480"/>
      </w:pPr>
      <w:r>
        <w:t>kubectl api-resources -o name | grep "snapshot.storage.k8s.io"
volumesnapshotclasses.snapshot.storage.k8s.io
volumesnapshotcontents.snapshot.storage.k8s.io
volumesnapshots.snapshot.storage.k8s.io</w:t>
      </w:r>
    </w:p>
    <w:p>
      <w:pPr>
        <w:pStyle w:val="BodyText"/>
        <w:ind w:left="480"/>
      </w:pPr>
      <w:r>
        <w:t xml:space="preserve">In addition to those CRDs, there is the expectation that the volume snapshot controller and the CSI snapshot sidecar container are also installed. These are typically installed by your cluster provider along with the above CRDs. For more information about the installation snapshot controller and the CSI snapshot sidecar container, see the official Kubernetes documentation at </w:t>
      </w:r>
      <w:hyperlink r:id="rId58" w:tooltip="https://github.com/kubernetes-csi/external-snapshotter#usage" w:history="1">
        <w:r>
          <w:rPr>
            <w:color w:val="0000FF"/>
            <w:u w:val="single"/>
          </w:rPr>
          <w:t>https://github.com/kubernetes-csi/external-snapshotter#usage</w:t>
        </w:r>
      </w:hyperlink>
      <w:r>
        <w:t>.</w:t>
      </w:r>
    </w:p>
    <w:p>
      <w:pPr>
        <w:pStyle w:val="BodyText"/>
        <w:numPr>
          <w:numId w:val="306"/>
        </w:numPr>
      </w:pPr>
      <w:r>
        <w:t xml:space="preserve">For every unique CSI provisioner in the cluster, a matching volume snapshot class must exist, with a label </w:t>
      </w:r>
      <w:r>
        <w:rPr>
          <w:rStyle w:val="InlineCode"/>
        </w:rPr>
        <w:t>velero.io/csi-volumesnapshot-class</w:t>
      </w:r>
      <w:r>
        <w:t>. Here is an example manifest:</w:t>
      </w:r>
    </w:p>
    <w:p>
      <w:pPr>
        <w:pStyle w:val="CodeBlock"/>
        <w:ind w:left="480"/>
      </w:pPr>
      <w:r>
        <w:t>apiVersion: snapshot.storage.k8s.io/v1
kind: VolumeSnapshotClass
metadata:
  name: csi-azuredisk-vsc
  labels:
    velero.io/csi-volumesnapshot-class: "true"
driver: disk.csi.azure.com
deletionPolicy: Delete</w:t>
      </w:r>
    </w:p>
    <w:p>
      <w:pPr>
        <w:pStyle w:val="BodyText"/>
        <w:ind w:left="480"/>
      </w:pPr>
      <w:r>
        <w:t>The name of the driver must correspond to that specified in the persistent volume or the persistent volume’s storage class.</w:t>
      </w:r>
    </w:p>
    <w:p>
      <w:pPr>
        <w:pStyle w:val="CodeBlock"/>
        <w:ind w:left="480"/>
      </w:pPr>
      <w:r>
        <w:t>kubectl get pv pvc-8835819c-4946-4b7d-8b13-58f827adb5ff -o jsonpath='{.spec.csi.driver}'
disk.csi.azure.com
kubectl get storageclass managed -o jsonpath='{.provisioner}'
disk.csi.azure.com</w:t>
      </w:r>
    </w:p>
    <w:p>
      <w:pPr>
        <w:pStyle w:val="BodyText"/>
        <w:numPr>
          <w:numId w:val="306"/>
        </w:numPr>
      </w:pPr>
      <w:r>
        <w:t>When you restore CSI volume snapshots across clusters, the name of the CSI driver in the destination cluster must be the same as that on the source cluster to ensure cross-cluster portability of CSI volume snapshots. Additionally, the target cluster must have appropriate permissions to access the snapshots in the source cluster.</w:t>
      </w:r>
    </w:p>
    <w:p>
      <w:pPr>
        <w:pStyle w:val="Heading4"/>
      </w:pPr>
      <w:bookmarkStart w:id="328" w:name="_Toc256000847"/>
      <w:r>
        <w:t>Backup and Restore Hooks</w:t>
      </w:r>
      <w:bookmarkEnd w:id="328"/>
    </w:p>
    <w:p>
      <w:pPr>
        <w:pStyle w:val="BodyText"/>
      </w:pPr>
      <w:r>
        <w:t>You can use backup and restore hooks to customize your backup and restore operations.</w:t>
      </w:r>
    </w:p>
    <w:p>
      <w:pPr>
        <w:pStyle w:val="SectionHeading5"/>
      </w:pPr>
      <w:r>
        <w:t>Backup Hooks</w:t>
      </w:r>
    </w:p>
    <w:p>
      <w:pPr>
        <w:pStyle w:val="BodyText"/>
      </w:pPr>
      <w:r>
        <w:t>Application workloads might require custom scripts or commands to be run before or after the backup operation. Examples of using hooks while creating backups are:</w:t>
      </w:r>
    </w:p>
    <w:p>
      <w:pPr>
        <w:pStyle w:val="BodyText"/>
        <w:numPr>
          <w:numId w:val="307"/>
        </w:numPr>
      </w:pPr>
      <w:r>
        <w:t>freezing the file system to ensure that all pending disk I/O operations are completed prior to backup</w:t>
      </w:r>
    </w:p>
    <w:p>
      <w:pPr>
        <w:pStyle w:val="BodyText"/>
        <w:numPr>
          <w:numId w:val="307"/>
        </w:numPr>
      </w:pPr>
      <w:r>
        <w:t>deleting files that must not be backed up</w:t>
      </w:r>
    </w:p>
    <w:p>
      <w:pPr>
        <w:pStyle w:val="BodyText"/>
        <w:numPr>
          <w:numId w:val="307"/>
        </w:numPr>
      </w:pPr>
      <w:r>
        <w:t>exporting database prior to backup</w:t>
      </w:r>
    </w:p>
    <w:p>
      <w:pPr>
        <w:pStyle w:val="BodyText"/>
      </w:pPr>
      <w:r>
        <w:t>Velero supports running commands in containers in pods during a backup. When you perform a backup, you can specify one or more commands to run in a container in a pod when that pod is being backed up. Pre-hooks run before the pod is backed up. Post-hooks run after the backup.</w:t>
      </w:r>
    </w:p>
    <w:p>
      <w:pPr>
        <w:pStyle w:val="BodyText"/>
      </w:pPr>
      <w:r>
        <w:t xml:space="preserve">There are two ways to specify hooks, annotations on the pod itself, and in the </w:t>
      </w:r>
      <w:r>
        <w:rPr>
          <w:rStyle w:val="InlineCode"/>
        </w:rPr>
        <w:t>BackupSpec</w:t>
      </w:r>
      <w:r>
        <w:t xml:space="preserve">. </w:t>
      </w:r>
      <w:r>
        <w:t>VKS</w:t>
      </w:r>
      <w:r>
        <w:t xml:space="preserve"> cluster management enables you to define backup hooks while scheduling backup and specifies hooks in the </w:t>
      </w:r>
      <w:r>
        <w:rPr>
          <w:rStyle w:val="InlineCode"/>
        </w:rPr>
        <w:t>BackupSpec</w:t>
      </w:r>
      <w:r>
        <w:t>.</w:t>
      </w:r>
    </w:p>
    <w:p>
      <w:pPr>
        <w:pStyle w:val="BodyText"/>
      </w:pPr>
      <w:r>
        <w:t>For example, to freeze a file system, you can run the following commands:</w:t>
      </w:r>
    </w:p>
    <w:p>
      <w:pPr>
        <w:pStyle w:val="BodyText"/>
        <w:numPr>
          <w:numId w:val="308"/>
        </w:numPr>
      </w:pPr>
      <w:r>
        <w:t xml:space="preserve">Pre-hook command </w:t>
      </w:r>
      <w:r>
        <w:rPr>
          <w:rStyle w:val="InlineCode"/>
        </w:rPr>
        <w:t>/sbin/fsfreeze --freeze /var/log/nginx</w:t>
      </w:r>
    </w:p>
    <w:p>
      <w:pPr>
        <w:pStyle w:val="BodyText"/>
        <w:numPr>
          <w:numId w:val="308"/>
        </w:numPr>
      </w:pPr>
      <w:r>
        <w:t xml:space="preserve">Post-hook command </w:t>
      </w:r>
      <w:r>
        <w:rPr>
          <w:rStyle w:val="InlineCode"/>
        </w:rPr>
        <w:t>/sbin/fsfreeze --unfreeze /var/log/nginx</w:t>
      </w:r>
    </w:p>
    <w:p>
      <w:pPr>
        <w:pStyle w:val="BodyText"/>
      </w:pPr>
      <w:r>
        <w:t xml:space="preserve">For more information about Velero and backup hooks, see the Velero documentation at </w:t>
      </w:r>
      <w:hyperlink r:id="rId59" w:tooltip="https://velero.io/docs/main/backup-hooks/" w:history="1">
        <w:r>
          <w:rPr>
            <w:color w:val="0000FF"/>
            <w:u w:val="single"/>
          </w:rPr>
          <w:t>https://velero.io/docs/main/backup-hooks/</w:t>
        </w:r>
      </w:hyperlink>
      <w:r>
        <w:t>.</w:t>
      </w:r>
    </w:p>
    <w:p>
      <w:pPr>
        <w:pStyle w:val="SectionHeading5"/>
      </w:pPr>
      <w:r>
        <w:t>Restore Hooks</w:t>
      </w:r>
    </w:p>
    <w:p>
      <w:pPr>
        <w:pStyle w:val="BodyText"/>
      </w:pPr>
      <w:r>
        <w:t>Application workloads might require custom scripts or commands to be run during or after the restore process. Examples of using hooks while creating restore are:</w:t>
      </w:r>
    </w:p>
    <w:p>
      <w:pPr>
        <w:pStyle w:val="BodyText"/>
        <w:numPr>
          <w:numId w:val="309"/>
        </w:numPr>
      </w:pPr>
      <w:r>
        <w:t>creating a TEMP file prior to restore</w:t>
      </w:r>
    </w:p>
    <w:p>
      <w:pPr>
        <w:pStyle w:val="BodyText"/>
        <w:numPr>
          <w:numId w:val="309"/>
        </w:numPr>
      </w:pPr>
      <w:r>
        <w:t>running a command into restored pod before the application containers can start</w:t>
      </w:r>
    </w:p>
    <w:p>
      <w:pPr>
        <w:pStyle w:val="BodyText"/>
      </w:pPr>
      <w:r>
        <w:t xml:space="preserve">You can create restore hooks to run commands in </w:t>
      </w:r>
      <w:r>
        <w:rPr>
          <w:rStyle w:val="InlineCode"/>
        </w:rPr>
        <w:t>init containers</w:t>
      </w:r>
      <w:r>
        <w:t>, before the application container starts, or in the application container itself. Velero supports two kinds of restore hooks:</w:t>
      </w:r>
    </w:p>
    <w:p>
      <w:pPr>
        <w:pStyle w:val="BodyText"/>
        <w:numPr>
          <w:numId w:val="310"/>
        </w:numPr>
      </w:pPr>
      <w:r>
        <w:rPr>
          <w:rStyle w:val="InlineCode"/>
        </w:rPr>
        <w:t>InitContainer</w:t>
      </w:r>
      <w:r>
        <w:t xml:space="preserve"> restore hooks</w:t>
      </w:r>
    </w:p>
    <w:p>
      <w:pPr>
        <w:pStyle w:val="BodyText"/>
        <w:ind w:left="480"/>
      </w:pPr>
      <w:r>
        <w:t xml:space="preserve">These hooks add </w:t>
      </w:r>
      <w:r>
        <w:rPr>
          <w:rStyle w:val="InlineCode"/>
        </w:rPr>
        <w:t>init containers</w:t>
      </w:r>
      <w:r>
        <w:t xml:space="preserve"> into restored pods to perform any necessary setup before the application containers of the restored pod can start. You can use </w:t>
      </w:r>
      <w:r>
        <w:rPr>
          <w:rStyle w:val="InlineCode"/>
        </w:rPr>
        <w:t>InitContainer</w:t>
      </w:r>
      <w:r>
        <w:t xml:space="preserve"> hooks to run any setup needed for the pod to resume running from its backedup state. There are two ways to specify </w:t>
      </w:r>
      <w:r>
        <w:rPr>
          <w:rStyle w:val="InlineCode"/>
        </w:rPr>
        <w:t>InitContainer</w:t>
      </w:r>
      <w:r>
        <w:t xml:space="preserve"> hooks:</w:t>
      </w:r>
    </w:p>
    <w:p>
      <w:pPr>
        <w:pStyle w:val="BodyText"/>
        <w:numPr>
          <w:ilvl w:val="1"/>
          <w:numId w:val="310"/>
        </w:numPr>
      </w:pPr>
      <w:r>
        <w:t>specifying hooks in annotations</w:t>
      </w:r>
    </w:p>
    <w:p>
      <w:pPr>
        <w:pStyle w:val="BodyText"/>
        <w:numPr>
          <w:ilvl w:val="1"/>
          <w:numId w:val="310"/>
        </w:numPr>
      </w:pPr>
      <w:r>
        <w:t xml:space="preserve">specifying hooks in the </w:t>
      </w:r>
      <w:r>
        <w:rPr>
          <w:rStyle w:val="InlineCode"/>
        </w:rPr>
        <w:t>RestoreSpec</w:t>
      </w:r>
    </w:p>
    <w:p>
      <w:pPr>
        <w:pStyle w:val="BodyText"/>
        <w:ind w:left="480"/>
      </w:pPr>
      <w:r>
        <w:t>VKS</w:t>
      </w:r>
      <w:r>
        <w:t xml:space="preserve"> cluster management enables you to define </w:t>
      </w:r>
      <w:r>
        <w:rPr>
          <w:rStyle w:val="InlineCode"/>
        </w:rPr>
        <w:t>InitContainer</w:t>
      </w:r>
      <w:r>
        <w:t xml:space="preserve"> hooks while restoring a backup and specifies hooks in the </w:t>
      </w:r>
      <w:r>
        <w:rPr>
          <w:rStyle w:val="InlineCode"/>
        </w:rPr>
        <w:t>RestoreSpec</w:t>
      </w:r>
      <w:r>
        <w:t>.</w:t>
      </w:r>
    </w:p>
    <w:p>
      <w:pPr>
        <w:pStyle w:val="BodyText"/>
        <w:numPr>
          <w:numId w:val="310"/>
        </w:numPr>
      </w:pPr>
      <w:r>
        <w:rPr>
          <w:rStyle w:val="InlineCode"/>
        </w:rPr>
        <w:t>Exec</w:t>
      </w:r>
      <w:r>
        <w:t xml:space="preserve"> restore hooks</w:t>
      </w:r>
    </w:p>
    <w:p>
      <w:pPr>
        <w:pStyle w:val="BodyText"/>
        <w:ind w:left="480"/>
      </w:pPr>
      <w:r>
        <w:t xml:space="preserve">These hooks run custom commands or scripts in containers of a restored Kubernetes pod. You can use an </w:t>
      </w:r>
      <w:r>
        <w:rPr>
          <w:rStyle w:val="InlineCode"/>
        </w:rPr>
        <w:t>Exec</w:t>
      </w:r>
      <w:r>
        <w:t xml:space="preserve"> restore hook to run commands in a restored pod’s containers after they start. There are two ways to specify </w:t>
      </w:r>
      <w:r>
        <w:rPr>
          <w:rStyle w:val="InlineCode"/>
        </w:rPr>
        <w:t>Exec</w:t>
      </w:r>
      <w:r>
        <w:t xml:space="preserve"> hooks:</w:t>
      </w:r>
    </w:p>
    <w:p>
      <w:pPr>
        <w:pStyle w:val="BodyText"/>
        <w:numPr>
          <w:ilvl w:val="1"/>
          <w:numId w:val="310"/>
        </w:numPr>
      </w:pPr>
      <w:r>
        <w:t>specifying hooks in annotations</w:t>
      </w:r>
    </w:p>
    <w:p>
      <w:pPr>
        <w:pStyle w:val="BodyText"/>
        <w:numPr>
          <w:ilvl w:val="1"/>
          <w:numId w:val="310"/>
        </w:numPr>
      </w:pPr>
      <w:r>
        <w:t xml:space="preserve">specifying hooks in the </w:t>
      </w:r>
      <w:r>
        <w:rPr>
          <w:rStyle w:val="InlineCode"/>
        </w:rPr>
        <w:t>RestoreSpec</w:t>
      </w:r>
    </w:p>
    <w:p>
      <w:pPr>
        <w:pStyle w:val="BodyText"/>
      </w:pPr>
      <w:r>
        <w:t>VKS</w:t>
      </w:r>
      <w:r>
        <w:t xml:space="preserve"> cluster management enables you to define </w:t>
      </w:r>
      <w:r>
        <w:rPr>
          <w:rStyle w:val="InlineCode"/>
        </w:rPr>
        <w:t>Exec</w:t>
      </w:r>
      <w:r>
        <w:t xml:space="preserve"> hooks while restoring a backup and specifies hooks in the </w:t>
      </w:r>
      <w:r>
        <w:rPr>
          <w:rStyle w:val="InlineCode"/>
        </w:rPr>
        <w:t>RestoreSpec</w:t>
      </w:r>
      <w:r>
        <w:t>.</w:t>
      </w:r>
    </w:p>
    <w:p>
      <w:pPr>
        <w:pStyle w:val="BodyText"/>
      </w:pPr>
      <w:r>
        <w:t xml:space="preserve">For more information about Velero and restore hooks, see </w:t>
      </w:r>
      <w:hyperlink r:id="rId60" w:tooltip="https://velero.io/docs/main/restore-hooks/" w:history="1">
        <w:r>
          <w:rPr>
            <w:color w:val="0000FF"/>
            <w:u w:val="single"/>
          </w:rPr>
          <w:t>https://velero.io/docs/main/restore-hooks/</w:t>
        </w:r>
      </w:hyperlink>
      <w:r>
        <w:t>.</w:t>
      </w:r>
    </w:p>
    <w:p>
      <w:pPr>
        <w:pStyle w:val="Heading5"/>
      </w:pPr>
      <w:r>
        <w:t>Example Scenarios of Using Backup and Restore Hooks</w:t>
      </w:r>
    </w:p>
    <w:p>
      <w:pPr>
        <w:pStyle w:val="BodyText"/>
      </w:pPr>
      <w:r>
        <w:t xml:space="preserve">These examples demonstrate how to use backup and restore hooks in </w:t>
      </w:r>
      <w:r>
        <w:t>VKS</w:t>
      </w:r>
      <w:r>
        <w:t xml:space="preserve"> cluster management.</w:t>
      </w:r>
    </w:p>
    <w:p>
      <w:pPr>
        <w:pStyle w:val="SectionHeading6"/>
      </w:pPr>
      <w:r>
        <w:t>Example 1: MongoDB Backup Hook</w:t>
      </w:r>
    </w:p>
    <w:p>
      <w:pPr>
        <w:pStyle w:val="BodyText"/>
      </w:pPr>
      <w:r>
        <w:t xml:space="preserve">To run backups and restores, you must be </w:t>
      </w:r>
      <w:r>
        <w:rPr>
          <w:rStyle w:val="InlineUI"/>
        </w:rPr>
        <w:t>Organization Administrator</w:t>
      </w:r>
      <w:r>
        <w:t>.</w:t>
      </w:r>
    </w:p>
    <w:p>
      <w:pPr>
        <w:pStyle w:val="BodyText"/>
        <w:numPr>
          <w:numId w:val="311"/>
        </w:numPr>
      </w:pPr>
      <w:r>
        <w:t>Install MongoDB through the Bitnami Helm chart (version 13.15.4 is used in this example).</w:t>
      </w:r>
    </w:p>
    <w:p>
      <w:pPr>
        <w:pStyle w:val="CodeBlock"/>
        <w:ind w:left="480"/>
      </w:pPr>
      <w:r>
        <w:t>$ kubectl create ns my-mongodb-app
$ helm repo add bitnami https://charts.bitnami.com/bitnami
$ helm install my-mongodb-app bitnami/mongodb --namespace=my-mongodb-app --set replicaSet.enabled=true</w:t>
      </w:r>
    </w:p>
    <w:p>
      <w:pPr>
        <w:pStyle w:val="BodyText"/>
        <w:numPr>
          <w:numId w:val="311"/>
        </w:numPr>
      </w:pPr>
      <w:r>
        <w:t>Exec into the created pod and enter some data into the database.</w:t>
      </w:r>
    </w:p>
    <w:p>
      <w:pPr>
        <w:pStyle w:val="CodeBlock"/>
        <w:ind w:left="480"/>
      </w:pPr>
      <w:r>
        <w:t>% kubectl -n my-mongodb-app exec -it my-mongodb-app-&lt;random suffix\&gt; -- bash
$ mongosh --authenticationDatabase admin -u root -p "$\{MONGODB\_ROOT\_PASSWORD\}"
examples\&gt; db.movies.insertMany\(\[
...    \{
...       title: 'Titanic',
...       year: 1997,
...       genres: \[ 'Drama', 'Romance' \],
...       rated: 'PG-13',
...       languages: \[ 'English', 'French', 'German', 'Swedish', 'Italian', 'Russian' \],
...       released: ISODate\("1997-12-19T00:00:00.000Z"\),
...       awards: \{
...          wins: 127,
...          nominations: 63,
...          text: 'Won 11 Oscars. Another 116 wins &amp; 63 nominations.'
...       \},
...       cast: \[ 'Leonardo DiCaprio', 'Kate Winslet', 'Billy Zane', 'Kathy Bates' \],
...       directors: \[ 'James Cameron' \]
...    \},
...    ...
... \]\)</w:t>
      </w:r>
    </w:p>
    <w:p>
      <w:pPr>
        <w:pStyle w:val="BodyText"/>
        <w:numPr>
          <w:numId w:val="311"/>
        </w:numPr>
      </w:pPr>
      <w:r>
        <w:t xml:space="preserve">Log in to the </w:t>
      </w:r>
      <w:r>
        <w:t>VCF Automation</w:t>
      </w:r>
      <w:r>
        <w:t xml:space="preserve"> organization portal and navigate to the cluster that you want to back up.</w:t>
      </w:r>
    </w:p>
    <w:p>
      <w:pPr>
        <w:pStyle w:val="BodyText"/>
        <w:numPr>
          <w:numId w:val="311"/>
        </w:numPr>
      </w:pPr>
      <w:r>
        <w:t xml:space="preserve">Click the cluster and click the </w:t>
      </w:r>
      <w:r>
        <w:rPr>
          <w:rStyle w:val="InlineUI"/>
        </w:rPr>
        <w:t>Data Protection</w:t>
      </w:r>
      <w:r>
        <w:t xml:space="preserve"> tab.</w:t>
      </w:r>
    </w:p>
    <w:p>
      <w:pPr>
        <w:pStyle w:val="BodyText"/>
        <w:numPr>
          <w:numId w:val="311"/>
        </w:numPr>
      </w:pPr>
      <w:r>
        <w:t>Create a namespace backup for MongoDB and create a backup pre-hook to flush all pending write operations to disk and lock the entire MongoDB instance to prevent additional writes. The post-hook then releases the lock once the backup has been completed.</w:t>
      </w:r>
    </w:p>
    <w:p>
      <w:pPr>
        <w:pStyle w:val="BodyText"/>
        <w:ind w:left="480"/>
      </w:pPr>
      <w:r>
        <w:t xml:space="preserve">Use the following settings to define the hooks during the backup operation with </w:t>
      </w:r>
      <w:r>
        <w:t>VKS</w:t>
      </w:r>
      <w:r>
        <w:t xml:space="preserve"> cluster management:</w:t>
      </w:r>
    </w:p>
    <w:p>
      <w:pPr>
        <w:pStyle w:val="BodyText"/>
        <w:numPr>
          <w:ilvl w:val="1"/>
          <w:numId w:val="311"/>
        </w:numPr>
      </w:pPr>
      <w:r>
        <w:t xml:space="preserve">For the hook name, enter </w:t>
      </w:r>
      <w:r>
        <w:t>mongodb-hook</w:t>
      </w:r>
      <w:r>
        <w:t>.</w:t>
      </w:r>
    </w:p>
    <w:p>
      <w:pPr>
        <w:pStyle w:val="BodyText"/>
        <w:numPr>
          <w:ilvl w:val="1"/>
          <w:numId w:val="311"/>
        </w:numPr>
      </w:pPr>
      <w:r>
        <w:t xml:space="preserve">Click </w:t>
      </w:r>
      <w:r>
        <w:rPr>
          <w:rStyle w:val="InlineUI"/>
        </w:rPr>
        <w:t>Included namespaces</w:t>
      </w:r>
      <w:r>
        <w:t xml:space="preserve"> and select </w:t>
      </w:r>
      <w:r>
        <w:rPr>
          <w:rStyle w:val="InlineUI"/>
        </w:rPr>
        <w:t>my-mongodb-app</w:t>
      </w:r>
      <w:r>
        <w:t>.</w:t>
      </w:r>
    </w:p>
    <w:p>
      <w:pPr>
        <w:pStyle w:val="BodyText"/>
        <w:numPr>
          <w:ilvl w:val="1"/>
          <w:numId w:val="311"/>
        </w:numPr>
      </w:pPr>
      <w:r>
        <w:t xml:space="preserve">Click </w:t>
      </w:r>
      <w:r>
        <w:rPr>
          <w:rStyle w:val="InlineUI"/>
        </w:rPr>
        <w:t>Use label selector</w:t>
      </w:r>
      <w:r>
        <w:t xml:space="preserve"> to enable label selection.</w:t>
      </w:r>
    </w:p>
    <w:p>
      <w:pPr>
        <w:pStyle w:val="BodyText"/>
        <w:numPr>
          <w:ilvl w:val="1"/>
          <w:numId w:val="311"/>
        </w:numPr>
      </w:pPr>
      <w:r>
        <w:t xml:space="preserve">In the key field, enter </w:t>
      </w:r>
      <w:r>
        <w:rPr>
          <w:rStyle w:val="InlineCode"/>
        </w:rPr>
        <w:t>app.kubernetes.io/name</w:t>
      </w:r>
      <w:r>
        <w:t>.</w:t>
      </w:r>
    </w:p>
    <w:p>
      <w:pPr>
        <w:pStyle w:val="BodyText"/>
        <w:numPr>
          <w:ilvl w:val="1"/>
          <w:numId w:val="311"/>
        </w:numPr>
      </w:pPr>
      <w:r>
        <w:t xml:space="preserve">For the operator, specify </w:t>
      </w:r>
      <w:r>
        <w:rPr>
          <w:rStyle w:val="InlineCode"/>
        </w:rPr>
        <w:t>=</w:t>
      </w:r>
      <w:r>
        <w:t xml:space="preserve"> (equal sign).</w:t>
      </w:r>
    </w:p>
    <w:p>
      <w:pPr>
        <w:pStyle w:val="BodyText"/>
        <w:numPr>
          <w:ilvl w:val="1"/>
          <w:numId w:val="311"/>
        </w:numPr>
      </w:pPr>
      <w:r>
        <w:t xml:space="preserve">Enter </w:t>
      </w:r>
      <w:r>
        <w:t>mongodb</w:t>
      </w:r>
      <w:r>
        <w:t xml:space="preserve"> for the value.</w:t>
      </w:r>
    </w:p>
    <w:p>
      <w:pPr>
        <w:pStyle w:val="BodyText"/>
        <w:numPr>
          <w:ilvl w:val="1"/>
          <w:numId w:val="311"/>
        </w:numPr>
      </w:pPr>
      <w:r>
        <w:t xml:space="preserve">Configure the backup pre-hook 1, specifying the container name as </w:t>
      </w:r>
      <w:r>
        <w:t>mongodb</w:t>
      </w:r>
      <w:r>
        <w:t xml:space="preserve">, a timeout value of 30 seconds, and set to </w:t>
      </w:r>
      <w:r>
        <w:rPr>
          <w:rStyle w:val="InlineCode"/>
        </w:rPr>
        <w:t>Fail on error</w:t>
      </w:r>
      <w:r>
        <w:t>. Configure the command as follows:</w:t>
      </w:r>
    </w:p>
    <w:p>
      <w:pPr>
        <w:pStyle w:val="CodeBlock"/>
        <w:ind w:left="960"/>
      </w:pPr>
      <w:r>
        <w:t>/bin/bash
-o
errexit
-o
pipefail
-c
mongosh --authenticationDatabase admin -u root -p "$\{MONGODB\_ROOT\_PASSWORD\}" --eval="db.fsyncLock\(\)"</w:t>
      </w:r>
    </w:p>
    <w:p>
      <w:pPr>
        <w:pStyle w:val="BodyText"/>
        <w:numPr>
          <w:ilvl w:val="1"/>
          <w:numId w:val="311"/>
        </w:numPr>
      </w:pPr>
      <w:r>
        <w:t xml:space="preserve">Configure the backup post-hook 1, specifying the container name as </w:t>
      </w:r>
      <w:r>
        <w:t>mongodb</w:t>
      </w:r>
      <w:r>
        <w:t>, with a timeout value of 30 seconds and set to F</w:t>
      </w:r>
      <w:r>
        <w:rPr>
          <w:rStyle w:val="InlineCode"/>
        </w:rPr>
        <w:t>ail on error</w:t>
      </w:r>
      <w:r>
        <w:t>. Configure the command as follows:</w:t>
      </w:r>
    </w:p>
    <w:p>
      <w:pPr>
        <w:pStyle w:val="CodeBlock"/>
        <w:ind w:left="960"/>
      </w:pPr>
      <w:r>
        <w:t>/bin/bash
-o
errexit
-o
pipefail
-c
mongosh --authenticationDatabase admin -u root -p "$\{MONGODB\_ROOT\_PASSWORD\}" --eval="db.fsyncUnlock\(\)"</w:t>
      </w:r>
    </w:p>
    <w:p>
      <w:pPr>
        <w:pStyle w:val="BodyText"/>
        <w:numPr>
          <w:numId w:val="311"/>
        </w:numPr>
      </w:pPr>
      <w:r>
        <w:t>Delete the namespace and all the pods and persistent volumes in order to test the restore.</w:t>
      </w:r>
    </w:p>
    <w:p>
      <w:pPr>
        <w:pStyle w:val="CodeBlock"/>
        <w:ind w:left="480"/>
      </w:pPr>
      <w:r>
        <w:t>% kubectl delete ns my-mongodb-app</w:t>
      </w:r>
    </w:p>
    <w:p>
      <w:pPr>
        <w:pStyle w:val="BodyText"/>
        <w:numPr>
          <w:numId w:val="311"/>
        </w:numPr>
      </w:pPr>
      <w:r>
        <w:t xml:space="preserve">Restore the created backup without using any restore hooks. After the restore completes, </w:t>
      </w:r>
      <w:r>
        <w:rPr>
          <w:rStyle w:val="InlineCode"/>
        </w:rPr>
        <w:t>exec</w:t>
      </w:r>
      <w:r>
        <w:t xml:space="preserve"> into the restore pod to verify that the data is as expected.</w:t>
      </w:r>
    </w:p>
    <w:p>
      <w:pPr>
        <w:pStyle w:val="CodeBlock"/>
        <w:ind w:left="480"/>
      </w:pPr>
      <w:r>
        <w:t>% kubectl -n my-mongodb-app exec -it my-mongodb-app-&lt;random suffix\&gt; -- bash
$ mongosh --authenticationDatabase admin -u root -p "$\{MONGODB\_ROOT\_PASSWORD\}"
test\&gt; use examples
switched to db examples
examples\&gt; db.movies.find\( \{ \} \)
\[
  \{
    \_id: ObjectId\("64abe5d779ad9a6eaa4f456f"\),
    title: 'Titanic',
    year: 1997,
    genres: \[ 'Drama', 'Romance' \],
    rated: 'PG-13',
    languages: \[ 'English', 'French', 'German', 'Swedish', 'Italian', 'Russian' \],
    released: ISODate\("1997-12-19T00:00:00.000Z"\),
    awards: \{
      wins: 127,
      nominations: 63,
      text: 'Won 11 Oscars. Another 116 wins &amp; 63 nominations.'
    \},
    cast: \[
      'Leonardo DiCaprio',
      'Kate Winslet',
      'Billy Zane',
      'Kathy Bates'
    \],
    directors: \[ 'James Cameron' \]
  \},
...
\]</w:t>
      </w:r>
    </w:p>
    <w:p>
      <w:pPr>
        <w:pStyle w:val="SectionHeading6"/>
      </w:pPr>
      <w:r>
        <w:t>Example 2: WordPress/MariaDB Backup and Restore Exec Hook</w:t>
      </w:r>
    </w:p>
    <w:p>
      <w:pPr>
        <w:pStyle w:val="BodyText"/>
      </w:pPr>
      <w:r>
        <w:t>In the following example we use hooks to take a consistent backup of the MariaDB instance used by WordPress, but not the WordPress volume itself, since the latter is mostly static data.</w:t>
      </w:r>
    </w:p>
    <w:p>
      <w:pPr>
        <w:pStyle w:val="BodyText"/>
        <w:numPr>
          <w:numId w:val="312"/>
        </w:numPr>
      </w:pPr>
      <w:r>
        <w:t>Install WordPress via the Bitnami Helm chart (version 16.1.25 in this example).</w:t>
      </w:r>
    </w:p>
    <w:p>
      <w:pPr>
        <w:pStyle w:val="CodeBlock"/>
        <w:ind w:left="480"/>
      </w:pPr>
      <w:r>
        <w:t>$ kubectl create ns wordpress
$ helm repo add bitnami https://charts.bitnami.com/bitnami
$ helm install --namespace wordpress wordpress bitnami/wordpress</w:t>
      </w:r>
    </w:p>
    <w:p>
      <w:pPr>
        <w:pStyle w:val="BodyText"/>
        <w:numPr>
          <w:numId w:val="312"/>
        </w:numPr>
      </w:pPr>
      <w:r>
        <w:t>Exec into the pod and populate some data. This example adds data to the database directly but you may alternatively populate data using the WordPress frontend.</w:t>
      </w:r>
    </w:p>
    <w:p>
      <w:pPr>
        <w:pStyle w:val="CodeBlock"/>
        <w:ind w:left="480"/>
      </w:pPr>
      <w:r>
        <w:t>$ kubectl -n wordpress exec -it wordpress-mariadb-0 -- bash
$ mariadb -u 'root' -p"$MARIADB\_ROOT\_PASSWORD"
MariaDB \[\(none\)\]\&gt; CREATE DATABASE my\_db\_name;
Query OK, 1 row affected \(0.000 sec\)
MariaDB \[\(none\)\]\&gt;    USE my\_db\_name;
Database changed
MariaDB \[my\_db\_name\]\&gt;    CREATE TABLE users \(
    -\&gt;      id INT AUTO\_INCREMENT PRIMARY KEY,
    -\&gt;      name VARCHAR\(50\),
    -\&gt;      email VARCHAR\(50\)
    -\&gt;    \);
Query OK, 0 rows affected \(0.014 sec\)
MariaDB \[my\_db\_name\]\&gt;    INSERT INTO users \(name, email\) VALUES
    -\&gt;      \('John Doe', 'john@example.com'\),
    -\&gt;      \('Jane Smith', 'jane@example.com'\);
Query OK, 2 rows affected \(0.007 sec\)
Records: 2  Duplicates: 0  Warnings: 0
MariaDB \[my\_db\_name\]\&gt;    SELECT \* FROM users;
+----+------------+------------------+
\| id \| name       \| email            \|
+----+------------+------------------+
\|  1 \| John Doe   \| john@example.com \|
\|  2 \| Jane Smith \| jane@example.com \|
+----+------------+------------------+
2 rows in set \(0.000 sec\)</w:t>
      </w:r>
    </w:p>
    <w:p>
      <w:pPr>
        <w:pStyle w:val="BodyText"/>
        <w:numPr>
          <w:numId w:val="312"/>
        </w:numPr>
      </w:pPr>
      <w:r>
        <w:t xml:space="preserve">Log in to the </w:t>
      </w:r>
      <w:r>
        <w:t>VCF Automation</w:t>
      </w:r>
      <w:r>
        <w:t xml:space="preserve"> organization portal as an organization administrator and navigate to the cluster that you want to back up.</w:t>
      </w:r>
    </w:p>
    <w:p>
      <w:pPr>
        <w:pStyle w:val="BodyText"/>
        <w:numPr>
          <w:numId w:val="312"/>
        </w:numPr>
      </w:pPr>
      <w:r>
        <w:t xml:space="preserve">Click the cluster and click the </w:t>
      </w:r>
      <w:r>
        <w:rPr>
          <w:rStyle w:val="InlineUI"/>
        </w:rPr>
        <w:t>Data Protection</w:t>
      </w:r>
      <w:r>
        <w:t xml:space="preserve"> tab.</w:t>
      </w:r>
    </w:p>
    <w:p>
      <w:pPr>
        <w:pStyle w:val="BodyText"/>
        <w:numPr>
          <w:numId w:val="312"/>
        </w:numPr>
      </w:pPr>
      <w:r>
        <w:t xml:space="preserve">Take a namespace backup. Specify a pre-hook to use the </w:t>
      </w:r>
      <w:r>
        <w:rPr>
          <w:rStyle w:val="InlineCode"/>
        </w:rPr>
        <w:t>mariadb-dump</w:t>
      </w:r>
      <w:r>
        <w:t xml:space="preserve"> tool to take a dump of the database. Optionally, specify a post hook to get rid of the dump taken after it has been backed up.</w:t>
      </w:r>
    </w:p>
    <w:p>
      <w:pPr>
        <w:pStyle w:val="BodyText"/>
        <w:numPr>
          <w:ilvl w:val="1"/>
          <w:numId w:val="312"/>
        </w:numPr>
      </w:pPr>
      <w:r>
        <w:t xml:space="preserve">For the hook name, enter </w:t>
      </w:r>
      <w:r>
        <w:t>wordpress-hook</w:t>
      </w:r>
      <w:r>
        <w:t>.</w:t>
      </w:r>
    </w:p>
    <w:p>
      <w:pPr>
        <w:pStyle w:val="BodyText"/>
        <w:numPr>
          <w:ilvl w:val="1"/>
          <w:numId w:val="312"/>
        </w:numPr>
      </w:pPr>
      <w:r>
        <w:t xml:space="preserve">Click </w:t>
      </w:r>
      <w:r>
        <w:rPr>
          <w:rStyle w:val="InlineUI"/>
        </w:rPr>
        <w:t>Included namespaces</w:t>
      </w:r>
      <w:r>
        <w:t xml:space="preserve"> and select </w:t>
      </w:r>
      <w:r>
        <w:rPr>
          <w:rStyle w:val="InlineUI"/>
        </w:rPr>
        <w:t>wordpress</w:t>
      </w:r>
      <w:r>
        <w:t xml:space="preserve"> .</w:t>
      </w:r>
    </w:p>
    <w:p>
      <w:pPr>
        <w:pStyle w:val="BodyText"/>
        <w:numPr>
          <w:ilvl w:val="1"/>
          <w:numId w:val="312"/>
        </w:numPr>
      </w:pPr>
      <w:r>
        <w:t xml:space="preserve">Click </w:t>
      </w:r>
      <w:r>
        <w:rPr>
          <w:rStyle w:val="InlineUI"/>
        </w:rPr>
        <w:t>Use label selector</w:t>
      </w:r>
      <w:r>
        <w:t xml:space="preserve"> to enable label selection.</w:t>
      </w:r>
    </w:p>
    <w:p>
      <w:pPr>
        <w:pStyle w:val="BodyText"/>
        <w:numPr>
          <w:ilvl w:val="1"/>
          <w:numId w:val="312"/>
        </w:numPr>
      </w:pPr>
      <w:r>
        <w:t xml:space="preserve">In the key field, enter </w:t>
      </w:r>
      <w:r>
        <w:t>app.kubernetes.io/name</w:t>
      </w:r>
      <w:r>
        <w:t>.</w:t>
      </w:r>
    </w:p>
    <w:p>
      <w:pPr>
        <w:pStyle w:val="BodyText"/>
        <w:numPr>
          <w:ilvl w:val="1"/>
          <w:numId w:val="312"/>
        </w:numPr>
      </w:pPr>
      <w:r>
        <w:t xml:space="preserve">For the operator, specify </w:t>
      </w:r>
      <w:r>
        <w:rPr>
          <w:rStyle w:val="InlineCode"/>
        </w:rPr>
        <w:t>=</w:t>
      </w:r>
      <w:r>
        <w:t xml:space="preserve"> (equal sign).</w:t>
      </w:r>
    </w:p>
    <w:p>
      <w:pPr>
        <w:pStyle w:val="BodyText"/>
        <w:numPr>
          <w:ilvl w:val="1"/>
          <w:numId w:val="312"/>
        </w:numPr>
      </w:pPr>
      <w:r>
        <w:t xml:space="preserve">Enter </w:t>
      </w:r>
      <w:r>
        <w:t>mariadb</w:t>
      </w:r>
      <w:r>
        <w:t xml:space="preserve"> for the value.</w:t>
      </w:r>
    </w:p>
    <w:p>
      <w:pPr>
        <w:pStyle w:val="BodyText"/>
        <w:numPr>
          <w:ilvl w:val="1"/>
          <w:numId w:val="312"/>
        </w:numPr>
      </w:pPr>
      <w:r>
        <w:t xml:space="preserve">Configure the backup pre-hook 1, specifying the container name as </w:t>
      </w:r>
      <w:r>
        <w:t>mariadb</w:t>
      </w:r>
      <w:r>
        <w:t xml:space="preserve">, a timeout value of 5 minutes, and set to </w:t>
      </w:r>
      <w:r>
        <w:rPr>
          <w:rStyle w:val="InlineCode"/>
        </w:rPr>
        <w:t>Fail on error</w:t>
      </w:r>
      <w:r>
        <w:t>. Configure the command as follows:</w:t>
      </w:r>
    </w:p>
    <w:p>
      <w:pPr>
        <w:pStyle w:val="CodeBlock"/>
        <w:ind w:left="960"/>
      </w:pPr>
      <w:r>
        <w:t>/bin/bash
-o
errexit
-o
pipefail
-c
mariadb-dump -u 'root' -p"$MARIADB\_ROOT\_PASSWORD" --single-transaction --all-databases \&gt; /bitnami/mariadb/mybackup</w:t>
      </w:r>
    </w:p>
    <w:p>
      <w:pPr>
        <w:pStyle w:val="BodyText"/>
        <w:numPr>
          <w:ilvl w:val="1"/>
          <w:numId w:val="312"/>
        </w:numPr>
      </w:pPr>
      <w:r>
        <w:t xml:space="preserve">Configure the backup post-hook 1, specifying the container name as </w:t>
      </w:r>
      <w:r>
        <w:t>mariadb</w:t>
      </w:r>
      <w:r>
        <w:t xml:space="preserve">, with a timeout value of 30 seconds, and set to </w:t>
      </w:r>
      <w:r>
        <w:rPr>
          <w:rStyle w:val="InlineCode"/>
        </w:rPr>
        <w:t>Fail on error</w:t>
      </w:r>
      <w:r>
        <w:t>. Configure the command as follows:</w:t>
      </w:r>
    </w:p>
    <w:p>
      <w:pPr>
        <w:pStyle w:val="CodeBlock"/>
        <w:ind w:left="960"/>
      </w:pPr>
      <w:r>
        <w:t>/bin/bash
-o
errexit
-o
pipefail
-c
rm -f /bitnami/mariadb/mybackup</w:t>
      </w:r>
    </w:p>
    <w:p>
      <w:pPr>
        <w:pStyle w:val="BodyText"/>
        <w:numPr>
          <w:numId w:val="312"/>
        </w:numPr>
      </w:pPr>
      <w:r>
        <w:t>Delete the namespace and all its resources to test the restore.</w:t>
      </w:r>
    </w:p>
    <w:p>
      <w:pPr>
        <w:pStyle w:val="CodeBlock"/>
        <w:ind w:left="480"/>
      </w:pPr>
      <w:r>
        <w:t>% kubectl delete ns wordpress</w:t>
      </w:r>
    </w:p>
    <w:p>
      <w:pPr>
        <w:pStyle w:val="BodyText"/>
        <w:numPr>
          <w:numId w:val="312"/>
        </w:numPr>
      </w:pPr>
      <w:r>
        <w:t xml:space="preserve">Perform a namespace restore. Specify an </w:t>
      </w:r>
      <w:r>
        <w:rPr>
          <w:rStyle w:val="InlineCode"/>
        </w:rPr>
        <w:t>Exec</w:t>
      </w:r>
      <w:r>
        <w:t xml:space="preserve"> restore hook that restores the database contents using the dump taken using the backup hook.</w:t>
      </w:r>
    </w:p>
    <w:p>
      <w:pPr>
        <w:pStyle w:val="BodyText"/>
        <w:numPr>
          <w:ilvl w:val="1"/>
          <w:numId w:val="312"/>
        </w:numPr>
      </w:pPr>
      <w:r>
        <w:t xml:space="preserve">For the hook name, enter </w:t>
      </w:r>
      <w:r>
        <w:t>wordpress-hook</w:t>
      </w:r>
      <w:r>
        <w:t>.</w:t>
      </w:r>
    </w:p>
    <w:p>
      <w:pPr>
        <w:pStyle w:val="BodyText"/>
        <w:numPr>
          <w:ilvl w:val="1"/>
          <w:numId w:val="312"/>
        </w:numPr>
      </w:pPr>
      <w:r>
        <w:t xml:space="preserve">Click </w:t>
      </w:r>
      <w:r>
        <w:rPr>
          <w:rStyle w:val="InlineUI"/>
        </w:rPr>
        <w:t>Included namespaces</w:t>
      </w:r>
      <w:r>
        <w:t xml:space="preserve"> and select </w:t>
      </w:r>
      <w:r>
        <w:rPr>
          <w:rStyle w:val="InlineUI"/>
        </w:rPr>
        <w:t>wordpress</w:t>
      </w:r>
      <w:r>
        <w:t xml:space="preserve"> .</w:t>
      </w:r>
    </w:p>
    <w:p>
      <w:pPr>
        <w:pStyle w:val="BodyText"/>
        <w:numPr>
          <w:ilvl w:val="1"/>
          <w:numId w:val="312"/>
        </w:numPr>
      </w:pPr>
      <w:r>
        <w:t xml:space="preserve">Click </w:t>
      </w:r>
      <w:r>
        <w:rPr>
          <w:rStyle w:val="InlineUI"/>
        </w:rPr>
        <w:t>Use label selector</w:t>
      </w:r>
      <w:r>
        <w:t xml:space="preserve"> to enable label selection.</w:t>
      </w:r>
    </w:p>
    <w:p>
      <w:pPr>
        <w:pStyle w:val="BodyText"/>
        <w:numPr>
          <w:ilvl w:val="1"/>
          <w:numId w:val="312"/>
        </w:numPr>
      </w:pPr>
      <w:r>
        <w:t xml:space="preserve">In the key field, enter </w:t>
      </w:r>
      <w:r>
        <w:t>app.kubernetes.io/name</w:t>
      </w:r>
      <w:r>
        <w:t>.</w:t>
      </w:r>
    </w:p>
    <w:p>
      <w:pPr>
        <w:pStyle w:val="BodyText"/>
        <w:numPr>
          <w:ilvl w:val="1"/>
          <w:numId w:val="312"/>
        </w:numPr>
      </w:pPr>
      <w:r>
        <w:t xml:space="preserve">For the operator, specify </w:t>
      </w:r>
      <w:r>
        <w:rPr>
          <w:rStyle w:val="InlineCode"/>
        </w:rPr>
        <w:t>=</w:t>
      </w:r>
      <w:r>
        <w:t xml:space="preserve"> (equal sign).</w:t>
      </w:r>
    </w:p>
    <w:p>
      <w:pPr>
        <w:pStyle w:val="BodyText"/>
        <w:numPr>
          <w:ilvl w:val="1"/>
          <w:numId w:val="312"/>
        </w:numPr>
      </w:pPr>
      <w:r>
        <w:t xml:space="preserve">Enter </w:t>
      </w:r>
      <w:r>
        <w:t>mariadb</w:t>
      </w:r>
      <w:r>
        <w:t xml:space="preserve"> for the value.</w:t>
      </w:r>
    </w:p>
    <w:p>
      <w:pPr>
        <w:pStyle w:val="BodyText"/>
        <w:numPr>
          <w:ilvl w:val="1"/>
          <w:numId w:val="312"/>
        </w:numPr>
      </w:pPr>
      <w:r>
        <w:t xml:space="preserve">Configure the restore </w:t>
      </w:r>
      <w:r>
        <w:rPr>
          <w:rStyle w:val="InlineCode"/>
        </w:rPr>
        <w:t>Exec</w:t>
      </w:r>
      <w:r>
        <w:t xml:space="preserve"> hook 1,pecifying the container name as </w:t>
      </w:r>
      <w:r>
        <w:t>mariadb</w:t>
      </w:r>
      <w:r>
        <w:t xml:space="preserve">, a timeout value of 10 minutes, and set to </w:t>
      </w:r>
      <w:r>
        <w:rPr>
          <w:rStyle w:val="InlineCode"/>
        </w:rPr>
        <w:t>Fail on error</w:t>
      </w:r>
      <w:r>
        <w:t>. Configure the command as follows:</w:t>
      </w:r>
    </w:p>
    <w:p>
      <w:pPr>
        <w:pStyle w:val="CodeBlock"/>
        <w:ind w:left="960"/>
      </w:pPr>
      <w:r>
        <w:t xml:space="preserve"> /bin/bash
-o
errexit
-o
pipefail
-c
sleep 1m &amp;&amp; mariadb -u 'root' -p"$MARIADB\_ROOT\_PASSWORD" &lt; /bitnami/mariadb/mybackup &amp;&amp; rm -f /bitnami/mariadb/mybackup</w:t>
      </w:r>
    </w:p>
    <w:p>
      <w:pPr>
        <w:pStyle w:val="BodyText"/>
        <w:numPr>
          <w:numId w:val="312"/>
        </w:numPr>
      </w:pPr>
      <w:r>
        <w:t>Exec into the restored pod to verify that the data was restored.</w:t>
      </w:r>
    </w:p>
    <w:p>
      <w:pPr>
        <w:pStyle w:val="CodeBlock"/>
        <w:ind w:left="480"/>
      </w:pPr>
      <w:r>
        <w:t>$ kubectl -n wordpress exec -it wordpress-mariadb-0 -- bash
$ mariadb -u 'root' -p"$MARIADB\_ROOT\_PASSWORD"
MariaDB \[\(none\)\]\&gt;    USE my\_db\_name;
Database changed
MariaDB \[my\_db\_name\]\&gt;    SELECT \* FROM users;
+----+------------+------------------+
\| id \| name       \| email            \|
+----+------------+------------------+
\|  1 \| John Doe   \| john@example.com \|
\|  2 \| Jane Smith \| jane@example.com \|
+----+------------+------------------+
2 rows in set \(0.000 sec\)</w:t>
      </w:r>
    </w:p>
    <w:p>
      <w:pPr>
        <w:pStyle w:val="BodyText"/>
        <w:pBdr>
          <w:top w:val="single" w:sz="8" w:space="2" w:color="D3D3D3"/>
          <w:bottom w:val="single" w:sz="8" w:space="2" w:color="D3D3D3"/>
        </w:pBdr>
        <w:ind w:left="480"/>
      </w:pPr>
      <w:r>
        <w:rPr>
          <w:rStyle w:val="NoteLeadernote"/>
        </w:rPr>
        <w:t>Note</w:t>
        <w:tab/>
      </w:r>
      <w:r>
        <w:t xml:space="preserve">The above uses </w:t>
      </w:r>
      <w:r>
        <w:rPr>
          <w:rStyle w:val="InlineCode"/>
        </w:rPr>
        <w:t>mariadb-dump</w:t>
      </w:r>
      <w:r>
        <w:t xml:space="preserve"> to make a logical backup of the database. You can instead use </w:t>
      </w:r>
      <w:r>
        <w:rPr>
          <w:rStyle w:val="InlineCode"/>
        </w:rPr>
        <w:t>mariabackup</w:t>
      </w:r>
      <w:r>
        <w:t xml:space="preserve"> to take a physical backup, but this requires stopping the MariaDB server while performing the restore.</w:t>
      </w:r>
    </w:p>
    <w:p>
      <w:pPr>
        <w:pStyle w:val="SectionHeading6"/>
      </w:pPr>
      <w:r>
        <w:t>Example 3: Init Container Restore Hooks</w:t>
      </w:r>
    </w:p>
    <w:p>
      <w:pPr>
        <w:pStyle w:val="BodyText"/>
      </w:pPr>
      <w:r>
        <w:t xml:space="preserve">You can define </w:t>
      </w:r>
      <w:r>
        <w:rPr>
          <w:rStyle w:val="InlineCode"/>
        </w:rPr>
        <w:t>init container</w:t>
      </w:r>
      <w:r>
        <w:t xml:space="preserve"> hooks to perform necessary setup before the actual application containers start. The </w:t>
      </w:r>
      <w:r>
        <w:rPr>
          <w:rStyle w:val="InlineCode"/>
        </w:rPr>
        <w:t>init container</w:t>
      </w:r>
      <w:r>
        <w:t xml:space="preserve"> definition must be provided in YAML (as you would in a pod manifest). At a minimum, name, image and command must be populated. If you wish to define multiple init containers, place each YAML definition in a separate init container hook.</w:t>
      </w:r>
    </w:p>
    <w:p>
      <w:pPr>
        <w:pStyle w:val="BodyText"/>
        <w:numPr>
          <w:numId w:val="313"/>
        </w:numPr>
      </w:pPr>
      <w:r>
        <w:t xml:space="preserve">For the hook name, enter </w:t>
      </w:r>
      <w:r>
        <w:t>my-init-hook</w:t>
      </w:r>
      <w:r>
        <w:t>.</w:t>
      </w:r>
    </w:p>
    <w:p>
      <w:pPr>
        <w:pStyle w:val="BodyText"/>
        <w:numPr>
          <w:numId w:val="313"/>
        </w:numPr>
      </w:pPr>
      <w:r>
        <w:t xml:space="preserve">Click </w:t>
      </w:r>
      <w:r>
        <w:rPr>
          <w:rStyle w:val="InlineUI"/>
        </w:rPr>
        <w:t>Included namespaces</w:t>
      </w:r>
      <w:r>
        <w:t xml:space="preserve"> and select </w:t>
      </w:r>
      <w:r>
        <w:rPr>
          <w:rStyle w:val="InlineUI"/>
        </w:rPr>
        <w:t>my-namespace</w:t>
      </w:r>
      <w:r>
        <w:t>.</w:t>
      </w:r>
    </w:p>
    <w:p>
      <w:pPr>
        <w:pStyle w:val="BodyText"/>
        <w:numPr>
          <w:numId w:val="313"/>
        </w:numPr>
      </w:pPr>
      <w:r>
        <w:t xml:space="preserve">Click </w:t>
      </w:r>
      <w:r>
        <w:rPr>
          <w:rStyle w:val="InlineUI"/>
        </w:rPr>
        <w:t>Use label selector</w:t>
      </w:r>
      <w:r>
        <w:t xml:space="preserve"> to enable label selection.</w:t>
      </w:r>
    </w:p>
    <w:p>
      <w:pPr>
        <w:pStyle w:val="BodyText"/>
        <w:numPr>
          <w:numId w:val="313"/>
        </w:numPr>
      </w:pPr>
      <w:r>
        <w:t xml:space="preserve">In the key field, enter </w:t>
      </w:r>
      <w:r>
        <w:t>app.kubernetes.io/name</w:t>
      </w:r>
      <w:r>
        <w:t>.</w:t>
      </w:r>
    </w:p>
    <w:p>
      <w:pPr>
        <w:pStyle w:val="BodyText"/>
        <w:numPr>
          <w:numId w:val="313"/>
        </w:numPr>
      </w:pPr>
      <w:r>
        <w:t xml:space="preserve">For the operator, specify </w:t>
      </w:r>
      <w:r>
        <w:rPr>
          <w:rStyle w:val="InlineCode"/>
        </w:rPr>
        <w:t>=</w:t>
      </w:r>
      <w:r>
        <w:t xml:space="preserve"> (equal sign).</w:t>
      </w:r>
    </w:p>
    <w:p>
      <w:pPr>
        <w:pStyle w:val="BodyText"/>
        <w:numPr>
          <w:numId w:val="313"/>
        </w:numPr>
      </w:pPr>
      <w:r>
        <w:t xml:space="preserve">Enter </w:t>
      </w:r>
      <w:r>
        <w:t>myapp</w:t>
      </w:r>
      <w:r>
        <w:t xml:space="preserve"> for the value.</w:t>
      </w:r>
    </w:p>
    <w:p>
      <w:pPr>
        <w:pStyle w:val="BodyText"/>
        <w:numPr>
          <w:numId w:val="313"/>
        </w:numPr>
      </w:pPr>
      <w:r>
        <w:t>Define the init container hook 1:</w:t>
      </w:r>
    </w:p>
    <w:p>
      <w:pPr>
        <w:pStyle w:val="CodeBlock"/>
        <w:ind w:left="480"/>
      </w:pPr>
      <w:r>
        <w:t>name: restore-hook-init1
image: alpine:latest
 volumeMounts:
  - mountPath: /restores/pvc1-vm
    name: pvc1-vm
  command:
  - /bin/ash
  - -c
  - echo -n "FOOBARBAZ" \&gt;\&gt; /restores/pvc1-vm/foobarbaz</w:t>
      </w:r>
    </w:p>
    <w:p>
      <w:pPr>
        <w:pStyle w:val="BodyText"/>
        <w:numPr>
          <w:numId w:val="313"/>
        </w:numPr>
      </w:pPr>
      <w:r>
        <w:t>Define init container hook 2:</w:t>
      </w:r>
    </w:p>
    <w:p>
      <w:pPr>
        <w:pStyle w:val="CodeBlock"/>
        <w:ind w:left="480"/>
      </w:pPr>
      <w:r>
        <w:t>- name: restore-hook-init2
  image: alpine:latest
  volumeMounts:
  - mountPath: /restores/pvc2-vm
    name: pvc2-vm
  command:
  - /bin/ash
  - -c
  - echo -n "DEADFEED" \&gt;\&gt; /restores/pvc2-vm/deadfeed</w:t>
      </w:r>
    </w:p>
    <w:p>
      <w:pPr>
        <w:pStyle w:val="BodyText"/>
        <w:pBdr>
          <w:top w:val="single" w:sz="8" w:space="2" w:color="D3D3D3"/>
          <w:bottom w:val="single" w:sz="8" w:space="2" w:color="D3D3D3"/>
        </w:pBdr>
      </w:pPr>
      <w:r>
        <w:rPr>
          <w:rStyle w:val="NoteLeadernote"/>
        </w:rPr>
        <w:t>Note</w:t>
        <w:tab/>
      </w:r>
      <w:r>
        <w:t>The above example assumes volumes pvc1-vm and pvc2-vm are defined on the pods for which this hook will be applied.</w:t>
      </w:r>
    </w:p>
    <w:p>
      <w:pPr>
        <w:pStyle w:val="Heading4"/>
      </w:pPr>
      <w:bookmarkStart w:id="329" w:name="_Toc256000848"/>
      <w:r>
        <w:t>Configuring Account Credentials</w:t>
      </w:r>
      <w:bookmarkEnd w:id="329"/>
    </w:p>
    <w:p>
      <w:pPr>
        <w:pStyle w:val="BodyText"/>
      </w:pPr>
      <w:r>
        <w:t xml:space="preserve">You can use </w:t>
      </w:r>
      <w:r>
        <w:t>VKS</w:t>
      </w:r>
      <w:r>
        <w:t xml:space="preserve"> cluster management to connect to your cloud provider account for data protection. When you register your cloud provider account in </w:t>
      </w:r>
      <w:r>
        <w:t>VKS</w:t>
      </w:r>
      <w:r>
        <w:t xml:space="preserve"> cluster management, you can use that connection, or credential, to manage data protection.</w:t>
      </w:r>
    </w:p>
    <w:p>
      <w:pPr>
        <w:pStyle w:val="Heading5"/>
      </w:pPr>
      <w:bookmarkStart w:id="330" w:name="B4f2faccb1a4c4b72ab7bc12846902bac"/>
      <w:r>
        <w:t>Create an Account Credential for Self-Provisioned Storage</w:t>
      </w:r>
      <w:bookmarkEnd w:id="330"/>
    </w:p>
    <w:p>
      <w:pPr>
        <w:pStyle w:val="BodyText"/>
      </w:pPr>
      <w:r>
        <w:t>Setting up an account credential enables you to create a target location to a self-provisioned storage location in your cloud provider account or in an on-premises data center.</w:t>
      </w:r>
    </w:p>
    <w:p>
      <w:pPr>
        <w:pStyle w:val="BodyText"/>
      </w:pPr>
      <w:r>
        <w:t>You can create and remove account credentials at any time.</w:t>
      </w:r>
    </w:p>
    <w:p>
      <w:pPr>
        <w:pStyle w:val="BodyText"/>
      </w:pPr>
      <w:r>
        <w:rPr>
          <w:rStyle w:val="Strong"/>
        </w:rPr>
        <w:t>Prerequisites</w:t>
      </w:r>
    </w:p>
    <w:p>
      <w:pPr>
        <w:pStyle w:val="BodyText"/>
        <w:numPr>
          <w:numId w:val="314"/>
        </w:numPr>
      </w:pPr>
      <w:r>
        <w:t>Verify that you are assigned one of the appropriate roles:</w:t>
      </w:r>
    </w:p>
    <w:p>
      <w:pPr>
        <w:pStyle w:val="BodyText"/>
        <w:numPr>
          <w:ilvl w:val="1"/>
          <w:numId w:val="314"/>
        </w:numPr>
      </w:pPr>
      <w:r>
        <w:rPr>
          <w:rStyle w:val="InlineUI"/>
        </w:rPr>
        <w:t>Organization Administrator</w:t>
      </w:r>
    </w:p>
    <w:p>
      <w:pPr>
        <w:pStyle w:val="BodyText"/>
        <w:numPr>
          <w:ilvl w:val="1"/>
          <w:numId w:val="314"/>
        </w:numPr>
      </w:pPr>
      <w:r>
        <w:rPr>
          <w:rStyle w:val="InlineUI"/>
        </w:rPr>
        <w:t>Project Administrator</w:t>
      </w:r>
    </w:p>
    <w:p>
      <w:pPr>
        <w:pStyle w:val="BodyText"/>
        <w:numPr>
          <w:numId w:val="314"/>
        </w:numPr>
      </w:pPr>
      <w:r>
        <w:t>Verify that you have access to the account that provides access to self-provisioned storage.</w:t>
      </w:r>
    </w:p>
    <w:p>
      <w:pPr>
        <w:pStyle w:val="BodyText"/>
      </w:pPr>
      <w:r>
        <w:rPr>
          <w:rStyle w:val="Strong"/>
        </w:rPr>
        <w:t>Procedure</w:t>
      </w:r>
    </w:p>
    <w:p>
      <w:pPr>
        <w:pStyle w:val="BodyText"/>
        <w:numPr>
          <w:numId w:val="315"/>
        </w:numPr>
      </w:pPr>
      <w:r>
        <w:t xml:space="preserve">Log in to the </w:t>
      </w:r>
      <w:r>
        <w:t>VCF Automation</w:t>
      </w:r>
      <w:r>
        <w:t xml:space="preserve"> organization portal.</w:t>
      </w:r>
    </w:p>
    <w:p>
      <w:pPr>
        <w:pStyle w:val="BodyText"/>
        <w:numPr>
          <w:numId w:val="315"/>
        </w:numPr>
      </w:pPr>
      <w:r>
        <w:t xml:space="preserve">Click the </w:t>
      </w:r>
      <w:r>
        <w:rPr>
          <w:rStyle w:val="InlineUI"/>
        </w:rPr>
        <w:t>Manage &amp; Govern</w:t>
      </w:r>
      <w:r>
        <w:t xml:space="preserve"> tab.</w:t>
      </w:r>
    </w:p>
    <w:p>
      <w:pPr>
        <w:pStyle w:val="BodyText"/>
        <w:numPr>
          <w:numId w:val="315"/>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15"/>
        </w:numPr>
      </w:pPr>
      <w:r>
        <w:t xml:space="preserve">On the </w:t>
      </w:r>
      <w:r>
        <w:rPr>
          <w:rStyle w:val="InlineUI"/>
        </w:rPr>
        <w:t>vSphere Kubernetes Service Cluster Management</w:t>
      </w:r>
      <w:r>
        <w:t xml:space="preserve"> page, select </w:t>
      </w:r>
      <w:r>
        <w:rPr>
          <w:rStyle w:val="InlineUI"/>
        </w:rPr>
        <w:t>Configurations</w:t>
      </w:r>
      <w:r>
        <w:rPr>
          <w:rStyle w:val="InlineUI"/>
        </w:rPr>
        <w:t xml:space="preserve"> &gt; </w:t>
      </w:r>
      <w:r>
        <w:rPr>
          <w:rStyle w:val="InlineUI"/>
        </w:rPr>
        <w:t>Credentials</w:t>
      </w:r>
      <w:r>
        <w:t>.</w:t>
      </w:r>
    </w:p>
    <w:p>
      <w:pPr>
        <w:pStyle w:val="BodyText"/>
        <w:numPr>
          <w:numId w:val="315"/>
        </w:numPr>
      </w:pPr>
      <w:r>
        <w:t xml:space="preserve">Click </w:t>
      </w:r>
      <w:r>
        <w:rPr>
          <w:rStyle w:val="InlineUI"/>
        </w:rPr>
        <w:t>Create credential</w:t>
      </w:r>
      <w:r>
        <w:t xml:space="preserve"> and select </w:t>
      </w:r>
      <w:r>
        <w:rPr>
          <w:rStyle w:val="InlineUI"/>
        </w:rPr>
        <w:t>AWS S3 or S3-compatible</w:t>
      </w:r>
      <w:r>
        <w:t>.</w:t>
      </w:r>
    </w:p>
    <w:p>
      <w:pPr>
        <w:pStyle w:val="BodyText"/>
        <w:ind w:left="480"/>
      </w:pPr>
      <w:r>
        <w:t xml:space="preserve">The </w:t>
      </w:r>
      <w:r>
        <w:rPr>
          <w:rStyle w:val="InlineUI"/>
        </w:rPr>
        <w:t>Create account credential</w:t>
      </w:r>
      <w:r>
        <w:t xml:space="preserve"> page opens.</w:t>
      </w:r>
    </w:p>
    <w:p>
      <w:pPr>
        <w:pStyle w:val="BodyText"/>
        <w:numPr>
          <w:numId w:val="315"/>
        </w:numPr>
      </w:pPr>
      <w:r>
        <w:t>Enter a credential name, access key id, and secret access key.</w:t>
      </w:r>
    </w:p>
    <w:p>
      <w:pPr>
        <w:pStyle w:val="BodyText"/>
        <w:numPr>
          <w:numId w:val="315"/>
        </w:numPr>
      </w:pPr>
      <w:r>
        <w:t xml:space="preserve">Click the </w:t>
      </w:r>
      <w:r>
        <w:rPr>
          <w:rStyle w:val="InlineUI"/>
        </w:rPr>
        <w:t>Create</w:t>
      </w:r>
      <w:r>
        <w:t xml:space="preserve"> button.</w:t>
      </w:r>
    </w:p>
    <w:p>
      <w:pPr>
        <w:pStyle w:val="BodyText"/>
      </w:pPr>
      <w:r>
        <w:rPr>
          <w:rStyle w:val="Strong"/>
        </w:rPr>
        <w:t>Results</w:t>
      </w:r>
    </w:p>
    <w:p>
      <w:pPr>
        <w:pStyle w:val="BodyText"/>
      </w:pPr>
      <w:r>
        <w:t xml:space="preserve">The newly created account credential appears in the list of credentials on the </w:t>
      </w:r>
      <w:r>
        <w:rPr>
          <w:rStyle w:val="InlineUI"/>
        </w:rPr>
        <w:t>Credentials</w:t>
      </w:r>
      <w:r>
        <w:t xml:space="preserve"> tab. You can select that credential when you create a target location.</w:t>
      </w:r>
    </w:p>
    <w:p>
      <w:pPr>
        <w:pStyle w:val="BodyText"/>
      </w:pPr>
      <w:r>
        <w:rPr>
          <w:rStyle w:val="Strong"/>
        </w:rPr>
        <w:t>What to do next</w:t>
      </w:r>
    </w:p>
    <w:p>
      <w:pPr>
        <w:pStyle w:val="BodyText"/>
      </w:pPr>
      <w:r>
        <w:t xml:space="preserve">Create a target location for data protections.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B5eb5e86894e747e7bd79c945db7f50ea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Target Location for Data Protection</w:t>
      </w:r>
      <w:r>
        <w:fldChar w:fldCharType="end"/>
      </w:r>
      <w:r>
        <w:t>.</w:t>
      </w:r>
    </w:p>
    <w:p>
      <w:pPr>
        <w:pStyle w:val="BodyText"/>
      </w:pPr>
      <w:r>
        <w:t xml:space="preserve">To delete the account credential, on the </w:t>
      </w:r>
      <w:r>
        <w:rPr>
          <w:rStyle w:val="InlineUI"/>
        </w:rPr>
        <w:t>Credentials</w:t>
      </w:r>
      <w:r>
        <w:t xml:space="preserve"> tab, click the vertical ellipsis (</w:t>
      </w:r>
    </w:p>
    <w:p>
      <w:pPr>
        <w:pStyle w:val="BodyText"/>
      </w:pPr>
      <w:r>
        <w:drawing>
          <wp:inline>
            <wp:extent cx="132588" cy="137160"/>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credential and click </w:t>
      </w:r>
      <w:r>
        <w:rPr>
          <w:rStyle w:val="InlineUI"/>
        </w:rPr>
        <w:t>Remove</w:t>
      </w:r>
      <w:r>
        <w:t>.</w:t>
      </w:r>
    </w:p>
    <w:p>
      <w:pPr>
        <w:pStyle w:val="BodyText"/>
        <w:pBdr>
          <w:top w:val="single" w:sz="8" w:space="2" w:color="D3D3D3"/>
        </w:pBdr>
      </w:pPr>
      <w:r>
        <w:rPr>
          <w:rStyle w:val="NoteLeaderimportant"/>
        </w:rPr>
        <w:t>Important</w:t>
        <w:tab/>
      </w:r>
      <w:r>
        <w:t>Prior to removing an account credential, remove any dependencies on it. For example, before you delete a data protection credential, ensure that there are no target location objects that are using it. If you have scheduled backups that target a deleted data protection credential, those backups will fail.</w:t>
      </w:r>
    </w:p>
    <w:p>
      <w:pPr>
        <w:pStyle w:val="BodyText"/>
        <w:pBdr>
          <w:bottom w:val="single" w:sz="8" w:space="2" w:color="D3D3D3"/>
        </w:pBdr>
      </w:pPr>
      <w:r>
        <w:t xml:space="preserve">When you remove an account credential, </w:t>
      </w:r>
      <w:r>
        <w:t>VKS</w:t>
      </w:r>
      <w:r>
        <w:t xml:space="preserve"> cluster management releases its connection to the account, but does not remove any of the resources that you might have created in that account. If you have resources in the account, they continue to exist until you use your cloud provider’s tools to remove them.</w:t>
      </w:r>
    </w:p>
    <w:p>
      <w:pPr>
        <w:pStyle w:val="Heading5"/>
      </w:pPr>
      <w:bookmarkStart w:id="331" w:name="B5eb5e86894e747e7bd79c945db7f50ea"/>
      <w:r>
        <w:t>Create a Target Location for Data Protection</w:t>
      </w:r>
      <w:bookmarkEnd w:id="331"/>
    </w:p>
    <w:p>
      <w:pPr>
        <w:pStyle w:val="BodyText"/>
      </w:pPr>
      <w:r>
        <w:t xml:space="preserve">You can create a data protection target location that you can use for storage of backups that you generate with </w:t>
      </w:r>
      <w:r>
        <w:t>VKS</w:t>
      </w:r>
      <w:r>
        <w:t xml:space="preserve"> cluster management.</w:t>
      </w:r>
    </w:p>
    <w:p>
      <w:pPr>
        <w:pStyle w:val="BodyText"/>
      </w:pPr>
      <w:r>
        <w:t xml:space="preserve">When you perform a backup using </w:t>
      </w:r>
      <w:r>
        <w:t>VKS</w:t>
      </w:r>
      <w:r>
        <w:t xml:space="preserve"> cluster management, the resources that you specify to be backed up are written to a storage location that you specify. This location can be a storage location that you create and maintain in your cloud provider account (AWS S3 or S3-compatible storage).</w:t>
      </w:r>
    </w:p>
    <w:p>
      <w:pPr>
        <w:pStyle w:val="BodyText"/>
      </w:pPr>
      <w:r>
        <w:rPr>
          <w:rStyle w:val="Strong"/>
        </w:rPr>
        <w:t>Prerequisites</w:t>
      </w:r>
    </w:p>
    <w:p>
      <w:pPr>
        <w:pStyle w:val="BodyText"/>
        <w:numPr>
          <w:numId w:val="316"/>
        </w:numPr>
      </w:pPr>
      <w:r>
        <w:t xml:space="preserve">Verify that you are assigned the </w:t>
      </w:r>
      <w:r>
        <w:rPr>
          <w:rStyle w:val="InlineUI"/>
        </w:rPr>
        <w:t>Organization Administrator</w:t>
      </w:r>
      <w:r>
        <w:t xml:space="preserve"> role.</w:t>
      </w:r>
    </w:p>
    <w:p>
      <w:pPr>
        <w:pStyle w:val="BodyText"/>
        <w:numPr>
          <w:numId w:val="316"/>
        </w:numPr>
      </w:pPr>
      <w:r>
        <w:t xml:space="preserve">Verify that you have a data protection credential that provides the connection to your cloud provider account.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B4f2faccb1a4c4b72ab7bc12846902bac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Account Credential for Self-Provisioned Storage</w:t>
      </w:r>
      <w:r>
        <w:fldChar w:fldCharType="end"/>
      </w:r>
      <w:r>
        <w:t>.</w:t>
      </w:r>
    </w:p>
    <w:p>
      <w:pPr>
        <w:pStyle w:val="BodyText"/>
      </w:pPr>
      <w:r>
        <w:rPr>
          <w:rStyle w:val="Strong"/>
        </w:rPr>
        <w:t>Procedure</w:t>
      </w:r>
    </w:p>
    <w:p>
      <w:pPr>
        <w:pStyle w:val="BodyText"/>
        <w:numPr>
          <w:numId w:val="317"/>
        </w:numPr>
      </w:pPr>
      <w:r>
        <w:t xml:space="preserve">Log in to the </w:t>
      </w:r>
      <w:r>
        <w:t>VCF Automation</w:t>
      </w:r>
      <w:r>
        <w:t xml:space="preserve"> organization portal.</w:t>
      </w:r>
    </w:p>
    <w:p>
      <w:pPr>
        <w:pStyle w:val="BodyText"/>
        <w:numPr>
          <w:numId w:val="317"/>
        </w:numPr>
      </w:pPr>
      <w:r>
        <w:t xml:space="preserve">Click the </w:t>
      </w:r>
      <w:r>
        <w:rPr>
          <w:rStyle w:val="InlineUI"/>
        </w:rPr>
        <w:t>Manage &amp; Govern</w:t>
      </w:r>
      <w:r>
        <w:t xml:space="preserve"> tab.</w:t>
      </w:r>
    </w:p>
    <w:p>
      <w:pPr>
        <w:pStyle w:val="BodyText"/>
        <w:numPr>
          <w:numId w:val="31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17"/>
        </w:numPr>
      </w:pPr>
      <w:r>
        <w:t xml:space="preserve">On the </w:t>
      </w:r>
      <w:r>
        <w:rPr>
          <w:rStyle w:val="InlineUI"/>
        </w:rPr>
        <w:t>vSphere Kubernetes Service Cluster Management</w:t>
      </w:r>
      <w:r>
        <w:t xml:space="preserve"> page, select </w:t>
      </w:r>
      <w:r>
        <w:rPr>
          <w:rStyle w:val="InlineUI"/>
        </w:rPr>
        <w:t>Configurations</w:t>
      </w:r>
      <w:r>
        <w:rPr>
          <w:rStyle w:val="InlineUI"/>
        </w:rPr>
        <w:t xml:space="preserve"> &gt; </w:t>
      </w:r>
      <w:r>
        <w:rPr>
          <w:rStyle w:val="InlineUI"/>
        </w:rPr>
        <w:t>Credentials</w:t>
      </w:r>
      <w:r>
        <w:t>.</w:t>
      </w:r>
    </w:p>
    <w:p>
      <w:pPr>
        <w:pStyle w:val="BodyText"/>
        <w:numPr>
          <w:numId w:val="317"/>
        </w:numPr>
      </w:pPr>
      <w:r>
        <w:t xml:space="preserve">Click </w:t>
      </w:r>
      <w:r>
        <w:rPr>
          <w:rStyle w:val="InlineUI"/>
        </w:rPr>
        <w:t>Create target location</w:t>
      </w:r>
      <w:r>
        <w:t xml:space="preserve"> and select </w:t>
      </w:r>
      <w:r>
        <w:rPr>
          <w:rStyle w:val="InlineUI"/>
        </w:rPr>
        <w:t>AWS S3 or S3-compatible</w:t>
      </w:r>
      <w:r>
        <w:t>.</w:t>
      </w:r>
    </w:p>
    <w:p>
      <w:pPr>
        <w:pStyle w:val="BodyText"/>
        <w:ind w:left="480"/>
      </w:pPr>
      <w:r>
        <w:t xml:space="preserve">The </w:t>
      </w:r>
      <w:r>
        <w:rPr>
          <w:rStyle w:val="InlineUI"/>
        </w:rPr>
        <w:t>Create target location</w:t>
      </w:r>
      <w:r>
        <w:t xml:space="preserve"> wizard opens.</w:t>
      </w:r>
    </w:p>
    <w:p>
      <w:pPr>
        <w:pStyle w:val="BodyText"/>
        <w:numPr>
          <w:numId w:val="317"/>
        </w:numPr>
      </w:pPr>
      <w:r>
        <w:t xml:space="preserve">In the </w:t>
      </w:r>
      <w:r>
        <w:rPr>
          <w:rStyle w:val="InlineUI"/>
        </w:rPr>
        <w:t>Credential</w:t>
      </w:r>
      <w:r>
        <w:t xml:space="preserve"> section, select an account credential from the drop-down menu and click </w:t>
      </w:r>
      <w:r>
        <w:rPr>
          <w:rStyle w:val="InlineUI"/>
        </w:rPr>
        <w:t>Next</w:t>
      </w:r>
      <w:r>
        <w:t>.</w:t>
      </w:r>
    </w:p>
    <w:p>
      <w:pPr>
        <w:pStyle w:val="BodyText"/>
        <w:numPr>
          <w:numId w:val="317"/>
        </w:numPr>
      </w:pPr>
      <w:r>
        <w:t xml:space="preserve">In the </w:t>
      </w:r>
      <w:r>
        <w:rPr>
          <w:rStyle w:val="InlineUI"/>
        </w:rPr>
        <w:t>Configure</w:t>
      </w:r>
      <w:r>
        <w:t xml:space="preserve"> section, specify the configuration of the storage.</w:t>
      </w:r>
    </w:p>
    <w:p>
      <w:pPr>
        <w:pStyle w:val="BodyText"/>
        <w:numPr>
          <w:ilvl w:val="1"/>
          <w:numId w:val="317"/>
        </w:numPr>
      </w:pPr>
      <w:r>
        <w:t>Enter the URL that identifies the AWS S3 or S3-compatible storage location.</w:t>
      </w:r>
    </w:p>
    <w:p>
      <w:pPr>
        <w:pStyle w:val="BodyText"/>
        <w:numPr>
          <w:ilvl w:val="1"/>
          <w:numId w:val="317"/>
        </w:numPr>
      </w:pPr>
      <w:r>
        <w:t>Enter a name for the bucket in which to store backups.</w:t>
      </w:r>
    </w:p>
    <w:p>
      <w:pPr>
        <w:pStyle w:val="BodyText"/>
        <w:numPr>
          <w:ilvl w:val="1"/>
          <w:numId w:val="317"/>
        </w:numPr>
      </w:pPr>
      <w:r>
        <w:t>Specify the region in which to store backups.</w:t>
      </w:r>
    </w:p>
    <w:p>
      <w:pPr>
        <w:pStyle w:val="BodyText"/>
        <w:numPr>
          <w:ilvl w:val="1"/>
          <w:numId w:val="317"/>
        </w:numPr>
      </w:pPr>
      <w:r>
        <w:t>(Optional) Enter the root or CA certificate in the text box.</w:t>
      </w:r>
    </w:p>
    <w:p>
      <w:pPr>
        <w:pStyle w:val="BodyText"/>
        <w:numPr>
          <w:ilvl w:val="1"/>
          <w:numId w:val="317"/>
        </w:numPr>
      </w:pPr>
      <w:r>
        <w:t xml:space="preserve">Click </w:t>
      </w:r>
      <w:r>
        <w:rPr>
          <w:rStyle w:val="InlineUI"/>
        </w:rPr>
        <w:t>Next</w:t>
      </w:r>
      <w:r>
        <w:t>.</w:t>
      </w:r>
    </w:p>
    <w:p>
      <w:pPr>
        <w:pStyle w:val="BodyText"/>
        <w:numPr>
          <w:numId w:val="317"/>
        </w:numPr>
      </w:pPr>
      <w:r>
        <w:t xml:space="preserve">In the </w:t>
      </w:r>
      <w:r>
        <w:rPr>
          <w:rStyle w:val="InlineUI"/>
        </w:rPr>
        <w:t>Assign Clusters</w:t>
      </w:r>
      <w:r>
        <w:t xml:space="preserve"> section, specify the clusters that can use this target location for backup and click </w:t>
      </w:r>
      <w:r>
        <w:rPr>
          <w:rStyle w:val="InlineUI"/>
        </w:rPr>
        <w:t>Next</w:t>
      </w:r>
      <w:r>
        <w:t>.</w:t>
      </w:r>
    </w:p>
    <w:p>
      <w:pPr>
        <w:pStyle w:val="BodyText"/>
        <w:ind w:left="480"/>
      </w:pPr>
      <w:r>
        <w:t>The target location can be assigned to multiple clusters.</w:t>
      </w:r>
    </w:p>
    <w:p>
      <w:pPr>
        <w:pStyle w:val="BodyText"/>
        <w:numPr>
          <w:numId w:val="317"/>
        </w:numPr>
      </w:pPr>
      <w:r>
        <w:t xml:space="preserve">In the </w:t>
      </w:r>
      <w:r>
        <w:rPr>
          <w:rStyle w:val="InlineUI"/>
        </w:rPr>
        <w:t>Name and create</w:t>
      </w:r>
      <w:r>
        <w:t xml:space="preserve"> section, enter a name for the target location.</w:t>
      </w:r>
    </w:p>
    <w:p>
      <w:pPr>
        <w:pStyle w:val="BodyText"/>
        <w:numPr>
          <w:numId w:val="317"/>
        </w:numPr>
      </w:pPr>
      <w:r>
        <w:t xml:space="preserve">Click the </w:t>
      </w:r>
      <w:r>
        <w:rPr>
          <w:rStyle w:val="InlineUI"/>
        </w:rPr>
        <w:t>Create</w:t>
      </w:r>
      <w:r>
        <w:t xml:space="preserve"> button.</w:t>
      </w:r>
    </w:p>
    <w:p>
      <w:pPr>
        <w:pStyle w:val="BodyText"/>
      </w:pPr>
      <w:r>
        <w:rPr>
          <w:rStyle w:val="Strong"/>
        </w:rPr>
        <w:t>Results</w:t>
      </w:r>
    </w:p>
    <w:p>
      <w:pPr>
        <w:pStyle w:val="BodyText"/>
      </w:pPr>
      <w:r>
        <w:t>VKS</w:t>
      </w:r>
      <w:r>
        <w:t xml:space="preserve"> cluster management generates a backup location that can be used by the specified clusters.</w:t>
      </w:r>
    </w:p>
    <w:p>
      <w:pPr>
        <w:pStyle w:val="BodyText"/>
      </w:pPr>
      <w:r>
        <w:rPr>
          <w:rStyle w:val="Strong"/>
        </w:rPr>
        <w:t>What to do next</w:t>
      </w:r>
    </w:p>
    <w:p>
      <w:pPr>
        <w:pStyle w:val="BodyText"/>
      </w:pPr>
      <w:r>
        <w:t xml:space="preserve">To delete a target location, on the </w:t>
      </w:r>
      <w:r>
        <w:rPr>
          <w:rStyle w:val="InlineUI"/>
        </w:rPr>
        <w:t>Credentials</w:t>
      </w:r>
      <w:r>
        <w:t xml:space="preserve"> tab, click the vertical ellipsis (</w:t>
      </w:r>
    </w:p>
    <w:p>
      <w:pPr>
        <w:pStyle w:val="BodyText"/>
      </w:pPr>
      <w:r>
        <w:drawing>
          <wp:inline>
            <wp:extent cx="132588" cy="137160"/>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for the location and click </w:t>
      </w:r>
      <w:r>
        <w:rPr>
          <w:rStyle w:val="InlineUI"/>
        </w:rPr>
        <w:t>Remove</w:t>
      </w:r>
      <w:r>
        <w:t>.</w:t>
      </w:r>
    </w:p>
    <w:p>
      <w:pPr>
        <w:pStyle w:val="BodyText"/>
        <w:pBdr>
          <w:top w:val="single" w:sz="8" w:space="2" w:color="D3D3D3"/>
          <w:bottom w:val="single" w:sz="8" w:space="2" w:color="D3D3D3"/>
        </w:pBdr>
      </w:pPr>
      <w:r>
        <w:rPr>
          <w:rStyle w:val="NoteLeaderimportant"/>
        </w:rPr>
        <w:t>Important</w:t>
        <w:tab/>
      </w:r>
      <w:r>
        <w:t>Because the target location is simply a reference to a storage resource, deleting the target location does not remove the data protection credential or the underlying storage resource. However, if you delete a target location, you can no longer use it for backups or restores.</w:t>
      </w:r>
    </w:p>
    <w:p>
      <w:pPr>
        <w:pStyle w:val="Heading4"/>
      </w:pPr>
      <w:bookmarkStart w:id="332" w:name="B7e415ae94ae541e58781928cd61077c6"/>
      <w:bookmarkStart w:id="333" w:name="_Toc256000849"/>
      <w:r>
        <w:t>Enable Data Protection for a VKS Cluster</w:t>
      </w:r>
      <w:bookmarkEnd w:id="333"/>
      <w:bookmarkEnd w:id="332"/>
    </w:p>
    <w:p>
      <w:pPr>
        <w:pStyle w:val="BodyText"/>
      </w:pPr>
      <w:r>
        <w:t xml:space="preserve">You enable data protection for a cluster to be able to perform data protection actions using a specified backup location. By enabling data protection for a cluster, </w:t>
      </w:r>
      <w:r>
        <w:t>VKS</w:t>
      </w:r>
      <w:r>
        <w:t xml:space="preserve"> cluster management installs tha data ptotection extension and Velero on your clusters.</w:t>
      </w:r>
    </w:p>
    <w:p>
      <w:pPr>
        <w:pStyle w:val="BodyText"/>
      </w:pPr>
      <w:r>
        <w:rPr>
          <w:rStyle w:val="Strong"/>
        </w:rPr>
        <w:t>Prerequisites</w:t>
      </w:r>
    </w:p>
    <w:p>
      <w:pPr>
        <w:pStyle w:val="BodyText"/>
      </w:pPr>
      <w:r>
        <w:t>Verify that you are assigned one of the appropriate roles:</w:t>
      </w:r>
    </w:p>
    <w:p>
      <w:pPr>
        <w:pStyle w:val="BodyText"/>
        <w:numPr>
          <w:numId w:val="318"/>
        </w:numPr>
      </w:pPr>
      <w:r>
        <w:rPr>
          <w:rStyle w:val="InlineUI"/>
        </w:rPr>
        <w:t>Organization Administrator</w:t>
      </w:r>
    </w:p>
    <w:p>
      <w:pPr>
        <w:pStyle w:val="BodyText"/>
        <w:numPr>
          <w:numId w:val="318"/>
        </w:numPr>
      </w:pPr>
      <w:r>
        <w:rPr>
          <w:rStyle w:val="InlineUI"/>
        </w:rPr>
        <w:t>Project Administrator</w:t>
      </w:r>
    </w:p>
    <w:p>
      <w:pPr>
        <w:pStyle w:val="BodyText"/>
      </w:pPr>
      <w:r>
        <w:rPr>
          <w:rStyle w:val="Strong"/>
        </w:rPr>
        <w:t>Procedure</w:t>
      </w:r>
    </w:p>
    <w:p>
      <w:pPr>
        <w:pStyle w:val="BodyText"/>
        <w:numPr>
          <w:numId w:val="319"/>
        </w:numPr>
      </w:pPr>
      <w:r>
        <w:t xml:space="preserve">Log in to the </w:t>
      </w:r>
      <w:r>
        <w:t>VCF Automation</w:t>
      </w:r>
      <w:r>
        <w:t xml:space="preserve"> organization portal.</w:t>
      </w:r>
    </w:p>
    <w:p>
      <w:pPr>
        <w:pStyle w:val="BodyText"/>
        <w:numPr>
          <w:numId w:val="319"/>
        </w:numPr>
      </w:pPr>
      <w:r>
        <w:t xml:space="preserve">Click the </w:t>
      </w:r>
      <w:r>
        <w:rPr>
          <w:rStyle w:val="InlineUI"/>
        </w:rPr>
        <w:t>Manage &amp; Govern</w:t>
      </w:r>
      <w:r>
        <w:t xml:space="preserve"> tab.</w:t>
      </w:r>
    </w:p>
    <w:p>
      <w:pPr>
        <w:pStyle w:val="BodyText"/>
        <w:numPr>
          <w:numId w:val="31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19"/>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19"/>
        </w:numPr>
      </w:pPr>
      <w:r>
        <w:t>Click a cluster from the list.</w:t>
      </w:r>
    </w:p>
    <w:p>
      <w:pPr>
        <w:pStyle w:val="BodyText"/>
        <w:ind w:left="480"/>
      </w:pPr>
      <w:r>
        <w:t>A panel with various types of information about the cluster opens.</w:t>
      </w:r>
    </w:p>
    <w:p>
      <w:pPr>
        <w:pStyle w:val="BodyText"/>
        <w:numPr>
          <w:numId w:val="319"/>
        </w:numPr>
      </w:pPr>
      <w:r>
        <w:t xml:space="preserve">In the </w:t>
      </w:r>
      <w:r>
        <w:rPr>
          <w:rStyle w:val="InlineUI"/>
        </w:rPr>
        <w:t>Data Protection</w:t>
      </w:r>
      <w:r>
        <w:t xml:space="preserve"> card, click </w:t>
      </w:r>
      <w:r>
        <w:rPr>
          <w:rStyle w:val="InlineUI"/>
        </w:rPr>
        <w:t>Enable data protection</w:t>
      </w:r>
      <w:r>
        <w:t>.</w:t>
      </w:r>
    </w:p>
    <w:p>
      <w:pPr>
        <w:pStyle w:val="BodyText"/>
        <w:numPr>
          <w:numId w:val="319"/>
        </w:numPr>
      </w:pPr>
      <w:r>
        <w:t xml:space="preserve">In the </w:t>
      </w:r>
      <w:r>
        <w:rPr>
          <w:rStyle w:val="InlineUI"/>
        </w:rPr>
        <w:t>Enable Data Protection</w:t>
      </w:r>
      <w:r>
        <w:t xml:space="preserve"> dialog box, click </w:t>
      </w:r>
      <w:r>
        <w:rPr>
          <w:rStyle w:val="InlineUI"/>
        </w:rPr>
        <w:t>Enable</w:t>
      </w:r>
      <w:r>
        <w:t>.</w:t>
      </w:r>
    </w:p>
    <w:p>
      <w:pPr>
        <w:pStyle w:val="BodyText"/>
        <w:ind w:left="480"/>
      </w:pPr>
      <w:r>
        <w:t>VKS</w:t>
      </w:r>
      <w:r>
        <w:t xml:space="preserve"> cluster management installs the data protection extension, the selected plugins, and Velero on your cluster. After it is installed, the data-protection extension is listed on the cluster detail page along with its health status.</w:t>
      </w:r>
    </w:p>
    <w:p>
      <w:pPr>
        <w:pStyle w:val="BodyText"/>
      </w:pPr>
      <w:r>
        <w:rPr>
          <w:rStyle w:val="Strong"/>
        </w:rPr>
        <w:t>Results</w:t>
      </w:r>
    </w:p>
    <w:p>
      <w:pPr>
        <w:pStyle w:val="BodyText"/>
      </w:pPr>
      <w:r>
        <w:t xml:space="preserve">A new </w:t>
      </w:r>
      <w:r>
        <w:rPr>
          <w:rStyle w:val="InlineUI"/>
        </w:rPr>
        <w:t>Data Protection</w:t>
      </w:r>
      <w:r>
        <w:t xml:space="preserve"> tab appears for the cluster.</w:t>
      </w:r>
    </w:p>
    <w:p>
      <w:pPr>
        <w:pStyle w:val="Heading4"/>
      </w:pPr>
      <w:bookmarkStart w:id="334" w:name="_Toc256000850"/>
      <w:r>
        <w:t>Disable Data Protection for a VKS Cluster</w:t>
      </w:r>
      <w:bookmarkEnd w:id="334"/>
    </w:p>
    <w:p>
      <w:pPr>
        <w:pStyle w:val="BodyText"/>
      </w:pPr>
      <w:r>
        <w:t>If you decide that you no longer need to back up data resources in a given cluster, you can remove the data protection extension and Velero from your cluster by disabling cata protection for the cluster.</w:t>
      </w:r>
    </w:p>
    <w:p>
      <w:pPr>
        <w:pStyle w:val="BodyText"/>
      </w:pPr>
      <w:r>
        <w:t>Although this procedure disables your ability to perform new backup and restore actions, disabling data protection does not, by default, remove the backups that are already created. Existing backup files remain in the storage location identified by the data protection credential unless you explicitly choose to delete them.</w:t>
      </w:r>
    </w:p>
    <w:p>
      <w:pPr>
        <w:pStyle w:val="BodyText"/>
      </w:pPr>
      <w:r>
        <w:rPr>
          <w:rStyle w:val="Strong"/>
        </w:rPr>
        <w:t>Prerequisites</w:t>
      </w:r>
    </w:p>
    <w:p>
      <w:pPr>
        <w:pStyle w:val="BodyText"/>
      </w:pPr>
      <w:r>
        <w:t>Verify that you are assigned one of the appropriate roles:</w:t>
      </w:r>
    </w:p>
    <w:p>
      <w:pPr>
        <w:pStyle w:val="BodyText"/>
        <w:numPr>
          <w:numId w:val="320"/>
        </w:numPr>
      </w:pPr>
      <w:r>
        <w:rPr>
          <w:rStyle w:val="InlineUI"/>
        </w:rPr>
        <w:t>Organization Administrator</w:t>
      </w:r>
    </w:p>
    <w:p>
      <w:pPr>
        <w:pStyle w:val="BodyText"/>
        <w:numPr>
          <w:numId w:val="320"/>
        </w:numPr>
      </w:pPr>
      <w:r>
        <w:rPr>
          <w:rStyle w:val="InlineUI"/>
        </w:rPr>
        <w:t>Project Administrator</w:t>
      </w:r>
    </w:p>
    <w:p>
      <w:pPr>
        <w:pStyle w:val="BodyText"/>
      </w:pPr>
      <w:r>
        <w:rPr>
          <w:rStyle w:val="Strong"/>
        </w:rPr>
        <w:t>Procedure</w:t>
      </w:r>
    </w:p>
    <w:p>
      <w:pPr>
        <w:pStyle w:val="BodyText"/>
        <w:numPr>
          <w:numId w:val="321"/>
        </w:numPr>
      </w:pPr>
      <w:r>
        <w:t xml:space="preserve">Log in to the </w:t>
      </w:r>
      <w:r>
        <w:t>VCF Automation</w:t>
      </w:r>
      <w:r>
        <w:t xml:space="preserve"> organization portal.</w:t>
      </w:r>
    </w:p>
    <w:p>
      <w:pPr>
        <w:pStyle w:val="BodyText"/>
        <w:numPr>
          <w:numId w:val="321"/>
        </w:numPr>
      </w:pPr>
      <w:r>
        <w:t xml:space="preserve">Click the </w:t>
      </w:r>
      <w:r>
        <w:rPr>
          <w:rStyle w:val="InlineUI"/>
        </w:rPr>
        <w:t>Manage &amp; Govern</w:t>
      </w:r>
      <w:r>
        <w:t xml:space="preserve"> tab.</w:t>
      </w:r>
    </w:p>
    <w:p>
      <w:pPr>
        <w:pStyle w:val="BodyText"/>
        <w:numPr>
          <w:numId w:val="321"/>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21"/>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21"/>
        </w:numPr>
      </w:pPr>
      <w:r>
        <w:t>Click a cluster from the list.</w:t>
      </w:r>
    </w:p>
    <w:p>
      <w:pPr>
        <w:pStyle w:val="BodyText"/>
        <w:ind w:left="480"/>
      </w:pPr>
      <w:r>
        <w:t>A panel with various types of information about the cluster opens.</w:t>
      </w:r>
    </w:p>
    <w:p>
      <w:pPr>
        <w:pStyle w:val="BodyText"/>
        <w:numPr>
          <w:numId w:val="321"/>
        </w:numPr>
      </w:pPr>
      <w:r>
        <w:t xml:space="preserve">In the </w:t>
      </w:r>
      <w:r>
        <w:rPr>
          <w:rStyle w:val="InlineUI"/>
        </w:rPr>
        <w:t>Data Protection</w:t>
      </w:r>
      <w:r>
        <w:t xml:space="preserve"> card, click the </w:t>
      </w:r>
      <w:r>
        <w:rPr>
          <w:rStyle w:val="InlineUI"/>
        </w:rPr>
        <w:t>Disable data protection</w:t>
      </w:r>
      <w:r>
        <w:t xml:space="preserve"> button.</w:t>
      </w:r>
    </w:p>
    <w:p>
      <w:pPr>
        <w:pStyle w:val="BodyText"/>
        <w:numPr>
          <w:numId w:val="321"/>
        </w:numPr>
      </w:pPr>
      <w:r>
        <w:t xml:space="preserve">In the </w:t>
      </w:r>
      <w:r>
        <w:rPr>
          <w:rStyle w:val="InlineUI"/>
        </w:rPr>
        <w:t>Disable Data Protection</w:t>
      </w:r>
      <w:r>
        <w:t xml:space="preserve"> dialog box, click </w:t>
      </w:r>
      <w:r>
        <w:rPr>
          <w:rStyle w:val="InlineUI"/>
        </w:rPr>
        <w:t>Disable</w:t>
      </w:r>
      <w:r>
        <w:t>.</w:t>
      </w:r>
    </w:p>
    <w:p>
      <w:pPr>
        <w:pStyle w:val="BodyText"/>
        <w:ind w:left="480"/>
      </w:pPr>
      <w:r>
        <w:t>VKS</w:t>
      </w:r>
      <w:r>
        <w:t xml:space="preserve"> cluster management removes the data protection extension and Velero from your cluster. After you disable data protection for a cluster, you can no longer perform actions like backing up and restoring data resources in your cluster.</w:t>
      </w:r>
    </w:p>
    <w:p>
      <w:pPr>
        <w:pStyle w:val="Heading4"/>
      </w:pPr>
      <w:bookmarkStart w:id="335" w:name="_Toc256000851"/>
      <w:r>
        <w:t>Create a Backup Schedule</w:t>
      </w:r>
      <w:bookmarkEnd w:id="335"/>
    </w:p>
    <w:p>
      <w:pPr>
        <w:pStyle w:val="BodyText"/>
      </w:pPr>
      <w:r>
        <w:t>You can schedule regular backups and manage the storage of backups and volume snapshots that you create by specifying a retention period for each backup and deleting the backups that you no longer need.</w:t>
      </w:r>
    </w:p>
    <w:p>
      <w:pPr>
        <w:pStyle w:val="BodyText"/>
      </w:pPr>
      <w:r>
        <w:t>You can retain a maximum of 720 backups per backup schedule at any given point in time. This capacity is influenced by both the frequency and the retention period of the backup schedule. Therefore, if your schedule requires high-frequency backups, then you might need to reduce the retention period.</w:t>
      </w:r>
    </w:p>
    <w:p>
      <w:pPr>
        <w:pStyle w:val="BodyText"/>
      </w:pPr>
      <w:r>
        <w:rPr>
          <w:rStyle w:val="Strong"/>
        </w:rPr>
        <w:t>Prerequisites</w:t>
      </w:r>
    </w:p>
    <w:p>
      <w:pPr>
        <w:pStyle w:val="BodyText"/>
      </w:pPr>
      <w:r>
        <w:t>Verify that you are assigned one of the appropriate roles:</w:t>
      </w:r>
    </w:p>
    <w:p>
      <w:pPr>
        <w:pStyle w:val="BodyText"/>
        <w:numPr>
          <w:numId w:val="322"/>
        </w:numPr>
      </w:pPr>
      <w:r>
        <w:rPr>
          <w:rStyle w:val="InlineUI"/>
        </w:rPr>
        <w:t>Organization Administrator</w:t>
      </w:r>
    </w:p>
    <w:p>
      <w:pPr>
        <w:pStyle w:val="BodyText"/>
        <w:numPr>
          <w:numId w:val="322"/>
        </w:numPr>
      </w:pPr>
      <w:r>
        <w:rPr>
          <w:rStyle w:val="InlineUI"/>
        </w:rPr>
        <w:t>Project Administrator</w:t>
      </w:r>
    </w:p>
    <w:p>
      <w:pPr>
        <w:pStyle w:val="BodyText"/>
      </w:pPr>
      <w:r>
        <w:rPr>
          <w:rStyle w:val="Strong"/>
        </w:rPr>
        <w:t>Procedure</w:t>
      </w:r>
    </w:p>
    <w:p>
      <w:pPr>
        <w:pStyle w:val="BodyText"/>
        <w:numPr>
          <w:numId w:val="323"/>
        </w:numPr>
      </w:pPr>
      <w:r>
        <w:t xml:space="preserve">Log in to the </w:t>
      </w:r>
      <w:r>
        <w:t>VCF Automation</w:t>
      </w:r>
      <w:r>
        <w:t xml:space="preserve"> organization portal.</w:t>
      </w:r>
    </w:p>
    <w:p>
      <w:pPr>
        <w:pStyle w:val="BodyText"/>
        <w:numPr>
          <w:numId w:val="323"/>
        </w:numPr>
      </w:pPr>
      <w:r>
        <w:t xml:space="preserve">Click the </w:t>
      </w:r>
      <w:r>
        <w:rPr>
          <w:rStyle w:val="InlineUI"/>
        </w:rPr>
        <w:t>Manage &amp; Govern</w:t>
      </w:r>
      <w:r>
        <w:t xml:space="preserve"> tab.</w:t>
      </w:r>
    </w:p>
    <w:p>
      <w:pPr>
        <w:pStyle w:val="BodyText"/>
        <w:numPr>
          <w:numId w:val="323"/>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23"/>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23"/>
        </w:numPr>
      </w:pPr>
      <w:r>
        <w:t xml:space="preserve">Click a cluster from the list and click the </w:t>
      </w:r>
      <w:r>
        <w:rPr>
          <w:rStyle w:val="InlineUI"/>
        </w:rPr>
        <w:t>Data Protection</w:t>
      </w:r>
      <w:r>
        <w:t xml:space="preserve"> tab.</w:t>
      </w:r>
    </w:p>
    <w:p>
      <w:pPr>
        <w:pStyle w:val="BodyText"/>
        <w:numPr>
          <w:numId w:val="323"/>
        </w:numPr>
      </w:pPr>
      <w:r>
        <w:t xml:space="preserve">In the </w:t>
      </w:r>
      <w:r>
        <w:rPr>
          <w:rStyle w:val="InlineUI"/>
        </w:rPr>
        <w:t>Backups</w:t>
      </w:r>
      <w:r>
        <w:t xml:space="preserve"> section, click </w:t>
      </w:r>
      <w:r>
        <w:rPr>
          <w:rStyle w:val="InlineUI"/>
        </w:rPr>
        <w:t>Create backup</w:t>
      </w:r>
      <w:r>
        <w:t>.</w:t>
      </w:r>
    </w:p>
    <w:p>
      <w:pPr>
        <w:pStyle w:val="BodyText"/>
        <w:ind w:left="480"/>
      </w:pPr>
      <w:r>
        <w:t xml:space="preserve">The </w:t>
      </w:r>
      <w:r>
        <w:rPr>
          <w:rStyle w:val="InlineUI"/>
        </w:rPr>
        <w:t>Create backup</w:t>
      </w:r>
      <w:r>
        <w:t xml:space="preserve"> wizard opens.</w:t>
      </w:r>
    </w:p>
    <w:p>
      <w:pPr>
        <w:pStyle w:val="BodyText"/>
        <w:numPr>
          <w:numId w:val="323"/>
        </w:numPr>
      </w:pPr>
      <w:r>
        <w:t xml:space="preserve">Follow the prompts until you reach the </w:t>
      </w:r>
      <w:r>
        <w:rPr>
          <w:rStyle w:val="InlineUI"/>
        </w:rPr>
        <w:t>When to backup</w:t>
      </w:r>
      <w:r>
        <w:t xml:space="preserve"> section.</w:t>
      </w:r>
    </w:p>
    <w:p>
      <w:pPr>
        <w:pStyle w:val="BodyText"/>
        <w:numPr>
          <w:numId w:val="323"/>
        </w:numPr>
      </w:pPr>
      <w:r>
        <w:t xml:space="preserve">In the </w:t>
      </w:r>
      <w:r>
        <w:rPr>
          <w:rStyle w:val="InlineUI"/>
        </w:rPr>
        <w:t>When to backup</w:t>
      </w:r>
      <w:r>
        <w:t xml:space="preserve"> section, select your schedule type.</w:t>
      </w:r>
    </w:p>
    <w:p>
      <w:pPr>
        <w:pStyle w:val="BodyText"/>
        <w:ind w:left="480"/>
      </w:pPr>
      <w:r>
        <w:t xml:space="preserve">Selecting </w:t>
      </w:r>
      <w:r>
        <w:rPr>
          <w:rStyle w:val="InlineUI"/>
        </w:rPr>
        <w:t>Now</w:t>
      </w:r>
      <w:r>
        <w:t xml:space="preserve"> creates a backup immediately. All other options create a backup schedule.</w:t>
      </w:r>
    </w:p>
    <w:p>
      <w:pPr>
        <w:pStyle w:val="BodyText"/>
        <w:numPr>
          <w:numId w:val="323"/>
        </w:numPr>
      </w:pPr>
      <w:r>
        <w:t>Follow the prompts to complete the wizard.</w:t>
      </w:r>
    </w:p>
    <w:p>
      <w:pPr>
        <w:pStyle w:val="BodyText"/>
      </w:pPr>
      <w:r>
        <w:rPr>
          <w:rStyle w:val="Strong"/>
        </w:rPr>
        <w:t>Results</w:t>
      </w:r>
    </w:p>
    <w:p>
      <w:pPr>
        <w:pStyle w:val="BodyText"/>
      </w:pPr>
      <w:r>
        <w:t xml:space="preserve">After you complete the wizard, the schedule is created and enabled. The new schedule appears in the </w:t>
      </w:r>
      <w:r>
        <w:rPr>
          <w:rStyle w:val="InlineUI"/>
        </w:rPr>
        <w:t>Schedules</w:t>
      </w:r>
      <w:r>
        <w:t xml:space="preserve"> section of the </w:t>
      </w:r>
      <w:r>
        <w:rPr>
          <w:rStyle w:val="InlineUI"/>
        </w:rPr>
        <w:t>Data Protection</w:t>
      </w:r>
      <w:r>
        <w:t xml:space="preserve"> tab for the cluster.</w:t>
      </w:r>
    </w:p>
    <w:p>
      <w:pPr>
        <w:pStyle w:val="BodyText"/>
      </w:pPr>
      <w:r>
        <w:rPr>
          <w:rStyle w:val="Strong"/>
        </w:rPr>
        <w:t>What to do next</w:t>
      </w:r>
    </w:p>
    <w:p>
      <w:pPr>
        <w:pStyle w:val="BodyText"/>
      </w:pPr>
      <w:r>
        <w:t>You can edit, pause, or delete a created backup schedule.</w:t>
      </w:r>
    </w:p>
    <w:p>
      <w:pPr>
        <w:pStyle w:val="BodyText"/>
      </w:pPr>
      <w:r>
        <w:t xml:space="preserve">To perform any of these actions, navigate to a schedule in the </w:t>
      </w:r>
      <w:r>
        <w:rPr>
          <w:rStyle w:val="InlineUI"/>
        </w:rPr>
        <w:t>Schedules</w:t>
      </w:r>
      <w:r>
        <w:t xml:space="preserve"> list, click the vertical ellipsis (</w:t>
      </w:r>
    </w:p>
    <w:p>
      <w:pPr>
        <w:pStyle w:val="BodyText"/>
      </w:pPr>
      <w:r>
        <w:drawing>
          <wp:inline>
            <wp:extent cx="132588" cy="137160"/>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46"/>
                    <a:stretch>
                      <a:fillRect/>
                    </a:stretch>
                  </pic:blipFill>
                  <pic:spPr>
                    <a:xfrm>
                      <a:off x="0" y="0"/>
                      <a:ext cx="132588" cy="137160"/>
                    </a:xfrm>
                    <a:prstGeom prst="rect">
                      <a:avLst/>
                    </a:prstGeom>
                  </pic:spPr>
                </pic:pic>
              </a:graphicData>
            </a:graphic>
          </wp:inline>
        </w:drawing>
      </w:r>
      <w:r>
        <w:t xml:space="preserve">), and select </w:t>
      </w:r>
      <w:r>
        <w:rPr>
          <w:rStyle w:val="InlineUI"/>
        </w:rPr>
        <w:t>Edit</w:t>
      </w:r>
      <w:r>
        <w:t xml:space="preserve">, </w:t>
      </w:r>
      <w:r>
        <w:rPr>
          <w:rStyle w:val="InlineUI"/>
        </w:rPr>
        <w:t>Pause</w:t>
      </w:r>
      <w:r>
        <w:t xml:space="preserve">, or </w:t>
      </w:r>
      <w:r>
        <w:rPr>
          <w:rStyle w:val="InlineUI"/>
        </w:rPr>
        <w:t>Delete</w:t>
      </w:r>
      <w:r>
        <w:t>.</w:t>
      </w:r>
    </w:p>
    <w:p>
      <w:pPr>
        <w:pStyle w:val="Heading4"/>
      </w:pPr>
      <w:bookmarkStart w:id="336" w:name="_Toc256000852"/>
      <w:r>
        <w:t>Back Up the Data Resources in Your VKS Cluster</w:t>
      </w:r>
      <w:bookmarkEnd w:id="336"/>
    </w:p>
    <w:p>
      <w:pPr>
        <w:pStyle w:val="BodyText"/>
      </w:pPr>
      <w:r>
        <w:t xml:space="preserve">Use </w:t>
      </w:r>
      <w:r>
        <w:t>VKS</w:t>
      </w:r>
      <w:r>
        <w:t xml:space="preserve"> cluster management to create backups of specified data resources in your cluster.</w:t>
      </w:r>
    </w:p>
    <w:p>
      <w:pPr>
        <w:pStyle w:val="BodyText"/>
      </w:pPr>
      <w:r>
        <w:rPr>
          <w:rStyle w:val="Strong"/>
        </w:rPr>
        <w:t>Prerequisites</w:t>
      </w:r>
    </w:p>
    <w:p>
      <w:pPr>
        <w:pStyle w:val="BodyText"/>
        <w:numPr>
          <w:numId w:val="324"/>
        </w:numPr>
      </w:pPr>
      <w:r>
        <w:t xml:space="preserve">Ensure that you have a target location created.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B5eb5e86894e747e7bd79c945db7f50ea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Target Location for Data Protection</w:t>
      </w:r>
      <w:r>
        <w:fldChar w:fldCharType="end"/>
      </w:r>
      <w:r>
        <w:t>.</w:t>
      </w:r>
    </w:p>
    <w:p>
      <w:pPr>
        <w:pStyle w:val="BodyText"/>
        <w:numPr>
          <w:numId w:val="324"/>
        </w:numPr>
      </w:pPr>
      <w:r>
        <w:t xml:space="preserve">Enable data protection for the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B7e415ae94ae541e58781928cd61077c6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Enable Data Protection for a VKS Cluster</w:t>
      </w:r>
      <w:r>
        <w:fldChar w:fldCharType="end"/>
      </w:r>
      <w:r>
        <w:t>.</w:t>
      </w:r>
    </w:p>
    <w:p>
      <w:pPr>
        <w:pStyle w:val="BodyText"/>
        <w:numPr>
          <w:numId w:val="324"/>
        </w:numPr>
      </w:pPr>
      <w:r>
        <w:t xml:space="preserve">If you want to back up persistent volumes using CSI snapshot, ensure that your cluster meets the CSI snapshot requirements.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B38a5825e051946a085d1ccb45c86d2a7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Using CSI Volume Backup</w:t>
      </w:r>
      <w:r>
        <w:fldChar w:fldCharType="end"/>
      </w:r>
      <w:r>
        <w:t>.</w:t>
      </w:r>
    </w:p>
    <w:p>
      <w:pPr>
        <w:pStyle w:val="BodyText"/>
        <w:numPr>
          <w:numId w:val="324"/>
        </w:numPr>
      </w:pPr>
      <w:r>
        <w:t>Verify that you are assigned one of the appropriate roles:</w:t>
      </w:r>
    </w:p>
    <w:p>
      <w:pPr>
        <w:pStyle w:val="BodyText"/>
        <w:numPr>
          <w:ilvl w:val="1"/>
          <w:numId w:val="324"/>
        </w:numPr>
      </w:pPr>
      <w:r>
        <w:rPr>
          <w:rStyle w:val="InlineUI"/>
        </w:rPr>
        <w:t>Organization Administrator</w:t>
      </w:r>
    </w:p>
    <w:p>
      <w:pPr>
        <w:pStyle w:val="BodyText"/>
        <w:numPr>
          <w:ilvl w:val="1"/>
          <w:numId w:val="324"/>
        </w:numPr>
      </w:pPr>
      <w:r>
        <w:rPr>
          <w:rStyle w:val="InlineUI"/>
        </w:rPr>
        <w:t>Project Administrator</w:t>
      </w:r>
    </w:p>
    <w:p>
      <w:pPr>
        <w:pStyle w:val="BodyText"/>
      </w:pPr>
      <w:r>
        <w:rPr>
          <w:rStyle w:val="Strong"/>
        </w:rPr>
        <w:t>Procedure</w:t>
      </w:r>
    </w:p>
    <w:p>
      <w:pPr>
        <w:pStyle w:val="BodyText"/>
        <w:numPr>
          <w:numId w:val="325"/>
        </w:numPr>
      </w:pPr>
      <w:r>
        <w:t xml:space="preserve">Log in to the </w:t>
      </w:r>
      <w:r>
        <w:t>VCF Automation</w:t>
      </w:r>
      <w:r>
        <w:t xml:space="preserve"> organization portal.</w:t>
      </w:r>
    </w:p>
    <w:p>
      <w:pPr>
        <w:pStyle w:val="BodyText"/>
        <w:numPr>
          <w:numId w:val="325"/>
        </w:numPr>
      </w:pPr>
      <w:r>
        <w:t xml:space="preserve">Click the </w:t>
      </w:r>
      <w:r>
        <w:rPr>
          <w:rStyle w:val="InlineUI"/>
        </w:rPr>
        <w:t>Manage &amp; Govern</w:t>
      </w:r>
      <w:r>
        <w:t xml:space="preserve"> tab.</w:t>
      </w:r>
    </w:p>
    <w:p>
      <w:pPr>
        <w:pStyle w:val="BodyText"/>
        <w:numPr>
          <w:numId w:val="325"/>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25"/>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25"/>
        </w:numPr>
      </w:pPr>
      <w:r>
        <w:t xml:space="preserve">Click a cluster from the list and click the </w:t>
      </w:r>
      <w:r>
        <w:rPr>
          <w:rStyle w:val="InlineUI"/>
        </w:rPr>
        <w:t>Data Protection</w:t>
      </w:r>
      <w:r>
        <w:t xml:space="preserve"> tab.</w:t>
      </w:r>
    </w:p>
    <w:p>
      <w:pPr>
        <w:pStyle w:val="BodyText"/>
        <w:numPr>
          <w:numId w:val="325"/>
        </w:numPr>
      </w:pPr>
      <w:r>
        <w:t xml:space="preserve">In the </w:t>
      </w:r>
      <w:r>
        <w:rPr>
          <w:rStyle w:val="InlineUI"/>
        </w:rPr>
        <w:t>Backups</w:t>
      </w:r>
      <w:r>
        <w:t xml:space="preserve"> section, click the </w:t>
      </w:r>
      <w:r>
        <w:rPr>
          <w:rStyle w:val="InlineUI"/>
        </w:rPr>
        <w:t>Create backup</w:t>
      </w:r>
      <w:r>
        <w:t xml:space="preserve"> button.</w:t>
      </w:r>
    </w:p>
    <w:p>
      <w:pPr>
        <w:pStyle w:val="BodyText"/>
        <w:ind w:left="480"/>
      </w:pPr>
      <w:r>
        <w:t xml:space="preserve">The </w:t>
      </w:r>
      <w:r>
        <w:rPr>
          <w:rStyle w:val="InlineUI"/>
        </w:rPr>
        <w:t>Create backup</w:t>
      </w:r>
      <w:r>
        <w:t xml:space="preserve"> wizard opens.</w:t>
      </w:r>
    </w:p>
    <w:p>
      <w:pPr>
        <w:pStyle w:val="BodyText"/>
        <w:numPr>
          <w:numId w:val="325"/>
        </w:numPr>
      </w:pPr>
      <w:r>
        <w:t xml:space="preserve">In the </w:t>
      </w:r>
      <w:r>
        <w:rPr>
          <w:rStyle w:val="InlineUI"/>
        </w:rPr>
        <w:t>What Kubernetes resources to backup</w:t>
      </w:r>
      <w:r>
        <w:t xml:space="preserve"> section, specify the scope of the backup.</w:t>
      </w:r>
    </w:p>
    <w:p>
      <w:pPr>
        <w:pStyle w:val="BodyText"/>
        <w:numPr>
          <w:ilvl w:val="1"/>
          <w:numId w:val="325"/>
        </w:numPr>
      </w:pPr>
      <w:r>
        <w:t>Select what resources to back up.</w:t>
      </w:r>
    </w:p>
    <w:p>
      <w:pPr>
        <w:pStyle w:val="BodyText"/>
        <w:numPr>
          <w:ilvl w:val="1"/>
          <w:numId w:val="325"/>
        </w:numPr>
      </w:pPr>
      <w:r>
        <w:t xml:space="preserve">(Optional) Configure advanced options for the backup and click </w:t>
      </w:r>
      <w:r>
        <w:rPr>
          <w:rStyle w:val="InlineUI"/>
        </w:rPr>
        <w:t>Next</w:t>
      </w:r>
      <w:r>
        <w:t>.</w:t>
      </w:r>
    </w:p>
    <w:p>
      <w:pPr>
        <w:pStyle w:val="BodyText"/>
        <w:numPr>
          <w:ilvl w:val="1"/>
          <w:numId w:val="325"/>
        </w:numPr>
      </w:pPr>
      <w:r>
        <w:rPr>
          <w:rStyle w:val="InlineUI"/>
        </w:rPr>
        <w:t>Exclude cluster-scoped resources</w:t>
      </w:r>
    </w:p>
    <w:p>
      <w:pPr>
        <w:pStyle w:val="BodyText"/>
        <w:ind w:left="960"/>
      </w:pPr>
      <w:r>
        <w:t>By using this option, you can specify cluster-scoped resources that you want to exclude from the backup.</w:t>
      </w:r>
    </w:p>
    <w:p>
      <w:pPr>
        <w:pStyle w:val="BodyText"/>
        <w:numPr>
          <w:ilvl w:val="1"/>
          <w:numId w:val="325"/>
        </w:numPr>
      </w:pPr>
      <w:r>
        <w:rPr>
          <w:rStyle w:val="InlineUI"/>
        </w:rPr>
        <w:t>Exclude namespace-scoped resources</w:t>
      </w:r>
    </w:p>
    <w:p>
      <w:pPr>
        <w:pStyle w:val="BodyText"/>
        <w:ind w:left="960"/>
      </w:pPr>
      <w:r>
        <w:t>By using this option, you can specify a list of resource types that will not be included in the backup.</w:t>
      </w:r>
    </w:p>
    <w:p>
      <w:pPr>
        <w:pStyle w:val="BodyText"/>
        <w:numPr>
          <w:ilvl w:val="1"/>
          <w:numId w:val="325"/>
        </w:numPr>
      </w:pPr>
      <w:r>
        <w:rPr>
          <w:rStyle w:val="InlineUI"/>
        </w:rPr>
        <w:t>Excluded namespaces</w:t>
      </w:r>
    </w:p>
    <w:p>
      <w:pPr>
        <w:pStyle w:val="BodyText"/>
        <w:ind w:left="960"/>
      </w:pPr>
      <w:r>
        <w:t xml:space="preserve">By using this option, you can specify a list of namespaces to be excluded from the backup. This list must include </w:t>
      </w:r>
      <w:r>
        <w:rPr>
          <w:rStyle w:val="InlineCode"/>
        </w:rPr>
        <w:t>vmware-system-*</w:t>
      </w:r>
      <w:r>
        <w:t xml:space="preserve"> namespaces. </w:t>
      </w:r>
      <w:r>
        <w:t>VKS</w:t>
      </w:r>
      <w:r>
        <w:t xml:space="preserve"> cluster management backs up all other namespaces in the cluster except for the ones included in this list. This option is not available for selected namespace backups.</w:t>
      </w:r>
    </w:p>
    <w:p>
      <w:pPr>
        <w:pStyle w:val="BodyText"/>
        <w:numPr>
          <w:ilvl w:val="1"/>
          <w:numId w:val="325"/>
        </w:numPr>
      </w:pPr>
      <w:r>
        <w:rPr>
          <w:rStyle w:val="InlineUI"/>
        </w:rPr>
        <w:t>Include namespace scoped resources</w:t>
      </w:r>
    </w:p>
    <w:p>
      <w:pPr>
        <w:pStyle w:val="BodyText"/>
        <w:ind w:left="960"/>
      </w:pPr>
      <w:r>
        <w:t>By using this option, you can select specific namespace-scoped resources that you want to include in the backup.</w:t>
      </w:r>
    </w:p>
    <w:p>
      <w:pPr>
        <w:pStyle w:val="BodyText"/>
        <w:numPr>
          <w:ilvl w:val="1"/>
          <w:numId w:val="325"/>
        </w:numPr>
      </w:pPr>
      <w:r>
        <w:rPr>
          <w:rStyle w:val="InlineUI"/>
        </w:rPr>
        <w:t>Include cluster scoped resources</w:t>
      </w:r>
    </w:p>
    <w:p>
      <w:pPr>
        <w:pStyle w:val="BodyText"/>
        <w:ind w:left="960"/>
      </w:pPr>
      <w:r>
        <w:t>By activating the toggle, you can select specific cluster-scoped resources that you want to include in the backup. By default, cluster-scoped resources are backed up if you opt to backup the entire cluster or to backup resources identified by a label selector.</w:t>
      </w:r>
    </w:p>
    <w:p>
      <w:pPr>
        <w:pStyle w:val="BodyText"/>
        <w:numPr>
          <w:numId w:val="325"/>
        </w:numPr>
      </w:pPr>
      <w:r>
        <w:t xml:space="preserve">In the </w:t>
      </w:r>
      <w:r>
        <w:rPr>
          <w:rStyle w:val="InlineUI"/>
        </w:rPr>
        <w:t>How to backup volumes</w:t>
      </w:r>
      <w:r>
        <w:t xml:space="preserve"> section, specify the volume backup method, either FSB or CSI.</w:t>
      </w:r>
    </w:p>
    <w:p>
      <w:pPr>
        <w:pStyle w:val="BodyText"/>
        <w:ind w:left="480"/>
      </w:pPr>
      <w:r>
        <w:t>By default all volumes are backed up using the FSB opt-out approach. You can optionally select between the opt-in and opt-out approach.</w:t>
      </w:r>
    </w:p>
    <w:p>
      <w:pPr>
        <w:pStyle w:val="BodyText"/>
        <w:ind w:left="480"/>
      </w:pPr>
      <w:r>
        <w:t xml:space="preserve">Select </w:t>
      </w:r>
      <w:r>
        <w:rPr>
          <w:rStyle w:val="InlineUI"/>
        </w:rPr>
        <w:t>Use CSI snapshot backup for persistent volumes</w:t>
      </w:r>
      <w:r>
        <w:t xml:space="preserve"> if you want to take CSI snapshots of the remaining persistent volumes that are not backed up using FSB. For information about the requirements for using CSI snapshot,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B38a5825e051946a085d1ccb45c86d2a7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Using CSI Volume Backup</w:t>
      </w:r>
      <w:r>
        <w:fldChar w:fldCharType="end"/>
      </w:r>
      <w:r>
        <w:t>.</w:t>
      </w:r>
    </w:p>
    <w:p>
      <w:pPr>
        <w:pStyle w:val="BodyText"/>
        <w:ind w:left="480"/>
      </w:pPr>
      <w:r>
        <w:t xml:space="preserve">For more information about how FSB and CSI work,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B3a45e77c89cc4abca90d67fa62cee7b6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Backing Up and Restoring VKS Clusters and VKS Cluster Namespaces with VKS Cluster Management</w:t>
      </w:r>
      <w:r>
        <w:fldChar w:fldCharType="end"/>
      </w:r>
      <w:r>
        <w:t>.</w:t>
      </w:r>
    </w:p>
    <w:p>
      <w:pPr>
        <w:pStyle w:val="BodyText"/>
        <w:numPr>
          <w:numId w:val="325"/>
        </w:numPr>
      </w:pPr>
      <w:r>
        <w:t xml:space="preserve">In the </w:t>
      </w:r>
      <w:r>
        <w:rPr>
          <w:rStyle w:val="InlineUI"/>
        </w:rPr>
        <w:t>Where to store the backup</w:t>
      </w:r>
      <w:r>
        <w:t xml:space="preserve"> section, select a target location and click </w:t>
      </w:r>
      <w:r>
        <w:rPr>
          <w:rStyle w:val="InlineUI"/>
        </w:rPr>
        <w:t>Next</w:t>
      </w:r>
      <w:r>
        <w:t>.</w:t>
      </w:r>
    </w:p>
    <w:p>
      <w:pPr>
        <w:pStyle w:val="BodyText"/>
        <w:numPr>
          <w:numId w:val="325"/>
        </w:numPr>
      </w:pPr>
      <w:r>
        <w:t xml:space="preserve">In the </w:t>
      </w:r>
      <w:r>
        <w:rPr>
          <w:rStyle w:val="InlineUI"/>
        </w:rPr>
        <w:t>When to backup</w:t>
      </w:r>
      <w:r>
        <w:t xml:space="preserve"> section, specify the schedule for the backup and click </w:t>
      </w:r>
      <w:r>
        <w:rPr>
          <w:rStyle w:val="InlineUI"/>
        </w:rPr>
        <w:t>Next</w:t>
      </w:r>
      <w:r>
        <w:t>.</w:t>
      </w:r>
    </w:p>
    <w:p>
      <w:pPr>
        <w:pStyle w:val="BodyText"/>
        <w:ind w:left="480"/>
      </w:pPr>
      <w:r>
        <w:t xml:space="preserve">You can select </w:t>
      </w:r>
      <w:r>
        <w:rPr>
          <w:rStyle w:val="InlineUI"/>
        </w:rPr>
        <w:t>Now</w:t>
      </w:r>
      <w:r>
        <w:t xml:space="preserve"> to queue the backup immediately upon completion of this workflow, or select one of the recurring schedule formats and provide a targeted start time. You can also select </w:t>
      </w:r>
      <w:r>
        <w:rPr>
          <w:rStyle w:val="InlineUI"/>
        </w:rPr>
        <w:t>Custom</w:t>
      </w:r>
      <w:r>
        <w:t>, and provide a cron expression to specify the schedule for your backup.</w:t>
      </w:r>
    </w:p>
    <w:p>
      <w:pPr>
        <w:pStyle w:val="BodyText"/>
        <w:numPr>
          <w:numId w:val="325"/>
        </w:numPr>
      </w:pPr>
      <w:r>
        <w:t xml:space="preserve">In the </w:t>
      </w:r>
      <w:r>
        <w:rPr>
          <w:rStyle w:val="InlineUI"/>
        </w:rPr>
        <w:t>Back up retention</w:t>
      </w:r>
      <w:r>
        <w:t xml:space="preserve"> section, specify how long to retain the backup, and then click </w:t>
      </w:r>
      <w:r>
        <w:rPr>
          <w:rStyle w:val="InlineUI"/>
        </w:rPr>
        <w:t>Next</w:t>
      </w:r>
      <w:r>
        <w:t>.</w:t>
      </w:r>
    </w:p>
    <w:p>
      <w:pPr>
        <w:pStyle w:val="BodyText"/>
        <w:numPr>
          <w:numId w:val="325"/>
        </w:numPr>
      </w:pPr>
      <w:r>
        <w:t xml:space="preserve">In the </w:t>
      </w:r>
      <w:r>
        <w:rPr>
          <w:rStyle w:val="InlineUI"/>
        </w:rPr>
        <w:t>Name and create</w:t>
      </w:r>
      <w:r>
        <w:t xml:space="preserve"> section, enter a name for the backup.</w:t>
      </w:r>
    </w:p>
    <w:p>
      <w:pPr>
        <w:pStyle w:val="BodyText"/>
        <w:ind w:left="480"/>
      </w:pPr>
      <w:r>
        <w:t>The name that you provide can consist of lowercase letters, numbers, and hyphens.</w:t>
      </w:r>
    </w:p>
    <w:p>
      <w:pPr>
        <w:pStyle w:val="BodyText"/>
        <w:numPr>
          <w:numId w:val="325"/>
        </w:numPr>
      </w:pPr>
      <w:r>
        <w:t xml:space="preserve">Click the </w:t>
      </w:r>
      <w:r>
        <w:rPr>
          <w:rStyle w:val="InlineUI"/>
        </w:rPr>
        <w:t>Create</w:t>
      </w:r>
      <w:r>
        <w:t xml:space="preserve"> button.</w:t>
      </w:r>
    </w:p>
    <w:p>
      <w:pPr>
        <w:pStyle w:val="BodyText"/>
      </w:pPr>
      <w:r>
        <w:rPr>
          <w:rStyle w:val="Strong"/>
        </w:rPr>
        <w:t>Results</w:t>
      </w:r>
    </w:p>
    <w:p>
      <w:pPr>
        <w:pStyle w:val="BodyText"/>
      </w:pPr>
      <w:r>
        <w:t xml:space="preserve">The </w:t>
      </w:r>
      <w:r>
        <w:t>VKS</w:t>
      </w:r>
      <w:r>
        <w:t xml:space="preserve"> cluster management schedules the process of backing up the resources you specified, and then returns you to the </w:t>
      </w:r>
      <w:r>
        <w:rPr>
          <w:rStyle w:val="InlineUI"/>
        </w:rPr>
        <w:t>Data Protection</w:t>
      </w:r>
      <w:r>
        <w:t xml:space="preserve"> tab, where you can see the status of the backup operation and the backup listed in the </w:t>
      </w:r>
      <w:r>
        <w:rPr>
          <w:rStyle w:val="InlineUI"/>
        </w:rPr>
        <w:t>Backups</w:t>
      </w:r>
      <w:r>
        <w:t xml:space="preserve"> section.</w:t>
      </w:r>
    </w:p>
    <w:p>
      <w:pPr>
        <w:pStyle w:val="Heading4"/>
      </w:pPr>
      <w:bookmarkStart w:id="337" w:name="_Toc256000853"/>
      <w:r>
        <w:t>View the Contents of a VKS Cluster Backup</w:t>
      </w:r>
      <w:bookmarkEnd w:id="337"/>
    </w:p>
    <w:p>
      <w:pPr>
        <w:pStyle w:val="BodyText"/>
      </w:pPr>
      <w:r>
        <w:t xml:space="preserve">Use </w:t>
      </w:r>
      <w:r>
        <w:t>VKS</w:t>
      </w:r>
      <w:r>
        <w:t xml:space="preserve"> cluster management to view the contents of a backup of data resources from your cluster.</w:t>
      </w:r>
    </w:p>
    <w:p>
      <w:pPr>
        <w:pStyle w:val="BodyText"/>
      </w:pPr>
      <w:r>
        <w:rPr>
          <w:rStyle w:val="Strong"/>
        </w:rPr>
        <w:t>Prerequisites</w:t>
      </w:r>
    </w:p>
    <w:p>
      <w:pPr>
        <w:pStyle w:val="BodyText"/>
        <w:numPr>
          <w:numId w:val="326"/>
        </w:numPr>
      </w:pPr>
      <w:r>
        <w:t>Verify that you are assigned one of the appropriate roles:</w:t>
      </w:r>
    </w:p>
    <w:p>
      <w:pPr>
        <w:pStyle w:val="BodyText"/>
        <w:numPr>
          <w:ilvl w:val="1"/>
          <w:numId w:val="326"/>
        </w:numPr>
      </w:pPr>
      <w:r>
        <w:rPr>
          <w:rStyle w:val="InlineUI"/>
        </w:rPr>
        <w:t>Organization Administrator</w:t>
      </w:r>
    </w:p>
    <w:p>
      <w:pPr>
        <w:pStyle w:val="BodyText"/>
        <w:numPr>
          <w:ilvl w:val="1"/>
          <w:numId w:val="326"/>
        </w:numPr>
      </w:pPr>
      <w:r>
        <w:rPr>
          <w:rStyle w:val="InlineUI"/>
        </w:rPr>
        <w:t>Project Administrator</w:t>
      </w:r>
    </w:p>
    <w:p>
      <w:pPr>
        <w:pStyle w:val="BodyText"/>
      </w:pPr>
      <w:r>
        <w:rPr>
          <w:rStyle w:val="Strong"/>
        </w:rPr>
        <w:t>Procedure</w:t>
      </w:r>
    </w:p>
    <w:p>
      <w:pPr>
        <w:pStyle w:val="BodyText"/>
        <w:numPr>
          <w:numId w:val="327"/>
        </w:numPr>
      </w:pPr>
      <w:r>
        <w:t xml:space="preserve">Log in to the </w:t>
      </w:r>
      <w:r>
        <w:t>VCF Automation</w:t>
      </w:r>
      <w:r>
        <w:t xml:space="preserve"> organization portal.</w:t>
      </w:r>
    </w:p>
    <w:p>
      <w:pPr>
        <w:pStyle w:val="BodyText"/>
        <w:numPr>
          <w:numId w:val="327"/>
        </w:numPr>
      </w:pPr>
      <w:r>
        <w:t xml:space="preserve">Click the </w:t>
      </w:r>
      <w:r>
        <w:rPr>
          <w:rStyle w:val="InlineUI"/>
        </w:rPr>
        <w:t>Manage &amp; Govern</w:t>
      </w:r>
      <w:r>
        <w:t xml:space="preserve"> tab.</w:t>
      </w:r>
    </w:p>
    <w:p>
      <w:pPr>
        <w:pStyle w:val="BodyText"/>
        <w:numPr>
          <w:numId w:val="327"/>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27"/>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27"/>
        </w:numPr>
      </w:pPr>
      <w:r>
        <w:t xml:space="preserve">Click a cluster from the list and click the </w:t>
      </w:r>
      <w:r>
        <w:rPr>
          <w:rStyle w:val="InlineUI"/>
        </w:rPr>
        <w:t>Data Protection</w:t>
      </w:r>
      <w:r>
        <w:t xml:space="preserve"> tab.</w:t>
      </w:r>
    </w:p>
    <w:p>
      <w:pPr>
        <w:pStyle w:val="BodyText"/>
        <w:numPr>
          <w:numId w:val="327"/>
        </w:numPr>
      </w:pPr>
      <w:r>
        <w:t xml:space="preserve">In the </w:t>
      </w:r>
      <w:r>
        <w:rPr>
          <w:rStyle w:val="InlineUI"/>
        </w:rPr>
        <w:t>Backups</w:t>
      </w:r>
      <w:r>
        <w:t xml:space="preserve"> section, click a backup from the list of backups.</w:t>
      </w:r>
    </w:p>
    <w:p>
      <w:pPr>
        <w:pStyle w:val="BodyText"/>
      </w:pPr>
      <w:r>
        <w:rPr>
          <w:rStyle w:val="Strong"/>
        </w:rPr>
        <w:t>Results</w:t>
      </w:r>
    </w:p>
    <w:p>
      <w:pPr>
        <w:pStyle w:val="BodyText"/>
      </w:pPr>
      <w:r>
        <w:t>You see a summary for the selected backup. You can see the scope of the backup, advanced options, namespaces and the persistent volumes that are backed up.</w:t>
      </w:r>
    </w:p>
    <w:p>
      <w:pPr>
        <w:pStyle w:val="Heading4"/>
      </w:pPr>
      <w:bookmarkStart w:id="338" w:name="_Toc256000854"/>
      <w:r>
        <w:t>Restore a VKS Cluster Backup</w:t>
      </w:r>
      <w:bookmarkEnd w:id="338"/>
    </w:p>
    <w:p>
      <w:pPr>
        <w:pStyle w:val="BodyText"/>
      </w:pPr>
      <w:r>
        <w:t>You can restore the data from a backup operation that might include an entire cluster or a subset of the data resources it contains.</w:t>
      </w:r>
    </w:p>
    <w:p>
      <w:pPr>
        <w:pStyle w:val="BodyText"/>
      </w:pPr>
      <w:r>
        <w:rPr>
          <w:rStyle w:val="Strong"/>
        </w:rPr>
        <w:t>Prerequisites</w:t>
      </w:r>
    </w:p>
    <w:p>
      <w:pPr>
        <w:pStyle w:val="BodyText"/>
        <w:numPr>
          <w:numId w:val="328"/>
        </w:numPr>
      </w:pPr>
      <w:r>
        <w:t>Verify that you are assigned one of the appropriate roles:</w:t>
      </w:r>
    </w:p>
    <w:p>
      <w:pPr>
        <w:pStyle w:val="BodyText"/>
        <w:numPr>
          <w:ilvl w:val="1"/>
          <w:numId w:val="328"/>
        </w:numPr>
      </w:pPr>
      <w:r>
        <w:rPr>
          <w:rStyle w:val="InlineUI"/>
        </w:rPr>
        <w:t>Organization Administrator</w:t>
      </w:r>
    </w:p>
    <w:p>
      <w:pPr>
        <w:pStyle w:val="BodyText"/>
        <w:numPr>
          <w:ilvl w:val="1"/>
          <w:numId w:val="328"/>
        </w:numPr>
      </w:pPr>
      <w:r>
        <w:rPr>
          <w:rStyle w:val="InlineUI"/>
        </w:rPr>
        <w:t>Project Administrator</w:t>
      </w:r>
    </w:p>
    <w:p>
      <w:pPr>
        <w:pStyle w:val="BodyText"/>
      </w:pPr>
      <w:r>
        <w:rPr>
          <w:rStyle w:val="Strong"/>
        </w:rPr>
        <w:t>Procedure</w:t>
      </w:r>
    </w:p>
    <w:p>
      <w:pPr>
        <w:pStyle w:val="BodyText"/>
        <w:numPr>
          <w:numId w:val="329"/>
        </w:numPr>
      </w:pPr>
      <w:r>
        <w:t xml:space="preserve">Log in to the </w:t>
      </w:r>
      <w:r>
        <w:t>VCF Automation</w:t>
      </w:r>
      <w:r>
        <w:t xml:space="preserve"> organization portal.</w:t>
      </w:r>
    </w:p>
    <w:p>
      <w:pPr>
        <w:pStyle w:val="BodyText"/>
        <w:numPr>
          <w:numId w:val="329"/>
        </w:numPr>
      </w:pPr>
      <w:r>
        <w:t xml:space="preserve">Click the </w:t>
      </w:r>
      <w:r>
        <w:rPr>
          <w:rStyle w:val="InlineUI"/>
        </w:rPr>
        <w:t>Manage &amp; Govern</w:t>
      </w:r>
      <w:r>
        <w:t xml:space="preserve"> tab.</w:t>
      </w:r>
    </w:p>
    <w:p>
      <w:pPr>
        <w:pStyle w:val="BodyText"/>
        <w:numPr>
          <w:numId w:val="329"/>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29"/>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29"/>
        </w:numPr>
      </w:pPr>
      <w:r>
        <w:t xml:space="preserve">Click a cluster from the list and click the </w:t>
      </w:r>
      <w:r>
        <w:rPr>
          <w:rStyle w:val="InlineUI"/>
        </w:rPr>
        <w:t>Data Protection</w:t>
      </w:r>
      <w:r>
        <w:t xml:space="preserve"> tab.</w:t>
      </w:r>
    </w:p>
    <w:p>
      <w:pPr>
        <w:pStyle w:val="BodyText"/>
        <w:numPr>
          <w:numId w:val="329"/>
        </w:numPr>
      </w:pPr>
      <w:r>
        <w:t xml:space="preserve">In the </w:t>
      </w:r>
      <w:r>
        <w:rPr>
          <w:rStyle w:val="InlineUI"/>
        </w:rPr>
        <w:t>Backups</w:t>
      </w:r>
      <w:r>
        <w:t xml:space="preserve"> section, click the vertical ellipsis for a backup from backups list and select </w:t>
      </w:r>
      <w:r>
        <w:rPr>
          <w:rStyle w:val="InlineUI"/>
        </w:rPr>
        <w:t>Restore</w:t>
      </w:r>
      <w:r>
        <w:t>.</w:t>
      </w:r>
    </w:p>
    <w:p>
      <w:pPr>
        <w:pStyle w:val="BodyText"/>
        <w:numPr>
          <w:numId w:val="329"/>
        </w:numPr>
      </w:pPr>
      <w:r>
        <w:t xml:space="preserve">In the </w:t>
      </w:r>
      <w:r>
        <w:rPr>
          <w:rStyle w:val="InlineUI"/>
        </w:rPr>
        <w:t>What Kubernetes resources to restore</w:t>
      </w:r>
      <w:r>
        <w:t xml:space="preserve"> section, specify the scope of the restore.</w:t>
      </w:r>
    </w:p>
    <w:p>
      <w:pPr>
        <w:pStyle w:val="BodyText"/>
        <w:numPr>
          <w:ilvl w:val="1"/>
          <w:numId w:val="329"/>
        </w:numPr>
      </w:pPr>
      <w:r>
        <w:t>Select what resources to restore.</w:t>
      </w:r>
    </w:p>
    <w:p>
      <w:pPr>
        <w:pStyle w:val="BodyText"/>
        <w:numPr>
          <w:ilvl w:val="1"/>
          <w:numId w:val="329"/>
        </w:numPr>
      </w:pPr>
      <w:r>
        <w:t xml:space="preserve">(Optional) Configure advanced options for the restore and click </w:t>
      </w:r>
      <w:r>
        <w:rPr>
          <w:rStyle w:val="InlineUI"/>
        </w:rPr>
        <w:t>Next</w:t>
      </w:r>
      <w:r>
        <w:t>.</w:t>
      </w:r>
    </w:p>
    <w:p>
      <w:pPr>
        <w:pStyle w:val="BodyText"/>
        <w:numPr>
          <w:numId w:val="329"/>
        </w:numPr>
      </w:pPr>
      <w:r>
        <w:t xml:space="preserve">In the </w:t>
      </w:r>
      <w:r>
        <w:rPr>
          <w:rStyle w:val="InlineUI"/>
        </w:rPr>
        <w:t>What volumes to restore</w:t>
      </w:r>
      <w:r>
        <w:t xml:space="preserve"> section, review and select the persistent volumes available to restore.</w:t>
      </w:r>
    </w:p>
    <w:p>
      <w:pPr>
        <w:pStyle w:val="BodyText"/>
        <w:ind w:left="480"/>
      </w:pPr>
      <w:r>
        <w:t>File system backups are included in the restore by default. You can optionally select to restore CSI volume snapshots.</w:t>
      </w:r>
    </w:p>
    <w:p>
      <w:pPr>
        <w:pStyle w:val="BodyText"/>
        <w:numPr>
          <w:numId w:val="329"/>
        </w:numPr>
      </w:pPr>
      <w:r>
        <w:t xml:space="preserve">In the </w:t>
      </w:r>
      <w:r>
        <w:rPr>
          <w:rStyle w:val="InlineUI"/>
        </w:rPr>
        <w:t>Name and create</w:t>
      </w:r>
      <w:r>
        <w:t xml:space="preserve"> section, enter a name for the backup.</w:t>
      </w:r>
    </w:p>
    <w:p>
      <w:pPr>
        <w:pStyle w:val="BodyText"/>
        <w:numPr>
          <w:numId w:val="329"/>
        </w:numPr>
      </w:pPr>
      <w:r>
        <w:t xml:space="preserve">Click the </w:t>
      </w:r>
      <w:r>
        <w:rPr>
          <w:rStyle w:val="InlineUI"/>
        </w:rPr>
        <w:t>Restore</w:t>
      </w:r>
      <w:r>
        <w:t xml:space="preserve"> button.</w:t>
      </w:r>
    </w:p>
    <w:p>
      <w:pPr>
        <w:pStyle w:val="BodyText"/>
      </w:pPr>
      <w:r>
        <w:rPr>
          <w:rStyle w:val="Strong"/>
        </w:rPr>
        <w:t>Results</w:t>
      </w:r>
    </w:p>
    <w:p>
      <w:pPr>
        <w:pStyle w:val="BodyText"/>
      </w:pPr>
      <w:r>
        <w:t xml:space="preserve">The restore is created. It is displayed in the </w:t>
      </w:r>
      <w:r>
        <w:rPr>
          <w:rStyle w:val="InlineUI"/>
        </w:rPr>
        <w:t>Restores</w:t>
      </w:r>
      <w:r>
        <w:t xml:space="preserve"> section of the </w:t>
      </w:r>
      <w:r>
        <w:rPr>
          <w:rStyle w:val="InlineUI"/>
        </w:rPr>
        <w:t>Data Protection</w:t>
      </w:r>
      <w:r>
        <w:t xml:space="preserve"> tab for the cluster.</w:t>
      </w:r>
    </w:p>
    <w:p>
      <w:pPr>
        <w:pStyle w:val="Heading4"/>
      </w:pPr>
      <w:bookmarkStart w:id="339" w:name="B835f8906dcb4423fbf9f1c09de328176"/>
      <w:bookmarkStart w:id="340" w:name="_Toc256000855"/>
      <w:r>
        <w:t>Restore a VKS Cluster Backup To a Different Cluster</w:t>
      </w:r>
      <w:bookmarkEnd w:id="340"/>
      <w:bookmarkEnd w:id="339"/>
    </w:p>
    <w:p>
      <w:pPr>
        <w:pStyle w:val="BodyText"/>
      </w:pPr>
      <w:r>
        <w:t xml:space="preserve">When you create a backup using </w:t>
      </w:r>
      <w:r>
        <w:t>VKS</w:t>
      </w:r>
      <w:r>
        <w:t xml:space="preserve"> cluster management, that backup is available to restore to other clusters in your organization. So, you can create a backup of one cluster and restore it to a different cluster.</w:t>
      </w:r>
    </w:p>
    <w:p>
      <w:pPr>
        <w:pStyle w:val="BodyText"/>
      </w:pPr>
      <w:r>
        <w:t xml:space="preserve">When you migrate workloads between clusters of different versions of Kubernetes, consider the availability of resources in each version and the compatibility of API groups for each custom resource. For example, starting with Kubernetes v1.22, the </w:t>
      </w:r>
      <w:r>
        <w:rPr>
          <w:rStyle w:val="InlineCode"/>
        </w:rPr>
        <w:t>IngressClass</w:t>
      </w:r>
      <w:r>
        <w:t xml:space="preserve"> in </w:t>
      </w:r>
      <w:r>
        <w:rPr>
          <w:rStyle w:val="InlineCode"/>
        </w:rPr>
        <w:t>networking.k8s.io/v1beta1</w:t>
      </w:r>
      <w:r>
        <w:t xml:space="preserve"> API is no longer supported.</w:t>
      </w:r>
    </w:p>
    <w:p>
      <w:pPr>
        <w:pStyle w:val="BodyText"/>
        <w:pBdr>
          <w:top w:val="single" w:sz="8" w:space="2" w:color="D3D3D3"/>
        </w:pBdr>
      </w:pPr>
      <w:r>
        <w:rPr>
          <w:rStyle w:val="NoteLeadernote"/>
        </w:rPr>
        <w:t>Note</w:t>
        <w:tab/>
      </w:r>
      <w:r>
        <w:t>If the source and target clusters are running different Kubernetes versions, restoring to a cluster running an earlier Kuberenetes version can cause incompatibility of core API groups and other issues associated with feature availability.</w:t>
      </w:r>
    </w:p>
    <w:p>
      <w:pPr>
        <w:pStyle w:val="BodyText"/>
        <w:pBdr>
          <w:bottom w:val="single" w:sz="8" w:space="2" w:color="D3D3D3"/>
        </w:pBdr>
      </w:pPr>
      <w:r>
        <w:t>Restoring to a cluster running a later Kubernetes version causes incompatibility of core API groups, so you must update the impacted custom resources in the source cluster before creating the backup.</w:t>
      </w:r>
    </w:p>
    <w:p>
      <w:pPr>
        <w:pStyle w:val="BodyText"/>
      </w:pPr>
      <w:r>
        <w:t>You can restore a backup that contains volume snapshots to another cluster only if both clusters share the same cloud provider account. Before you perform such a restore, consider the following implications:</w:t>
      </w:r>
    </w:p>
    <w:p>
      <w:pPr>
        <w:pStyle w:val="BodyText"/>
        <w:numPr>
          <w:numId w:val="330"/>
        </w:numPr>
      </w:pPr>
      <w:r>
        <w:t>By default, persistent volume claims (PVCs) might fail to bind to volumes because the appropriate storage class from the source cluster doesn’t exist in the target cluster. To ensure your volumes can bind, use a proper storage class map. See the official Velero documentation for more information.</w:t>
      </w:r>
    </w:p>
    <w:p>
      <w:pPr>
        <w:pStyle w:val="BodyText"/>
        <w:numPr>
          <w:numId w:val="330"/>
        </w:numPr>
      </w:pPr>
      <w:r>
        <w:t>Custom resources from the source cluster might not exist in the target cluster. To prevent this issue, you can exclude resources when you restore.</w:t>
      </w:r>
    </w:p>
    <w:p>
      <w:pPr>
        <w:pStyle w:val="BodyText"/>
        <w:numPr>
          <w:numId w:val="330"/>
        </w:numPr>
      </w:pPr>
      <w:r>
        <w:t>Resource differences between the source and target cluster might impact functionality. Some packages install webhooks that can cause issues when the source and target are not the same cluster. To prevent this issue, you can exclude resources when you restore.</w:t>
      </w:r>
    </w:p>
    <w:p>
      <w:pPr>
        <w:pStyle w:val="BodyText"/>
      </w:pPr>
      <w:r>
        <w:rPr>
          <w:rStyle w:val="Strong"/>
        </w:rPr>
        <w:t>Prerequisites</w:t>
      </w:r>
    </w:p>
    <w:p>
      <w:pPr>
        <w:pStyle w:val="BodyText"/>
        <w:numPr>
          <w:numId w:val="331"/>
        </w:numPr>
      </w:pPr>
      <w:r>
        <w:t>Verify that you are assigned one of the appropriate roles:</w:t>
      </w:r>
    </w:p>
    <w:p>
      <w:pPr>
        <w:pStyle w:val="BodyText"/>
        <w:numPr>
          <w:ilvl w:val="1"/>
          <w:numId w:val="331"/>
        </w:numPr>
      </w:pPr>
      <w:r>
        <w:rPr>
          <w:rStyle w:val="InlineUI"/>
        </w:rPr>
        <w:t>Organization Administrator</w:t>
      </w:r>
    </w:p>
    <w:p>
      <w:pPr>
        <w:pStyle w:val="BodyText"/>
        <w:numPr>
          <w:ilvl w:val="1"/>
          <w:numId w:val="331"/>
        </w:numPr>
      </w:pPr>
      <w:r>
        <w:rPr>
          <w:rStyle w:val="InlineUI"/>
        </w:rPr>
        <w:t>Project Administrator</w:t>
      </w:r>
    </w:p>
    <w:p>
      <w:pPr>
        <w:pStyle w:val="BodyText"/>
      </w:pPr>
      <w:r>
        <w:rPr>
          <w:rStyle w:val="Strong"/>
        </w:rPr>
        <w:t>Procedure</w:t>
      </w:r>
    </w:p>
    <w:p>
      <w:pPr>
        <w:pStyle w:val="BodyText"/>
        <w:numPr>
          <w:numId w:val="332"/>
        </w:numPr>
      </w:pPr>
      <w:r>
        <w:t xml:space="preserve">Log in to the </w:t>
      </w:r>
      <w:r>
        <w:t>VCF Automation</w:t>
      </w:r>
      <w:r>
        <w:t xml:space="preserve"> organization portal.</w:t>
      </w:r>
    </w:p>
    <w:p>
      <w:pPr>
        <w:pStyle w:val="BodyText"/>
        <w:numPr>
          <w:numId w:val="332"/>
        </w:numPr>
      </w:pPr>
      <w:r>
        <w:t xml:space="preserve">Click the </w:t>
      </w:r>
      <w:r>
        <w:rPr>
          <w:rStyle w:val="InlineUI"/>
        </w:rPr>
        <w:t>Manage &amp; Govern</w:t>
      </w:r>
      <w:r>
        <w:t xml:space="preserve"> tab.</w:t>
      </w:r>
    </w:p>
    <w:p>
      <w:pPr>
        <w:pStyle w:val="BodyText"/>
        <w:numPr>
          <w:numId w:val="332"/>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32"/>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32"/>
        </w:numPr>
      </w:pPr>
      <w:r>
        <w:t xml:space="preserve">Click a cluster from the list and click the </w:t>
      </w:r>
      <w:r>
        <w:rPr>
          <w:rStyle w:val="InlineUI"/>
        </w:rPr>
        <w:t>Data Protection</w:t>
      </w:r>
      <w:r>
        <w:t xml:space="preserve"> tab.</w:t>
      </w:r>
    </w:p>
    <w:p>
      <w:pPr>
        <w:pStyle w:val="BodyText"/>
        <w:numPr>
          <w:numId w:val="332"/>
        </w:numPr>
      </w:pPr>
      <w:r>
        <w:t xml:space="preserve">In the </w:t>
      </w:r>
      <w:r>
        <w:rPr>
          <w:rStyle w:val="InlineUI"/>
        </w:rPr>
        <w:t>Backups</w:t>
      </w:r>
      <w:r>
        <w:t xml:space="preserve"> section, click the </w:t>
      </w:r>
      <w:r>
        <w:rPr>
          <w:rStyle w:val="InlineUI"/>
        </w:rPr>
        <w:t>Restore from another cluster</w:t>
      </w:r>
      <w:r>
        <w:t xml:space="preserve"> button.</w:t>
      </w:r>
    </w:p>
    <w:p>
      <w:pPr>
        <w:pStyle w:val="BodyText"/>
        <w:ind w:left="480"/>
      </w:pPr>
      <w:r>
        <w:t xml:space="preserve">The </w:t>
      </w:r>
      <w:r>
        <w:rPr>
          <w:rStyle w:val="InlineUI"/>
        </w:rPr>
        <w:t>Restore backup from another cluster</w:t>
      </w:r>
      <w:r>
        <w:t xml:space="preserve"> wizard opens.</w:t>
      </w:r>
    </w:p>
    <w:p>
      <w:pPr>
        <w:pStyle w:val="BodyText"/>
        <w:numPr>
          <w:numId w:val="332"/>
        </w:numPr>
      </w:pPr>
      <w:r>
        <w:t xml:space="preserve">In the </w:t>
      </w:r>
      <w:r>
        <w:rPr>
          <w:rStyle w:val="InlineUI"/>
        </w:rPr>
        <w:t>Select backup to restore</w:t>
      </w:r>
      <w:r>
        <w:t xml:space="preserve"> section, select a cluster that contains backups and click </w:t>
      </w:r>
      <w:r>
        <w:rPr>
          <w:rStyle w:val="InlineUI"/>
        </w:rPr>
        <w:t>Next</w:t>
      </w:r>
      <w:r>
        <w:t>.</w:t>
      </w:r>
    </w:p>
    <w:p>
      <w:pPr>
        <w:pStyle w:val="BodyText"/>
        <w:ind w:left="480"/>
      </w:pPr>
      <w:r>
        <w:t>The dropdown menu shows the clusters that contain backups and that you can access. The target location of the backup in the source cluster must be accessible to the target cluster.</w:t>
      </w:r>
    </w:p>
    <w:p>
      <w:pPr>
        <w:pStyle w:val="BodyText"/>
        <w:numPr>
          <w:numId w:val="332"/>
        </w:numPr>
      </w:pPr>
      <w:r>
        <w:t xml:space="preserve">In the </w:t>
      </w:r>
      <w:r>
        <w:rPr>
          <w:rStyle w:val="InlineUI"/>
        </w:rPr>
        <w:t>What Kubernetes resources to restore</w:t>
      </w:r>
      <w:r>
        <w:t xml:space="preserve"> section, specify the scope of the restore.</w:t>
      </w:r>
    </w:p>
    <w:p>
      <w:pPr>
        <w:pStyle w:val="BodyText"/>
        <w:numPr>
          <w:numId w:val="332"/>
        </w:numPr>
      </w:pPr>
      <w:r>
        <w:t xml:space="preserve">In the </w:t>
      </w:r>
      <w:r>
        <w:rPr>
          <w:rStyle w:val="InlineUI"/>
        </w:rPr>
        <w:t>What volumes to restore</w:t>
      </w:r>
      <w:r>
        <w:t xml:space="preserve"> section, review and select the persistent volumes available to restore.</w:t>
      </w:r>
    </w:p>
    <w:p>
      <w:pPr>
        <w:pStyle w:val="BodyText"/>
        <w:ind w:left="480"/>
      </w:pPr>
      <w:r>
        <w:t>FSB backups are included in the restore by default. You can optionally select to restore CSI volume snapshots.</w:t>
      </w:r>
    </w:p>
    <w:p>
      <w:pPr>
        <w:pStyle w:val="BodyText"/>
        <w:numPr>
          <w:numId w:val="332"/>
        </w:numPr>
      </w:pPr>
      <w:r>
        <w:t xml:space="preserve">In the </w:t>
      </w:r>
      <w:r>
        <w:rPr>
          <w:rStyle w:val="InlineUI"/>
        </w:rPr>
        <w:t>Name and create</w:t>
      </w:r>
      <w:r>
        <w:t xml:space="preserve"> section, enter a name for the backup.</w:t>
      </w:r>
    </w:p>
    <w:p>
      <w:pPr>
        <w:pStyle w:val="BodyText"/>
        <w:numPr>
          <w:numId w:val="332"/>
        </w:numPr>
      </w:pPr>
      <w:r>
        <w:t xml:space="preserve">Click the </w:t>
      </w:r>
      <w:r>
        <w:rPr>
          <w:rStyle w:val="InlineUI"/>
        </w:rPr>
        <w:t>Restore</w:t>
      </w:r>
      <w:r>
        <w:t xml:space="preserve"> button.</w:t>
      </w:r>
    </w:p>
    <w:p>
      <w:pPr>
        <w:pStyle w:val="Heading4"/>
      </w:pPr>
      <w:bookmarkStart w:id="341" w:name="_Toc256000856"/>
      <w:r>
        <w:t>View the Contents of a Restore</w:t>
      </w:r>
      <w:bookmarkEnd w:id="341"/>
    </w:p>
    <w:p>
      <w:pPr>
        <w:pStyle w:val="BodyText"/>
      </w:pPr>
      <w:r>
        <w:t xml:space="preserve">Use </w:t>
      </w:r>
      <w:r>
        <w:t>VKS</w:t>
      </w:r>
      <w:r>
        <w:t xml:space="preserve"> cluster management to view the contents of a restore.</w:t>
      </w:r>
    </w:p>
    <w:p>
      <w:pPr>
        <w:pStyle w:val="BodyText"/>
      </w:pPr>
      <w:r>
        <w:rPr>
          <w:rStyle w:val="Strong"/>
        </w:rPr>
        <w:t>Prerequisites</w:t>
      </w:r>
    </w:p>
    <w:p>
      <w:pPr>
        <w:pStyle w:val="BodyText"/>
        <w:numPr>
          <w:numId w:val="333"/>
        </w:numPr>
      </w:pPr>
      <w:r>
        <w:t>Verify that you are assigned one of the appropriate roles:</w:t>
      </w:r>
    </w:p>
    <w:p>
      <w:pPr>
        <w:pStyle w:val="BodyText"/>
        <w:numPr>
          <w:ilvl w:val="1"/>
          <w:numId w:val="333"/>
        </w:numPr>
      </w:pPr>
      <w:r>
        <w:rPr>
          <w:rStyle w:val="InlineUI"/>
        </w:rPr>
        <w:t>Organization Administrator</w:t>
      </w:r>
    </w:p>
    <w:p>
      <w:pPr>
        <w:pStyle w:val="BodyText"/>
        <w:numPr>
          <w:ilvl w:val="1"/>
          <w:numId w:val="333"/>
        </w:numPr>
      </w:pPr>
      <w:r>
        <w:rPr>
          <w:rStyle w:val="InlineUI"/>
        </w:rPr>
        <w:t>Project Administrator</w:t>
      </w:r>
    </w:p>
    <w:p>
      <w:pPr>
        <w:pStyle w:val="BodyText"/>
      </w:pPr>
      <w:r>
        <w:rPr>
          <w:rStyle w:val="Strong"/>
        </w:rPr>
        <w:t>Procedure</w:t>
      </w:r>
    </w:p>
    <w:p>
      <w:pPr>
        <w:pStyle w:val="BodyText"/>
        <w:numPr>
          <w:numId w:val="334"/>
        </w:numPr>
      </w:pPr>
      <w:r>
        <w:t xml:space="preserve">Log in to the </w:t>
      </w:r>
      <w:r>
        <w:t>VCF Automation</w:t>
      </w:r>
      <w:r>
        <w:t xml:space="preserve"> organization portal.</w:t>
      </w:r>
    </w:p>
    <w:p>
      <w:pPr>
        <w:pStyle w:val="BodyText"/>
        <w:numPr>
          <w:numId w:val="334"/>
        </w:numPr>
      </w:pPr>
      <w:r>
        <w:t xml:space="preserve">Click the </w:t>
      </w:r>
      <w:r>
        <w:rPr>
          <w:rStyle w:val="InlineUI"/>
        </w:rPr>
        <w:t>Manage &amp; Govern</w:t>
      </w:r>
      <w:r>
        <w:t xml:space="preserve"> tab.</w:t>
      </w:r>
    </w:p>
    <w:p>
      <w:pPr>
        <w:pStyle w:val="BodyText"/>
        <w:numPr>
          <w:numId w:val="334"/>
        </w:numPr>
      </w:pPr>
      <w:r>
        <w:t xml:space="preserve">From the left-hand navigation, select </w:t>
      </w:r>
      <w:r>
        <w:rPr>
          <w:rStyle w:val="InlineUI"/>
        </w:rPr>
        <w:t>VCF Services</w:t>
      </w:r>
      <w:r>
        <w:rPr>
          <w:rStyle w:val="InlineUI"/>
        </w:rPr>
        <w:t xml:space="preserve"> &gt; </w:t>
      </w:r>
      <w:r>
        <w:rPr>
          <w:rStyle w:val="InlineUI"/>
        </w:rPr>
        <w:t>Kubernetes Management</w:t>
      </w:r>
      <w:r>
        <w:t>.</w:t>
      </w:r>
    </w:p>
    <w:p>
      <w:pPr>
        <w:pStyle w:val="BodyText"/>
        <w:numPr>
          <w:numId w:val="334"/>
        </w:numPr>
      </w:pPr>
      <w:r>
        <w:t xml:space="preserve">On the </w:t>
      </w:r>
      <w:r>
        <w:rPr>
          <w:rStyle w:val="InlineUI"/>
        </w:rPr>
        <w:t>vSphere Kubernetes Service Cluster Management</w:t>
      </w:r>
      <w:r>
        <w:t xml:space="preserve"> page, select </w:t>
      </w:r>
      <w:r>
        <w:rPr>
          <w:rStyle w:val="InlineUI"/>
        </w:rPr>
        <w:t>Clusters</w:t>
      </w:r>
      <w:r>
        <w:t>.</w:t>
      </w:r>
    </w:p>
    <w:p>
      <w:pPr>
        <w:pStyle w:val="BodyText"/>
        <w:numPr>
          <w:numId w:val="334"/>
        </w:numPr>
      </w:pPr>
      <w:r>
        <w:t xml:space="preserve">Click a cluster from the list and click the </w:t>
      </w:r>
      <w:r>
        <w:rPr>
          <w:rStyle w:val="InlineUI"/>
        </w:rPr>
        <w:t>Data Protection</w:t>
      </w:r>
      <w:r>
        <w:t xml:space="preserve"> tab.</w:t>
      </w:r>
    </w:p>
    <w:p>
      <w:pPr>
        <w:pStyle w:val="BodyText"/>
        <w:numPr>
          <w:numId w:val="334"/>
        </w:numPr>
      </w:pPr>
      <w:r>
        <w:t xml:space="preserve">In the </w:t>
      </w:r>
      <w:r>
        <w:rPr>
          <w:rStyle w:val="InlineUI"/>
        </w:rPr>
        <w:t>Restores</w:t>
      </w:r>
      <w:r>
        <w:t xml:space="preserve"> section, click a restore from the list of backups.</w:t>
      </w:r>
    </w:p>
    <w:p>
      <w:pPr>
        <w:pStyle w:val="BodyText"/>
      </w:pPr>
      <w:r>
        <w:rPr>
          <w:rStyle w:val="Strong"/>
        </w:rPr>
        <w:t>Results</w:t>
      </w:r>
    </w:p>
    <w:p>
      <w:pPr>
        <w:pStyle w:val="BodyText"/>
      </w:pPr>
      <w:r>
        <w:t>You see a summary for the selected restore. You can see the scope of the backup, advanced options, namespaces and the persistent volumes that are backed up.</w:t>
      </w:r>
    </w:p>
    <w:p>
      <w:pPr>
        <w:pStyle w:val="Heading4"/>
      </w:pPr>
      <w:bookmarkStart w:id="342" w:name="_Toc256000857"/>
      <w:r>
        <w:t>Troubleshooting Issues with VKS Cluster Management Data Protection</w:t>
      </w:r>
      <w:bookmarkEnd w:id="342"/>
    </w:p>
    <w:p>
      <w:pPr>
        <w:pStyle w:val="BodyText"/>
      </w:pPr>
      <w:r>
        <w:t xml:space="preserve">Learn how to troubleshoot some common issues associated with the data protection of </w:t>
      </w:r>
      <w:r>
        <w:t>VKS</w:t>
      </w:r>
      <w:r>
        <w:t xml:space="preserve"> clusters.</w:t>
      </w:r>
    </w:p>
    <w:p>
      <w:pPr>
        <w:pStyle w:val="Heading5"/>
      </w:pPr>
      <w:r>
        <w:t>Backups Fail Partially Due to Existing Lock</w:t>
      </w:r>
    </w:p>
    <w:p>
      <w:pPr>
        <w:pStyle w:val="BodyText"/>
      </w:pPr>
      <w:r>
        <w:t>You can take one of these steps when a backup partially fails because of an existing lock.</w:t>
      </w:r>
    </w:p>
    <w:p>
      <w:pPr>
        <w:pStyle w:val="BodyText"/>
      </w:pPr>
      <w:r>
        <w:t>When using FSB, in the backup logs, you observe something similar to the following code:</w:t>
      </w:r>
    </w:p>
    <w:p>
      <w:pPr>
        <w:pStyle w:val="CodeBlock"/>
      </w:pPr>
      <w:r>
        <w:t>time="2023-03-27T04:01:04Z" level=error msg="Error backing up item" backup=velero/bk-entirecluster-daily-20230327040009 error="pod volume backup failed: running Restic backup, stderr=unable to create lock in backend: repository is already locked exclusively by PID 12576 on velero-7fdc5bff66-z88k8 by nonroot (UID 65532, GID 65532)\nlock was created at 2023-03-27 04:01:01 (2.490799836s ago)\nstorage ID 811e7acc\nthe `unlock` command can be used to remove stale locks\n: exit status 1" error.file="/go/src/github.com/vmware-tanzu/velero/pkg/restic/backupper.go:199" error.function="github.com/vmware-tanzu/velero/pkg/restic.(*backupper).BackupPodVolumes" logSource="pkg/backup/backup.go:417" name=airflow-db-migrations-56c64bd87d-mk9rc</w:t>
      </w:r>
    </w:p>
    <w:p>
      <w:pPr>
        <w:pStyle w:val="BodyText"/>
      </w:pPr>
      <w:r>
        <w:t xml:space="preserve">You can confirm that the volume backups failed by using the Velero CLI to describe the backup with the details flag and checking under the </w:t>
      </w:r>
      <w:r>
        <w:rPr>
          <w:rStyle w:val="InlineCode"/>
        </w:rPr>
        <w:t>Restic Backups</w:t>
      </w:r>
      <w:r>
        <w:t xml:space="preserve"> heading.</w:t>
      </w:r>
    </w:p>
    <w:p>
      <w:pPr>
        <w:pStyle w:val="CodeBlock"/>
      </w:pPr>
      <w:r>
        <w:t>$ velero backup describe &lt;backup name\&gt; --details
Restic Backups:
  Completed:
    tanzu-system-dashboards/grafana-658c5dbc77-xphdz: sc-dashboard-volume, sc-datasources-volume, storage
    tanzu-system-ingress/envoy-l8f5f: envoy-admin, envoy-config
    tanzu-system-ingress/envoy-lx6jc: envoy-admin, envoy-config
    tanzu-system-ingress/envoy-vb24x: envoy-admin, envoy-config
    tanzu-system-ingress/envoy-x5vwk: envoy-admin, envoy-config
    tanzu-system-monitoring/alertmanager-6546bb6b6d-sl967: storage-volume
    tanzu-system-monitoring/prometheus-server-746cc78b85-vm6pn: storage-volume
  Failed:
    airflow/airflow-db-migrations-56c64bd87d-mk9rc: dags-data, logs-data
    airflow/airflow-flower-76dfc68945-f9x4b: dags-data, logs-data</w:t>
      </w:r>
    </w:p>
    <w:p>
      <w:pPr>
        <w:pStyle w:val="BodyText"/>
      </w:pPr>
      <w:r>
        <w:t xml:space="preserve">Finally, you should see evidence of the </w:t>
      </w:r>
      <w:r>
        <w:rPr>
          <w:rStyle w:val="InlineCode"/>
        </w:rPr>
        <w:t>prune</w:t>
      </w:r>
      <w:r>
        <w:t xml:space="preserve"> command being killed via signal. This log is not present in the backup logs, but only in the Velero pod logs.</w:t>
      </w:r>
    </w:p>
    <w:p>
      <w:pPr>
        <w:pStyle w:val="CodeBlock"/>
      </w:pPr>
      <w:r>
        <w:t>time="2023-03-27T16:49:05Z" level=warning msg="error pruning repository" error="error running command=restic prune --repo=s3:http://111.222.333.111/example-bkt/01G2Q0XXBKCJ0GM7E7V34Q85PT/restic/airflow --password-file=/tmp/credentials/velero/velero-restic-credentials-repository-password --cache-dir=/scratch/.cache/restic, stdout=loading indexes...\\nloading all snapshots...\\nfinding data that is still in use for 355 snapshots\\n\[0:22\] 100.00%  355 / 355 snapshots\\n\\nsearching used packs...\\ncollecting packs for deletion and repacking\\n\[0:00\] 100.00%  529 / 529 packs processed\\n\\n\\nto repack:        106126 blobs / 98.205 MiB\\nthis removes:       1540 blobs / 54.810 MiB\\nto delete:        908753 blobs / 639.015 MiB\\ntotal prune:      910293 blobs / 693.825 MiB\\nremaining:        311670 blobs / 2.882 GiB\\nunused size after prune: 439.412 MiB \(14.89% of remaining size\)\\n\\nrepacking packs\\n, stderr=: signal: killed" error.file="/go/src/github.com/vmware-tanzu/velero/pkg/restic/repository\_manager.go:296" error.function="github.com/vmware-tanzu/velero/pkg/restic.\(\*repositoryManager\).exec" logSource="pkg/controller/restic\_repository\_controller.go:198" resticRepo=velero/airflow-msk-pure-s3-bkt-ls6pk</w:t>
      </w:r>
    </w:p>
    <w:p>
      <w:pPr>
        <w:pStyle w:val="BodyText"/>
      </w:pPr>
      <w:r>
        <w:t xml:space="preserve">Velero periodically “prunes” each restic repository to compact disk space. Under the hood, Velero cleans up stale locks and spawns a child process to run the </w:t>
      </w:r>
      <w:r>
        <w:rPr>
          <w:rStyle w:val="InlineCode"/>
        </w:rPr>
        <w:t>prune</w:t>
      </w:r>
      <w:r>
        <w:t xml:space="preserve"> command. The </w:t>
      </w:r>
      <w:r>
        <w:rPr>
          <w:rStyle w:val="InlineCode"/>
        </w:rPr>
        <w:t>prune</w:t>
      </w:r>
      <w:r>
        <w:t xml:space="preserve"> command acquires locks but then is subsequently OOM killed most likely due to insufficient resources given to the Velero container. This cycle continues so the repository is continuously locked. And when the backup is created, Restic fails to take a snapshot due to the existing lock.</w:t>
      </w:r>
    </w:p>
    <w:p>
      <w:pPr>
        <w:pStyle w:val="BodyText"/>
      </w:pPr>
      <w:r>
        <w:t xml:space="preserve">There is a Velero issue that tracks the fix to not repeatedly attempt the </w:t>
      </w:r>
      <w:r>
        <w:rPr>
          <w:rStyle w:val="InlineCode"/>
        </w:rPr>
        <w:t>prune</w:t>
      </w:r>
      <w:r>
        <w:t xml:space="preserve"> command and thus prevent the Restic repository from being perpetually locked. See </w:t>
      </w:r>
      <w:hyperlink r:id="rId61" w:tooltip="https://github.com/vmware-tanzu/velero/issues/5276" w:history="1">
        <w:r>
          <w:rPr>
            <w:color w:val="0000FF"/>
            <w:u w:val="single"/>
          </w:rPr>
          <w:t>https://github.com/vmware-tanzu/velero/issues/5276</w:t>
        </w:r>
      </w:hyperlink>
      <w:r>
        <w:t>.</w:t>
      </w:r>
    </w:p>
    <w:p>
      <w:pPr>
        <w:pStyle w:val="BodyText"/>
      </w:pPr>
      <w:r>
        <w:t>You can use one of the following options to fix the issue:</w:t>
      </w:r>
    </w:p>
    <w:p>
      <w:pPr>
        <w:pStyle w:val="BodyText"/>
        <w:numPr>
          <w:numId w:val="335"/>
        </w:numPr>
      </w:pPr>
      <w:r>
        <w:t>Use CSI volume snapshots.</w:t>
      </w:r>
    </w:p>
    <w:p>
      <w:pPr>
        <w:pStyle w:val="BodyText"/>
        <w:ind w:left="480"/>
      </w:pPr>
      <w:r>
        <w:t>You may choose to back up your volumes using CSI volume snapshots instead of filesystem-level volume backups. When you create a backup, select the option to perform CSI volume snapshots and use the opt-in approach for filesystem backups.</w:t>
      </w:r>
    </w:p>
    <w:p>
      <w:pPr>
        <w:pStyle w:val="BodyText"/>
        <w:numPr>
          <w:numId w:val="335"/>
        </w:numPr>
      </w:pPr>
      <w:r>
        <w:t>Increase the memory limit for the Velero deployment.</w:t>
      </w:r>
    </w:p>
    <w:p>
      <w:pPr>
        <w:pStyle w:val="BodyText"/>
        <w:ind w:left="480"/>
      </w:pPr>
      <w:r>
        <w:t xml:space="preserve">Velero maintains a restic repository for each namespace. The amount of memory required to perform the </w:t>
      </w:r>
      <w:r>
        <w:rPr>
          <w:rStyle w:val="InlineCode"/>
        </w:rPr>
        <w:t>prune</w:t>
      </w:r>
      <w:r>
        <w:t xml:space="preserve"> command is proportional to the size of the restic repository’s index. So, the solution is to increase the memory limits of the Velero container in the Velero deployment until the </w:t>
      </w:r>
      <w:r>
        <w:rPr>
          <w:rStyle w:val="InlineCode"/>
        </w:rPr>
        <w:t>prune</w:t>
      </w:r>
      <w:r>
        <w:t xml:space="preserve"> command has sufficient memory to run.</w:t>
      </w:r>
    </w:p>
    <w:p>
      <w:pPr>
        <w:pStyle w:val="BodyText"/>
        <w:pBdr>
          <w:top w:val="single" w:sz="8" w:space="2" w:color="D3D3D3"/>
          <w:bottom w:val="single" w:sz="8" w:space="2" w:color="D3D3D3"/>
        </w:pBdr>
        <w:ind w:left="480"/>
      </w:pPr>
      <w:r>
        <w:rPr>
          <w:rStyle w:val="NoteLeaderimportant"/>
        </w:rPr>
        <w:t>Important</w:t>
        <w:tab/>
      </w:r>
      <w:r>
        <w:t xml:space="preserve">Note that the </w:t>
      </w:r>
      <w:r>
        <w:rPr>
          <w:rStyle w:val="InlineCode"/>
        </w:rPr>
        <w:t>prune</w:t>
      </w:r>
      <w:r>
        <w:t xml:space="preserve"> command is run by the Velero pod and not the </w:t>
      </w:r>
      <w:r>
        <w:rPr>
          <w:rStyle w:val="InlineCode"/>
        </w:rPr>
        <w:t>node-agent</w:t>
      </w:r>
      <w:r>
        <w:t xml:space="preserve"> pods.</w:t>
      </w:r>
    </w:p>
    <w:p>
      <w:pPr>
        <w:pStyle w:val="BodyText"/>
      </w:pPr>
      <w:r>
        <w:t>Use the following command to edit the deployment:</w:t>
      </w:r>
    </w:p>
    <w:p>
      <w:pPr>
        <w:pStyle w:val="BodyText"/>
        <w:pBdr>
          <w:top w:val="single" w:sz="8" w:space="2" w:color="D3D3D3"/>
          <w:bottom w:val="single" w:sz="8" w:space="2" w:color="D3D3D3"/>
        </w:pBdr>
      </w:pPr>
      <w:r>
        <w:rPr>
          <w:rStyle w:val="NoteLeadernote"/>
        </w:rPr>
        <w:t>Note</w:t>
        <w:tab/>
      </w:r>
      <w:r>
        <w:t xml:space="preserve">You do not need to update the resources under the </w:t>
      </w:r>
      <w:r>
        <w:rPr>
          <w:rStyle w:val="InlineCode"/>
        </w:rPr>
        <w:t>Init</w:t>
      </w:r>
      <w:r>
        <w:t xml:space="preserve"> containers</w:t>
      </w:r>
    </w:p>
    <w:p>
      <w:pPr>
        <w:pStyle w:val="CodeBlock"/>
      </w:pPr>
      <w:r>
        <w:t>$ kubectl -n velero edit deployment velero
...
            resources:
              limits:
                cpu: "1"
                memory: 512Mi &lt;--- change this
              requests:
                cpu: 500m
                memory: 128Mi
...</w:t>
      </w:r>
    </w:p>
    <w:p>
      <w:pPr>
        <w:pStyle w:val="BodyText"/>
      </w:pPr>
      <w:r>
        <w:t xml:space="preserve">Wait for a few minutes and check if the </w:t>
      </w:r>
      <w:r>
        <w:rPr>
          <w:rStyle w:val="InlineCode"/>
        </w:rPr>
        <w:t>prune</w:t>
      </w:r>
      <w:r>
        <w:t xml:space="preserve"> errors are still seen:</w:t>
      </w:r>
    </w:p>
    <w:p>
      <w:pPr>
        <w:pStyle w:val="CodeBlock"/>
      </w:pPr>
      <w:r>
        <w:t>$ kubectl -n velero logs &lt;velero-pod-name&gt; | grep prune | grep killed</w:t>
      </w:r>
    </w:p>
    <w:p>
      <w:pPr>
        <w:pStyle w:val="BodyText"/>
      </w:pPr>
      <w:r>
        <w:t>If they are re still present, try again by increasing the memory limits to a higher value.</w:t>
      </w:r>
    </w:p>
    <w:p>
      <w:pPr>
        <w:pStyle w:val="Heading5"/>
      </w:pPr>
      <w:r>
        <w:t>Source File Not Found During Backup</w:t>
      </w:r>
    </w:p>
    <w:p>
      <w:pPr>
        <w:pStyle w:val="BodyText"/>
      </w:pPr>
      <w:r>
        <w:t>You can use these options to resolve the issue of missing source files during backups.</w:t>
      </w:r>
    </w:p>
    <w:p>
      <w:pPr>
        <w:pStyle w:val="BodyText"/>
      </w:pPr>
      <w:r>
        <w:t>When you use FSB, in the backup logs, you observe something similar to the code block below, especially for applications like ElasticSearch.</w:t>
      </w:r>
    </w:p>
    <w:p>
      <w:pPr>
        <w:pStyle w:val="CodeBlock"/>
      </w:pPr>
      <w:r>
        <w:t>time="2023-07-07T02:11:30Z" level=error msg="Error backing up item" backup=velero/sharedservice-full-cls-backup-daily-20230707000048 error="pod volume backup failed: running backup, stderr=error running restic backup command restic backup --repo=s3:https://s3-ap-southeast-1.amazonaws.com/tmc-cluster-backup-prod/01GB1KBTPXVZACM1NKZPXWD2YR/restic/prod-o11y --password-file=/tmp/credentials/velero/velero-repo-credentials-repository-password --cache-dir=/scratch/.cache/restic . --tag=backup=sharedservice-full-cls-backup-daily-20230707000048 --tag=backup-uid=ab09902b-9d65-49b9-bc9b-3153a30d01ba --tag=ns=prod-o11y --tag=pod=elasticsearch-data-1 --tag=pod-uid=8a1bd1f5-ea5c-41ce-a170-28cf4ad18a8b --tag=pvc-uid=4a8ba939-8bd0-443b-91aa-cb0a36066586 --tag=volume=data --host=velero --json --parent=a9f71e50 with error: exit status 3 stderr: {\"message_type\":\"error\",\"error\":{\"Op\":\"lstat\",\"Path\":\"indices/IF-3K2QkQLSG3-ZyKKa1Nw/0/index/_2x79j_1.fnm\",\"Err\":2},\"during\":\"archival\",\"item\":\"/host_pods/8a1bd1f5-ea5c-41ce-a170-28cf4ad18a8b/volumes/kubernetes.io~csi/pvc-4a8ba939-8bd0-443b-91aa-cb0a36066586/mount/indices/IF-3K2QkQLSG3-ZyKKa1Nw/0/index/_2x79j_1.fnm\"}\n{\"message_type\":\"error\",\"error\":{\"Op\":\"lstat\",\"Path\":\"indices/IF-3K2QkQLSG3-ZyKKa1Nw/0/index/_2x79j_1_Lucene90_0.dvd\",\"Err\":2},\"during\":\"archival\",\"item\":\"/host_pods/8a1bd1f5-ea5c-41ce-a170-28cf4ad18a8b/volumes/kubernetes.io~csi/pvc-4a8ba939-8bd0-443b-91aa-cb0a36066586/mount/indices/IF-3K2QkQLSG3-ZyKKa1Nw/0/index/_2x79j_1_Lucene90_0.dvd\"}\n{\"message_type\":\"error\",\"error\":{\"Op\":\"lstat\",\"Path\":\"indices/IF-3K2QkQLSG3-ZyKKa1Nw/0/index/_2x79j_1_Lucene90_0.dvm\",\"Err\":2},\"during\":\"archival\",\"item\":\"/host_pods/8a1bd1f5-ea5c-41ce-a170-28cf4ad18a8b/volumes/kubernetes.io~csi/pvc-4a8ba939-8bd0-443b-91aa-cb0a36066586/mount/indices/IF-3K2QkQLSG3-ZyKKa1Nw/0/index/_2x79j_1_Lucene90_0.dvm\"}\nWarning: at least one source file could not be read\n: error running restic</w:t>
      </w:r>
    </w:p>
    <w:p>
      <w:pPr>
        <w:pStyle w:val="BodyText"/>
      </w:pPr>
      <w:r>
        <w:t>This happens when there is churn in the filesystem and the file is no longer present while performing pod volume backup.</w:t>
      </w:r>
    </w:p>
    <w:p>
      <w:pPr>
        <w:pStyle w:val="BodyText"/>
        <w:numPr>
          <w:numId w:val="336"/>
        </w:numPr>
      </w:pPr>
      <w:r>
        <w:t>Use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6"/>
        <w:gridCol w:w="773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 CSI volume snapshots.</w:t>
            </w:r>
          </w:p>
        </w:tc>
        <w:tc>
          <w:tcPr>
            <w:tcBorders>
              <w:left w:val="nil"/>
              <w:right w:val="nil"/>
            </w:tcBorders>
          </w:tcPr>
          <w:p>
            <w:pPr>
              <w:pStyle w:val="TableBodyText"/>
            </w:pPr>
            <w:r>
              <w:t>You may choose to back up your volumes using CSI volume snapshots instead of filesystem level volume backups. When creating a backup, select the option to perform CSI volume snapshots and use the opt-in approach for filesystem backups.</w:t>
            </w:r>
          </w:p>
        </w:tc>
      </w:tr>
    </w:tbl>
    <w:p>
      <w:pPr>
        <w:pStyle w:val="BodyText"/>
        <w:numPr>
          <w:numId w:val="337"/>
        </w:numPr>
        <w:spacing w:before="240"/>
      </w:pPr>
      <w:r>
        <w:t>Use the opt-out approach.</w:t>
      </w:r>
    </w:p>
    <w:p>
      <w:pPr>
        <w:pStyle w:val="BodyText"/>
        <w:ind w:left="480"/>
      </w:pPr>
      <w:r>
        <w:t>If CSI volume snapshot is not supported in your cluster, then exclude the volume using the opt-out approach for filesystem backups.</w:t>
      </w:r>
    </w:p>
    <w:p>
      <w:pPr>
        <w:pStyle w:val="BodyText"/>
        <w:numPr>
          <w:numId w:val="337"/>
        </w:numPr>
      </w:pPr>
      <w:r>
        <w:t>Use an application-specific backup method.</w:t>
      </w:r>
    </w:p>
    <w:p>
      <w:pPr>
        <w:pStyle w:val="BodyText"/>
        <w:ind w:left="480"/>
      </w:pPr>
      <w:r>
        <w:t xml:space="preserve">Some applications provide their own method to perform backups. For example, backup of ElasticSearch using filesystem backup is not recommended. For information about backing up ElasticSearch, see </w:t>
      </w:r>
      <w:hyperlink r:id="rId62" w:tooltip="https://www.elastic.co/guide/en/elasticsearch/reference/8.2/snapshot-restore.html#other-backup-methods" w:history="1">
        <w:r>
          <w:rPr>
            <w:color w:val="0000FF"/>
            <w:u w:val="single"/>
          </w:rPr>
          <w:t>https://www.elastic.co/guide/en/elasticsearch/reference/8.2/snapshot-restore.html#other-backup-methods</w:t>
        </w:r>
      </w:hyperlink>
      <w:r>
        <w:t xml:space="preserve"> .</w:t>
      </w:r>
    </w:p>
    <w:p>
      <w:pPr>
        <w:pStyle w:val="Heading5"/>
      </w:pPr>
      <w:r>
        <w:t>Backups Partially Fail When Volumes Are Present on Control Plane Nodes</w:t>
      </w:r>
    </w:p>
    <w:p>
      <w:pPr>
        <w:pStyle w:val="BodyText"/>
      </w:pPr>
      <w:r>
        <w:t>You can take the steps described in this topic, when a backup partially fails when volumes are present on the control plane nodes.</w:t>
      </w:r>
    </w:p>
    <w:p>
      <w:pPr>
        <w:pStyle w:val="BodyText"/>
      </w:pPr>
      <w:r>
        <w:t>When you use FSB, the overall backup ends up partially failed and a log similar to the following is present:</w:t>
      </w:r>
    </w:p>
    <w:p>
      <w:pPr>
        <w:pStyle w:val="CodeBlock"/>
      </w:pPr>
      <w:r>
        <w:t>time="2023-07-18T07:48:39Z" level=error msg="Error backing up item" backup=velero/bk-2 error="daemonset pod not found in running state in node interop-fresh-kind124-control-plane" error.file="/go/src/github.com/vmware-tanzu/velero/pkg/nodeagent/node\_agent.go:74" error.function=github.com/vmware-tanzu/velero/pkg/nodeagent.IsRunningInNode logSource="pkg/backup/backup.go:425" name=app-0</w:t>
      </w:r>
    </w:p>
    <w:p>
      <w:pPr>
        <w:pStyle w:val="BodyText"/>
      </w:pPr>
      <w:r>
        <w:t>Velero’s filesystem backup integration works by creating a DaemonSet called node-agent and each of its pods is responsible for backing up volumes on its own node. By default, DaemonSet pods are only scheduled on worker nodes. This is expected behavior on most clusters since the control plane nodes are tainted by default.</w:t>
      </w:r>
    </w:p>
    <w:p>
      <w:pPr>
        <w:pStyle w:val="BodyText"/>
      </w:pPr>
      <w:r>
        <w:t>In the unlikely scenario that there are pods with volumes present on the control plane nodes, there is no DaemonSet pod present to complete the volume backup and so these volumes are skipped and the overall backup partially fails. Note that this includes even empty Dir volumes.</w:t>
      </w:r>
    </w:p>
    <w:p>
      <w:pPr>
        <w:pStyle w:val="BodyText"/>
        <w:numPr>
          <w:numId w:val="338"/>
        </w:numPr>
      </w:pPr>
      <w:r>
        <w:t>Use one of the following options to address the issue:</w:t>
      </w:r>
    </w:p>
    <w:p>
      <w:pPr>
        <w:pStyle w:val="BodyText"/>
        <w:pBdr>
          <w:top w:val="single" w:sz="8" w:space="2" w:color="D3D3D3"/>
          <w:bottom w:val="single" w:sz="8" w:space="2" w:color="D3D3D3"/>
        </w:pBdr>
        <w:ind w:left="480"/>
      </w:pPr>
      <w:r>
        <w:rPr>
          <w:rStyle w:val="NoteLeadernote"/>
        </w:rPr>
        <w:t>Note</w:t>
        <w:tab/>
      </w:r>
      <w:r>
        <w:t xml:space="preserve">The following solution assumes that you have configured filesystem backups with the </w:t>
      </w:r>
      <w:r>
        <w:rPr>
          <w:rStyle w:val="InlineCode"/>
        </w:rPr>
        <w:t>opt-out</w:t>
      </w:r>
      <w:r>
        <w:t xml:space="preserve"> option.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9"/>
        <w:gridCol w:w="77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 CSI volume snapshots.</w:t>
            </w:r>
          </w:p>
        </w:tc>
        <w:tc>
          <w:tcPr>
            <w:tcBorders>
              <w:left w:val="nil"/>
              <w:right w:val="nil"/>
            </w:tcBorders>
          </w:tcPr>
          <w:p>
            <w:pPr>
              <w:pStyle w:val="TableBodyText"/>
            </w:pPr>
            <w:r>
              <w:t>CSI volume snapshots do not have any such node level limitation as they do not rely on the node-agent DaemonSet. While you create a backup, select the option to perform CSI volume snapshots and use the opt-in approach for filesystem backups.</w:t>
            </w:r>
          </w:p>
        </w:tc>
      </w:tr>
    </w:tbl>
    <w:p>
      <w:pPr>
        <w:pStyle w:val="BodyText"/>
        <w:numPr>
          <w:numId w:val="339"/>
        </w:numPr>
        <w:spacing w:before="240"/>
      </w:pPr>
      <w:r>
        <w:t>Exclude the namespace containing the problematic volumes.</w:t>
      </w:r>
    </w:p>
    <w:p>
      <w:pPr>
        <w:pStyle w:val="BodyText"/>
        <w:ind w:left="480"/>
      </w:pPr>
      <w:r>
        <w:t xml:space="preserve">In the </w:t>
      </w:r>
      <w:r>
        <w:rPr>
          <w:rStyle w:val="InlineUI"/>
        </w:rPr>
        <w:t>Create Backup</w:t>
      </w:r>
      <w:r>
        <w:t xml:space="preserve"> page, under </w:t>
      </w:r>
      <w:r>
        <w:rPr>
          <w:rStyle w:val="InlineUI"/>
        </w:rPr>
        <w:t>Advanced options</w:t>
      </w:r>
      <w:r>
        <w:t xml:space="preserve">, add the namespace under </w:t>
      </w:r>
      <w:r>
        <w:rPr>
          <w:rStyle w:val="InlineUI"/>
        </w:rPr>
        <w:t>Excluded namespaces</w:t>
      </w:r>
      <w:r>
        <w:t>. Note that this prevents all resources in the namespace from being backed up and not just volumes.</w:t>
      </w:r>
    </w:p>
    <w:p>
      <w:pPr>
        <w:pStyle w:val="BodyText"/>
        <w:numPr>
          <w:numId w:val="339"/>
        </w:numPr>
      </w:pPr>
      <w:r>
        <w:t>Exclude the problematic pod volumes.</w:t>
      </w:r>
    </w:p>
    <w:p>
      <w:pPr>
        <w:pStyle w:val="BodyText"/>
        <w:ind w:left="480"/>
      </w:pPr>
      <w:r>
        <w:t xml:space="preserve">Annotate the pods containing the problematic volumes with </w:t>
      </w:r>
      <w:r>
        <w:rPr>
          <w:rStyle w:val="InlineCode"/>
        </w:rPr>
        <w:t>backup.velero.io/backup-volumes-excludes=vol1,vol2,vol3</w:t>
      </w:r>
      <w:r>
        <w:t xml:space="preserve">. The volume names in the annotation would be those in the pod manifest under </w:t>
      </w:r>
      <w:r>
        <w:rPr>
          <w:rStyle w:val="InlineCode"/>
        </w:rPr>
        <w:t>.spec.volumes</w:t>
      </w:r>
      <w:r>
        <w:t xml:space="preserve"> and not the PVC or PV names. Also, in case the pods are created via another resource such as a deployment or DaemonSet, you can configure the parent resource such that spawned pods receive the annotation ( </w:t>
      </w:r>
      <w:r>
        <w:rPr>
          <w:rStyle w:val="InlineCode"/>
        </w:rPr>
        <w:t>.spec.template.metadata.annotations</w:t>
      </w:r>
      <w:r>
        <w:t xml:space="preserve"> in case of </w:t>
      </w:r>
      <w:r>
        <w:rPr>
          <w:rStyle w:val="InlineCode"/>
        </w:rPr>
        <w:t>deployments/daemonsets</w:t>
      </w:r>
      <w:r>
        <w:t xml:space="preserve"> ). This ensures that the annotation persists even if the pod is recreated.</w:t>
      </w:r>
    </w:p>
    <w:p>
      <w:pPr>
        <w:pStyle w:val="BodyText"/>
        <w:numPr>
          <w:numId w:val="339"/>
        </w:numPr>
      </w:pPr>
      <w:r>
        <w:t>Exclude the problematic pods.</w:t>
      </w:r>
    </w:p>
    <w:p>
      <w:pPr>
        <w:pStyle w:val="BodyText"/>
        <w:ind w:left="480"/>
      </w:pPr>
      <w:r>
        <w:t xml:space="preserve">Similar to the above-mentioned option, you can exclude the pod and all its volumes from being backed up by labeling it with </w:t>
      </w:r>
      <w:r>
        <w:rPr>
          <w:rStyle w:val="InlineCode"/>
        </w:rPr>
        <w:t>velero.io/exclude-from-backup=true</w:t>
      </w:r>
      <w:r>
        <w:t>.</w:t>
      </w:r>
    </w:p>
    <w:p>
      <w:pPr>
        <w:pStyle w:val="BodyText"/>
        <w:numPr>
          <w:numId w:val="339"/>
        </w:numPr>
      </w:pPr>
      <w:r>
        <w:t>Tolerate the taint for the node-agent DaemonSet.</w:t>
      </w:r>
    </w:p>
    <w:p>
      <w:pPr>
        <w:pStyle w:val="BodyText"/>
        <w:ind w:left="480"/>
      </w:pPr>
      <w:r>
        <w:t>Edit the DaemonSet with:</w:t>
      </w:r>
    </w:p>
    <w:p>
      <w:pPr>
        <w:pStyle w:val="CodeBlock"/>
      </w:pPr>
      <w:r>
        <w:t>```
kubectl -n velero edit ds node-agent
```</w:t>
      </w:r>
    </w:p>
    <w:p>
      <w:pPr>
        <w:pStyle w:val="BodyText"/>
      </w:pPr>
      <w:r>
        <w:t xml:space="preserve">Add the following under </w:t>
      </w:r>
      <w:r>
        <w:rPr>
          <w:rStyle w:val="InlineCode"/>
        </w:rPr>
        <w:t>.spec.template.spec</w:t>
      </w:r>
      <w:r>
        <w:t>:</w:t>
      </w:r>
    </w:p>
    <w:p>
      <w:pPr>
        <w:pStyle w:val="CodeBlock"/>
      </w:pPr>
      <w:r>
        <w:t xml:space="preserve"> ```
tolerations:
    - key: node-role.kubernetes.io/control-plane
      operator: Exists
      effect: NoSchedule
    - key: node-role.kubernetes.io/master
      operator: Exists
      effect: NoSchedule
``` </w:t>
      </w:r>
    </w:p>
    <w:p>
      <w:pPr>
        <w:pStyle w:val="BodyText"/>
        <w:pBdr>
          <w:top w:val="single" w:sz="8" w:space="2" w:color="D3D3D3"/>
          <w:bottom w:val="single" w:sz="8" w:space="2" w:color="D3D3D3"/>
        </w:pBdr>
      </w:pPr>
      <w:r>
        <w:rPr>
          <w:rStyle w:val="NoteLeaderimportant"/>
        </w:rPr>
        <w:t>Important</w:t>
        <w:tab/>
      </w:r>
      <w:r>
        <w:t>The exact taint key used could differ across clusters. In the end, verify that the DaemonSet pods were spawned on every node in the cluster.</w:t>
      </w:r>
    </w:p>
    <w:p>
      <w:pPr>
        <w:pStyle w:val="Heading5"/>
      </w:pPr>
      <w:r>
        <w:t>The Velero Namespace Is Stuck Terminating</w:t>
      </w:r>
    </w:p>
    <w:p>
      <w:pPr>
        <w:pStyle w:val="BodyText"/>
      </w:pPr>
      <w:r>
        <w:t>You might encounter the issue of the Velero namespace being stuck in the terminating phase when data protection is disabled on a cluster.</w:t>
      </w:r>
    </w:p>
    <w:p>
      <w:pPr>
        <w:pStyle w:val="BodyText"/>
      </w:pPr>
      <w:r>
        <w:t xml:space="preserve">Starting with Velero 1.12, some resources like restores now use finalizers. In order for the Velero namespace to finish deleting, all finalizers for the resources within the namespace must be removed. During disablement of data protection on a cluster, in rare situations, the Velero pods as well as the </w:t>
      </w:r>
      <w:r>
        <w:t>VKS</w:t>
      </w:r>
      <w:r>
        <w:t xml:space="preserve"> cluster management data protection pods might be cleaned up before getting a chance to remove all the finalizers.</w:t>
      </w:r>
    </w:p>
    <w:p>
      <w:pPr>
        <w:pStyle w:val="BodyText"/>
        <w:numPr>
          <w:numId w:val="340"/>
        </w:numPr>
      </w:pPr>
      <w:r>
        <w:t>Use one of the following solutions:</w:t>
      </w:r>
    </w:p>
    <w:p>
      <w:pPr>
        <w:pStyle w:val="BodyText"/>
        <w:numPr>
          <w:ilvl w:val="1"/>
          <w:numId w:val="340"/>
        </w:numPr>
      </w:pPr>
      <w:r>
        <w:t xml:space="preserve">Remove finalizers from each resource. Look for resources in the Velero namespace that are stuck in the </w:t>
      </w:r>
      <w:r>
        <w:rPr>
          <w:rStyle w:val="InlineCode"/>
        </w:rPr>
        <w:t>Terminating</w:t>
      </w:r>
      <w:r>
        <w:t xml:space="preserve"> state and not successfully deleted:</w:t>
      </w:r>
    </w:p>
    <w:p>
      <w:pPr>
        <w:pStyle w:val="CodeBlock"/>
        <w:ind w:left="960"/>
      </w:pPr>
      <w:r>
        <w:t>kubectl -n velero get restores
kubectl -n velero get datauploads
kubectl -n velero get datadownloads</w:t>
      </w:r>
    </w:p>
    <w:p>
      <w:pPr>
        <w:pStyle w:val="BodyText"/>
        <w:ind w:left="960"/>
      </w:pPr>
      <w:r>
        <w:t>Remove the finalizers from each resource by using the fullowing command:</w:t>
      </w:r>
    </w:p>
    <w:p>
      <w:pPr>
        <w:pStyle w:val="CodeBlock"/>
        <w:ind w:left="960"/>
      </w:pPr>
      <w:r>
        <w:t>kubectl edit</w:t>
      </w:r>
    </w:p>
    <w:p>
      <w:pPr>
        <w:pStyle w:val="BodyText"/>
        <w:ind w:left="960"/>
      </w:pPr>
      <w:r>
        <w:t>or this one-line command:</w:t>
      </w:r>
    </w:p>
    <w:p>
      <w:pPr>
        <w:pStyle w:val="CodeBlock"/>
        <w:ind w:left="960"/>
      </w:pPr>
      <w:r>
        <w:t>kubectl -n velero patch restore &lt;restore name&gt; -p '{"metadata":{"finalizers":null}}' --type=merge</w:t>
      </w:r>
    </w:p>
    <w:p>
      <w:pPr>
        <w:pStyle w:val="BodyText"/>
        <w:numPr>
          <w:ilvl w:val="1"/>
          <w:numId w:val="340"/>
        </w:numPr>
      </w:pPr>
      <w:r>
        <w:t>Force delete the following namespace:</w:t>
      </w:r>
    </w:p>
    <w:p>
      <w:pPr>
        <w:pStyle w:val="CodeBlock"/>
        <w:ind w:left="960"/>
      </w:pPr>
      <w:r>
        <w:t>kubectl get ns velero -o json | jq '.spec.finalizers = []' | kubectl replace --raw "/api/v1/namespaces/velero/finalize" -f -</w:t>
      </w:r>
    </w:p>
    <w:sectPr w:rsidSect="0078571F">
      <w:headerReference w:type="default" r:id="rId63"/>
      <w:footerReference w:type="default" r:id="rId64"/>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228</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VCF Automation Organization Management for All Apps</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multilevel"/>
    <w:tmpl w:val="7A0F567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multilevel"/>
    <w:tmpl w:val="7A0F56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multilevel"/>
    <w:tmpl w:val="7A0F56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multilevel"/>
    <w:tmpl w:val="7A0F56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multilevel"/>
    <w:tmpl w:val="7A0F568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multilevel"/>
    <w:tmpl w:val="7A0F56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A0F568E"/>
    <w:multiLevelType w:val="multilevel"/>
    <w:tmpl w:val="7A0F568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multilevel"/>
    <w:tmpl w:val="7A0F569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A0F5693"/>
    <w:multiLevelType w:val="multilevel"/>
    <w:tmpl w:val="7A0F569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4"/>
    <w:multiLevelType w:val="multilevel"/>
    <w:tmpl w:val="7A0F569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5"/>
    <w:multiLevelType w:val="multilevel"/>
    <w:tmpl w:val="7A0F56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multilevel"/>
    <w:tmpl w:val="7A0F569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A0F5698"/>
    <w:multiLevelType w:val="multilevel"/>
    <w:tmpl w:val="7A0F569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multilevel"/>
    <w:tmpl w:val="7A0F569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multilevel"/>
    <w:tmpl w:val="7A0F569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multilevel"/>
    <w:tmpl w:val="7A0F56A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multilevel"/>
    <w:tmpl w:val="7A0F56A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multilevel"/>
    <w:tmpl w:val="7A0F56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multilevel"/>
    <w:tmpl w:val="7A0F56B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8"/>
    <w:multiLevelType w:val="hybridMultilevel"/>
    <w:tmpl w:val="7A0F56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multilevel"/>
    <w:tmpl w:val="7A0F56C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2"/>
    <w:multiLevelType w:val="multilevel"/>
    <w:tmpl w:val="7A0F56C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0F56C3"/>
    <w:multiLevelType w:val="multilevel"/>
    <w:tmpl w:val="7A0F56C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0F56C4"/>
    <w:multiLevelType w:val="multilevel"/>
    <w:tmpl w:val="7A0F56C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hybridMultilevel"/>
    <w:tmpl w:val="7A0F56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multilevel"/>
    <w:tmpl w:val="7A0F56C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multilevel"/>
    <w:tmpl w:val="7A0F56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A0F56CC"/>
    <w:multiLevelType w:val="multilevel"/>
    <w:tmpl w:val="7A0F56C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A0F56CD"/>
    <w:multiLevelType w:val="multilevel"/>
    <w:tmpl w:val="7A0F56C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A0F56CF"/>
    <w:multiLevelType w:val="multilevel"/>
    <w:tmpl w:val="7A0F56C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A0F56D0"/>
    <w:multiLevelType w:val="multilevel"/>
    <w:tmpl w:val="7A0F56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A0F56D9"/>
    <w:multiLevelType w:val="multilevel"/>
    <w:tmpl w:val="7A0F56D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multilevel"/>
    <w:tmpl w:val="7A0F56D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multilevel"/>
    <w:tmpl w:val="7A0F56E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multilevel"/>
    <w:tmpl w:val="7A0F56E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multilevel"/>
    <w:tmpl w:val="7A0F56E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multilevel"/>
    <w:tmpl w:val="7A0F56E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A0F56EC"/>
    <w:multiLevelType w:val="multilevel"/>
    <w:tmpl w:val="7A0F56E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hybridMultilevel"/>
    <w:tmpl w:val="7A0F56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5"/>
    <w:multiLevelType w:val="hybridMultilevel"/>
    <w:tmpl w:val="7A0F56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A0F56F6"/>
    <w:multiLevelType w:val="hybridMultilevel"/>
    <w:tmpl w:val="7A0F56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A0F56F7"/>
    <w:multiLevelType w:val="hybridMultilevel"/>
    <w:tmpl w:val="7A0F56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hybridMultilevel"/>
    <w:tmpl w:val="7A0F56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hybridMultilevel"/>
    <w:tmpl w:val="7A0F57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A0F5702"/>
    <w:multiLevelType w:val="hybridMultilevel"/>
    <w:tmpl w:val="7A0F57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multilevel"/>
    <w:tmpl w:val="7A0F570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6"/>
    <w:multiLevelType w:val="hybridMultilevel"/>
    <w:tmpl w:val="7A0F57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A0F5707"/>
    <w:multiLevelType w:val="multilevel"/>
    <w:tmpl w:val="7A0F570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A0F5708"/>
    <w:multiLevelType w:val="hybridMultilevel"/>
    <w:tmpl w:val="7A0F57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A0F570C"/>
    <w:multiLevelType w:val="hybridMultilevel"/>
    <w:tmpl w:val="7A0F57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D"/>
    <w:multiLevelType w:val="hybridMultilevel"/>
    <w:tmpl w:val="7A0F57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hybridMultilevel"/>
    <w:tmpl w:val="7A0F57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1"/>
    <w:multiLevelType w:val="hybridMultilevel"/>
    <w:tmpl w:val="7A0F57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A0F5712"/>
    <w:multiLevelType w:val="hybridMultilevel"/>
    <w:tmpl w:val="7A0F57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5"/>
    <w:multiLevelType w:val="hybridMultilevel"/>
    <w:tmpl w:val="7A0F57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A0F5716"/>
    <w:multiLevelType w:val="hybridMultilevel"/>
    <w:tmpl w:val="7A0F57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A0F5717"/>
    <w:multiLevelType w:val="hybridMultilevel"/>
    <w:tmpl w:val="7A0F57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A0F5718"/>
    <w:multiLevelType w:val="hybridMultilevel"/>
    <w:tmpl w:val="7A0F57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A0F5719"/>
    <w:multiLevelType w:val="hybridMultilevel"/>
    <w:tmpl w:val="7A0F57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C"/>
    <w:multiLevelType w:val="hybridMultilevel"/>
    <w:tmpl w:val="7A0F57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hybridMultilevel"/>
    <w:tmpl w:val="7A0F57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multilevel"/>
    <w:tmpl w:val="7A0F572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A0F5721"/>
    <w:multiLevelType w:val="multilevel"/>
    <w:tmpl w:val="7A0F572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4"/>
    <w:multiLevelType w:val="hybridMultilevel"/>
    <w:tmpl w:val="7A0F57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6"/>
    <w:multiLevelType w:val="hybridMultilevel"/>
    <w:tmpl w:val="7A0F57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A0F5727"/>
    <w:multiLevelType w:val="hybridMultilevel"/>
    <w:tmpl w:val="7A0F57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A0F5729"/>
    <w:multiLevelType w:val="multilevel"/>
    <w:tmpl w:val="7A0F572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A0F572B"/>
    <w:multiLevelType w:val="multilevel"/>
    <w:tmpl w:val="7A0F572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D"/>
    <w:multiLevelType w:val="multilevel"/>
    <w:tmpl w:val="7A0F572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7A0F572E"/>
    <w:multiLevelType w:val="multilevel"/>
    <w:tmpl w:val="7A0F572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7A0F572F"/>
    <w:multiLevelType w:val="multilevel"/>
    <w:tmpl w:val="7A0F572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7A0F5730"/>
    <w:multiLevelType w:val="multilevel"/>
    <w:tmpl w:val="7A0F573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32"/>
    <w:multiLevelType w:val="hybridMultilevel"/>
    <w:tmpl w:val="7A0F57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5"/>
    <w:multiLevelType w:val="multilevel"/>
    <w:tmpl w:val="7A0F573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A0F5736"/>
    <w:multiLevelType w:val="multilevel"/>
    <w:tmpl w:val="7A0F573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A0F5737"/>
    <w:multiLevelType w:val="multilevel"/>
    <w:tmpl w:val="7A0F573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A0F5738"/>
    <w:multiLevelType w:val="multilevel"/>
    <w:tmpl w:val="7A0F573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A0F5739"/>
    <w:multiLevelType w:val="multilevel"/>
    <w:tmpl w:val="7A0F573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A0F573B"/>
    <w:multiLevelType w:val="multilevel"/>
    <w:tmpl w:val="7A0F573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A0F573D"/>
    <w:multiLevelType w:val="multilevel"/>
    <w:tmpl w:val="7A0F573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A0F573E"/>
    <w:multiLevelType w:val="multilevel"/>
    <w:tmpl w:val="7A0F573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A0F573F"/>
    <w:multiLevelType w:val="hybridMultilevel"/>
    <w:tmpl w:val="7A0F57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7A0F5740"/>
    <w:multiLevelType w:val="multilevel"/>
    <w:tmpl w:val="7A0F574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2"/>
    <w:multiLevelType w:val="hybridMultilevel"/>
    <w:tmpl w:val="7A0F57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hybridMultilevel"/>
    <w:tmpl w:val="7A0F57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multilevel"/>
    <w:tmpl w:val="7A0F574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7A0F574F"/>
    <w:multiLevelType w:val="hybridMultilevel"/>
    <w:tmpl w:val="7A0F57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50"/>
    <w:multiLevelType w:val="hybridMultilevel"/>
    <w:tmpl w:val="7A0F57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7A0F5753"/>
    <w:multiLevelType w:val="hybridMultilevel"/>
    <w:tmpl w:val="7A0F57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7A0F5754"/>
    <w:multiLevelType w:val="multilevel"/>
    <w:tmpl w:val="7A0F575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7A0F5755"/>
    <w:multiLevelType w:val="hybridMultilevel"/>
    <w:tmpl w:val="7A0F57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9"/>
    <w:multiLevelType w:val="hybridMultilevel"/>
    <w:tmpl w:val="7A0F57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7A0F575A"/>
    <w:multiLevelType w:val="multilevel"/>
    <w:tmpl w:val="7A0F575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7A0F575B"/>
    <w:multiLevelType w:val="hybridMultilevel"/>
    <w:tmpl w:val="7A0F57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C"/>
    <w:multiLevelType w:val="hybridMultilevel"/>
    <w:tmpl w:val="7A0F57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D"/>
    <w:multiLevelType w:val="multilevel"/>
    <w:tmpl w:val="7A0F575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7A0F575F"/>
    <w:multiLevelType w:val="multilevel"/>
    <w:tmpl w:val="7A0F575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7A0F5760"/>
    <w:multiLevelType w:val="multilevel"/>
    <w:tmpl w:val="7A0F576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7A0F5761"/>
    <w:multiLevelType w:val="hybridMultilevel"/>
    <w:tmpl w:val="7A0F57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7A0F5762"/>
    <w:multiLevelType w:val="multilevel"/>
    <w:tmpl w:val="7A0F576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7A0F5764"/>
    <w:multiLevelType w:val="multilevel"/>
    <w:tmpl w:val="7A0F576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6"/>
    <w:multiLevelType w:val="multilevel"/>
    <w:tmpl w:val="7A0F576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7A0F5767"/>
    <w:multiLevelType w:val="multilevel"/>
    <w:tmpl w:val="7A0F576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7A0F5768"/>
    <w:multiLevelType w:val="multilevel"/>
    <w:tmpl w:val="7A0F576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7A0F5769"/>
    <w:multiLevelType w:val="hybridMultilevel"/>
    <w:tmpl w:val="7A0F57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A"/>
    <w:multiLevelType w:val="multilevel"/>
    <w:tmpl w:val="7A0F57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C"/>
    <w:multiLevelType w:val="multilevel"/>
    <w:tmpl w:val="7A0F576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7A0F576D"/>
    <w:multiLevelType w:val="multilevel"/>
    <w:tmpl w:val="7A0F576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7A0F576E"/>
    <w:multiLevelType w:val="multilevel"/>
    <w:tmpl w:val="7A0F576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7A0F5770"/>
    <w:multiLevelType w:val="multilevel"/>
    <w:tmpl w:val="7A0F577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2"/>
    <w:multiLevelType w:val="multilevel"/>
    <w:tmpl w:val="7A0F577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7A0F5773"/>
    <w:multiLevelType w:val="multilevel"/>
    <w:tmpl w:val="7A0F57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7A0F5774"/>
    <w:multiLevelType w:val="multilevel"/>
    <w:tmpl w:val="7A0F57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8">
    <w:nsid w:val="7A0F5776"/>
    <w:multiLevelType w:val="multilevel"/>
    <w:tmpl w:val="7A0F57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7A0F5777"/>
    <w:multiLevelType w:val="hybridMultilevel"/>
    <w:tmpl w:val="7A0F57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0">
    <w:nsid w:val="7A0F5778"/>
    <w:multiLevelType w:val="multilevel"/>
    <w:tmpl w:val="7A0F577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7A0F5779"/>
    <w:multiLevelType w:val="multilevel"/>
    <w:tmpl w:val="7A0F577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7A0F577A"/>
    <w:multiLevelType w:val="multilevel"/>
    <w:tmpl w:val="7A0F57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7A0F577B"/>
    <w:multiLevelType w:val="hybridMultilevel"/>
    <w:tmpl w:val="7A0F57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7A0F577C"/>
    <w:multiLevelType w:val="hybridMultilevel"/>
    <w:tmpl w:val="7A0F57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5">
    <w:nsid w:val="7A0F577D"/>
    <w:multiLevelType w:val="hybridMultilevel"/>
    <w:tmpl w:val="7A0F57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6">
    <w:nsid w:val="7A0F577E"/>
    <w:multiLevelType w:val="multilevel"/>
    <w:tmpl w:val="7A0F577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7A0F5780"/>
    <w:multiLevelType w:val="multilevel"/>
    <w:tmpl w:val="7A0F578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7A0F5781"/>
    <w:multiLevelType w:val="multilevel"/>
    <w:tmpl w:val="7A0F57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7A0F5782"/>
    <w:multiLevelType w:val="multilevel"/>
    <w:tmpl w:val="7A0F57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7A0F5783"/>
    <w:multiLevelType w:val="hybridMultilevel"/>
    <w:tmpl w:val="7A0F57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7A0F5784"/>
    <w:multiLevelType w:val="multilevel"/>
    <w:tmpl w:val="7A0F57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7A0F5785"/>
    <w:multiLevelType w:val="hybridMultilevel"/>
    <w:tmpl w:val="7A0F57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4">
    <w:nsid w:val="7A0F5786"/>
    <w:multiLevelType w:val="multilevel"/>
    <w:tmpl w:val="7A0F578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7A0F5787"/>
    <w:multiLevelType w:val="hybridMultilevel"/>
    <w:tmpl w:val="7A0F57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7A0F5788"/>
    <w:multiLevelType w:val="multilevel"/>
    <w:tmpl w:val="7A0F57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7A0F5789"/>
    <w:multiLevelType w:val="hybridMultilevel"/>
    <w:tmpl w:val="7A0F57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A"/>
    <w:multiLevelType w:val="multilevel"/>
    <w:tmpl w:val="7A0F578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7A0F578B"/>
    <w:multiLevelType w:val="hybridMultilevel"/>
    <w:tmpl w:val="7A0F57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0">
    <w:nsid w:val="7A0F578C"/>
    <w:multiLevelType w:val="multilevel"/>
    <w:tmpl w:val="7A0F578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7A0F578D"/>
    <w:multiLevelType w:val="hybridMultilevel"/>
    <w:tmpl w:val="7A0F57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7A0F578E"/>
    <w:multiLevelType w:val="hybridMultilevel"/>
    <w:tmpl w:val="7A0F57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7A0F578F"/>
    <w:multiLevelType w:val="hybridMultilevel"/>
    <w:tmpl w:val="7A0F57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7A0F5790"/>
    <w:multiLevelType w:val="hybridMultilevel"/>
    <w:tmpl w:val="7A0F57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5">
    <w:nsid w:val="7A0F5791"/>
    <w:multiLevelType w:val="hybridMultilevel"/>
    <w:tmpl w:val="7A0F57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7A0F5792"/>
    <w:multiLevelType w:val="hybridMultilevel"/>
    <w:tmpl w:val="7A0F57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7">
    <w:nsid w:val="7A0F5793"/>
    <w:multiLevelType w:val="hybridMultilevel"/>
    <w:tmpl w:val="7A0F57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8">
    <w:nsid w:val="7A0F5794"/>
    <w:multiLevelType w:val="hybridMultilevel"/>
    <w:tmpl w:val="7A0F57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7A0F5795"/>
    <w:multiLevelType w:val="multilevel"/>
    <w:tmpl w:val="7A0F57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7A0F5796"/>
    <w:multiLevelType w:val="multilevel"/>
    <w:tmpl w:val="7A0F579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7A0F5797"/>
    <w:multiLevelType w:val="multilevel"/>
    <w:tmpl w:val="7A0F579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7A0F5798"/>
    <w:multiLevelType w:val="hybridMultilevel"/>
    <w:tmpl w:val="7A0F57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A"/>
    <w:multiLevelType w:val="multilevel"/>
    <w:tmpl w:val="7A0F579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7A0F579B"/>
    <w:multiLevelType w:val="hybridMultilevel"/>
    <w:tmpl w:val="7A0F57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6">
    <w:nsid w:val="7A0F579C"/>
    <w:multiLevelType w:val="multilevel"/>
    <w:tmpl w:val="7A0F579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7A0F579E"/>
    <w:multiLevelType w:val="multilevel"/>
    <w:tmpl w:val="7A0F579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7A0F579F"/>
    <w:multiLevelType w:val="hybridMultilevel"/>
    <w:tmpl w:val="7A0F57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0">
    <w:nsid w:val="7A0F57A0"/>
    <w:multiLevelType w:val="multilevel"/>
    <w:tmpl w:val="7A0F57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7A0F57A1"/>
    <w:multiLevelType w:val="hybridMultilevel"/>
    <w:tmpl w:val="7A0F57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2">
    <w:nsid w:val="7A0F57A2"/>
    <w:multiLevelType w:val="multilevel"/>
    <w:tmpl w:val="7A0F57A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3">
    <w:nsid w:val="7A0F57A3"/>
    <w:multiLevelType w:val="hybridMultilevel"/>
    <w:tmpl w:val="7A0F57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4"/>
    <w:multiLevelType w:val="multilevel"/>
    <w:tmpl w:val="7A0F57A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6"/>
    <w:multiLevelType w:val="multilevel"/>
    <w:tmpl w:val="7A0F57A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8"/>
    <w:multiLevelType w:val="multilevel"/>
    <w:tmpl w:val="7A0F57A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7A0F57A9"/>
    <w:multiLevelType w:val="hybridMultilevel"/>
    <w:tmpl w:val="7A0F57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0">
    <w:nsid w:val="7A0F57AA"/>
    <w:multiLevelType w:val="hybridMultilevel"/>
    <w:tmpl w:val="7A0F57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1">
    <w:nsid w:val="7A0F57AB"/>
    <w:multiLevelType w:val="multilevel"/>
    <w:tmpl w:val="7A0F57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7A0F57AD"/>
    <w:multiLevelType w:val="multilevel"/>
    <w:tmpl w:val="7A0F57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7A0F57AE"/>
    <w:multiLevelType w:val="hybridMultilevel"/>
    <w:tmpl w:val="7A0F57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7A0F57AF"/>
    <w:multiLevelType w:val="multilevel"/>
    <w:tmpl w:val="7A0F57A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6">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B1"/>
    <w:multiLevelType w:val="multilevel"/>
    <w:tmpl w:val="7A0F57B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3"/>
    <w:multiLevelType w:val="multilevel"/>
    <w:tmpl w:val="7A0F57B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C4D0B"/>
    <w:rsid w:val="000E4BB0"/>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63DCC"/>
    <w:rsid w:val="007776F4"/>
    <w:rsid w:val="00783000"/>
    <w:rsid w:val="0078571F"/>
    <w:rsid w:val="007A3262"/>
    <w:rsid w:val="007A6F22"/>
    <w:rsid w:val="007C400F"/>
    <w:rsid w:val="007E0862"/>
    <w:rsid w:val="007F3764"/>
    <w:rsid w:val="007F40CB"/>
    <w:rsid w:val="00815840"/>
    <w:rsid w:val="008217C0"/>
    <w:rsid w:val="00822231"/>
    <w:rsid w:val="00836DA7"/>
    <w:rsid w:val="00856B0E"/>
    <w:rsid w:val="00857CA5"/>
    <w:rsid w:val="0088719C"/>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825D9"/>
    <w:rsid w:val="00BA02B5"/>
    <w:rsid w:val="00BA4EB6"/>
    <w:rsid w:val="00BC3707"/>
    <w:rsid w:val="00BC5955"/>
    <w:rsid w:val="00BD493A"/>
    <w:rsid w:val="00BF5187"/>
    <w:rsid w:val="00C11E16"/>
    <w:rsid w:val="00C12143"/>
    <w:rsid w:val="00C258BA"/>
    <w:rsid w:val="00C379FA"/>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DE0792"/>
    <w:rsid w:val="00E03CF9"/>
    <w:rsid w:val="00E14E29"/>
    <w:rsid w:val="00E218C0"/>
    <w:rsid w:val="00E55987"/>
    <w:rsid w:val="00E65CB6"/>
    <w:rsid w:val="00EB5D9C"/>
    <w:rsid w:val="00EB76E2"/>
    <w:rsid w:val="00F117EE"/>
    <w:rsid w:val="00F461CF"/>
    <w:rsid w:val="00F64BDD"/>
    <w:rsid w:val="00F76D81"/>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F1CA0"/>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spacing w:before="120"/>
    </w:pPr>
    <w:rPr>
      <w:rFonts w:asciiTheme="minorHAnsi" w:hAnsiTheme="minorHAnsi" w:cstheme="minorHAnsi"/>
      <w:b/>
      <w:bCs/>
      <w:i/>
      <w:iCs/>
      <w:sz w:val="24"/>
      <w:szCs w:val="24"/>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spacing w:before="120"/>
      <w:ind w:left="220"/>
    </w:pPr>
    <w:rPr>
      <w:rFonts w:asciiTheme="minorHAnsi" w:hAnsiTheme="minorHAnsi" w:cstheme="minorHAnsi"/>
      <w:b/>
      <w:bCs/>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ind w:left="440"/>
    </w:pPr>
    <w:rPr>
      <w:rFonts w:asciiTheme="minorHAnsi" w:hAnsiTheme="minorHAnsi" w:cstheme="minorHAnsi"/>
      <w:sz w:val="20"/>
      <w:szCs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paragraph" w:styleId="TOCHeading">
    <w:name w:val="TOC Heading"/>
    <w:basedOn w:val="Heading1"/>
    <w:next w:val="Normal"/>
    <w:uiPriority w:val="39"/>
    <w:unhideWhenUsed/>
    <w:qFormat/>
    <w:rsid w:val="0088719C"/>
    <w:pPr>
      <w:pageBreakBefore w:val="0"/>
      <w:widowControl/>
      <w:numPr>
        <w:numId w:val="0"/>
      </w:numPr>
      <w:autoSpaceDE/>
      <w:autoSpaceDN/>
      <w:spacing w:before="480" w:after="0" w:line="276" w:lineRule="auto"/>
      <w:outlineLvl w:val="9"/>
    </w:pPr>
    <w:rPr>
      <w:rFonts w:asciiTheme="majorHAnsi" w:hAnsiTheme="majorHAnsi"/>
      <w:b/>
      <w:bCs/>
      <w:sz w:val="28"/>
      <w:szCs w:val="28"/>
    </w:rPr>
  </w:style>
  <w:style w:type="paragraph" w:styleId="TOC4">
    <w:name w:val="toc 4"/>
    <w:basedOn w:val="Normal"/>
    <w:next w:val="Normal"/>
    <w:autoRedefine/>
    <w:uiPriority w:val="39"/>
    <w:semiHidden/>
    <w:unhideWhenUsed/>
    <w:rsid w:val="0088719C"/>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8719C"/>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8719C"/>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8719C"/>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8719C"/>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8719C"/>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hashicorp.com/terraform" TargetMode="External"/><Relationship Id="rId21" Type="http://schemas.openxmlformats.org/officeDocument/2006/relationships/image" Target="media/image7.png"/><Relationship Id="rId42" Type="http://schemas.openxmlformats.org/officeDocument/2006/relationships/hyperlink" Target="https://open-policy-agent.github.io/gatekeeper/website/docs/howto" TargetMode="External"/><Relationship Id="rId47" Type="http://schemas.openxmlformats.org/officeDocument/2006/relationships/hyperlink" Target="https://kubernetes.io/docs/concepts/security/pod-security-admission/" TargetMode="External"/><Relationship Id="rId63" Type="http://schemas.openxmlformats.org/officeDocument/2006/relationships/header" Target="header1.xml"/><Relationship Id="rId68" Type="http://schemas.openxmlformats.org/officeDocument/2006/relationships/customXml" Target="../customXml/item2.xml"/><Relationship Id="rId7" Type="http://schemas.openxmlformats.org/officeDocument/2006/relationships/hyperlink" Target="http://www.vmware.com/" TargetMode="External"/><Relationship Id="rId16" Type="http://schemas.openxmlformats.org/officeDocument/2006/relationships/image" Target="media/image2.png"/><Relationship Id="rId2" Type="http://schemas.openxmlformats.org/officeDocument/2006/relationships/webSettings" Target="webSettings.xml"/><Relationship Id="rId29" Type="http://schemas.openxmlformats.org/officeDocument/2006/relationships/hyperlink" Target="https://github.com/vmware/terraform-provider-vcfa/tree/main/examples/greenfield" TargetMode="External"/><Relationship Id="rId11" Type="http://schemas.openxmlformats.org/officeDocument/2006/relationships/hyperlink" Target="https://techdocs.broadcom.com/us/en/vmware-cis/vcf/vcf-9-0-and-later/9-0/advanced-network-management/administration-guide/virtual-private-cloud-in-nsx.html" TargetMode="External"/><Relationship Id="rId24" Type="http://schemas.openxmlformats.org/officeDocument/2006/relationships/image" Target="media/image10.png"/><Relationship Id="rId32" Type="http://schemas.openxmlformats.org/officeDocument/2006/relationships/hyperlink" Target="https://registry.terraform.io/providers/hashicorp/kubernetes/latest/docs" TargetMode="External"/><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17.png"/><Relationship Id="rId53" Type="http://schemas.openxmlformats.org/officeDocument/2006/relationships/hyperlink" Target="https://velero.io/docs" TargetMode="External"/><Relationship Id="rId58" Type="http://schemas.openxmlformats.org/officeDocument/2006/relationships/hyperlink" Target="https://github.com/kubernetes-csi/external-snapshotter#usage" TargetMode="External"/><Relationship Id="rId66" Type="http://schemas.openxmlformats.org/officeDocument/2006/relationships/numbering" Target="numbering.xml"/><Relationship Id="rId5" Type="http://schemas.openxmlformats.org/officeDocument/2006/relationships/image" Target="media/image1.png"/><Relationship Id="rId61" Type="http://schemas.openxmlformats.org/officeDocument/2006/relationships/hyperlink" Target="https://github.com/vmware-tanzu/velero/issues/5276" TargetMode="External"/><Relationship Id="rId19" Type="http://schemas.openxmlformats.org/officeDocument/2006/relationships/image" Target="media/image5.png"/><Relationship Id="rId14" Type="http://schemas.openxmlformats.org/officeDocument/2006/relationships/hyperlink" Target="https://techdocs.broadcom.com/us/en/vmware-cis/vcf/vcf-9-0-and-later/9-0/design/design-library/vcf-automation-deployment-models(1)/organization-consumption-model/understanding-workload-networking.html" TargetMode="External"/><Relationship Id="rId22" Type="http://schemas.openxmlformats.org/officeDocument/2006/relationships/image" Target="media/image8.png"/><Relationship Id="rId27" Type="http://schemas.openxmlformats.org/officeDocument/2006/relationships/hyperlink" Target="https://github.com/vmware/terraform-provider-vcfa" TargetMode="External"/><Relationship Id="rId30" Type="http://schemas.openxmlformats.org/officeDocument/2006/relationships/hyperlink" Target="https://github.com/vmware/terraform-provider-vcfa/blob/main/examples/greenfield/tenant" TargetMode="External"/><Relationship Id="rId35" Type="http://schemas.openxmlformats.org/officeDocument/2006/relationships/image" Target="media/image12.png"/><Relationship Id="rId43" Type="http://schemas.openxmlformats.org/officeDocument/2006/relationships/hyperlink" Target="https://www.openpolicyagent.org/docs/policy-language" TargetMode="External"/><Relationship Id="rId48" Type="http://schemas.openxmlformats.org/officeDocument/2006/relationships/image" Target="media/image19.png"/><Relationship Id="rId56" Type="http://schemas.openxmlformats.org/officeDocument/2006/relationships/hyperlink" Target="https://velero.io/docs/main/csi-snapshot-data-movement/" TargetMode="External"/><Relationship Id="rId64" Type="http://schemas.openxmlformats.org/officeDocument/2006/relationships/footer" Target="footer1.xml"/><Relationship Id="rId69" Type="http://schemas.openxmlformats.org/officeDocument/2006/relationships/customXml" Target="../customXml/item3.xml"/><Relationship Id="rId51" Type="http://schemas.openxmlformats.org/officeDocument/2006/relationships/image" Target="media/image21.png"/><Relationship Id="rId8" Type="http://schemas.openxmlformats.org/officeDocument/2006/relationships/hyperlink" Target="https://docs.vmware.com/copyright-trademark.html" TargetMode="External"/><Relationship Id="rId3" Type="http://schemas.openxmlformats.org/officeDocument/2006/relationships/fontTable" Target="fontTable.xml"/><Relationship Id="rId12" Type="http://schemas.openxmlformats.org/officeDocument/2006/relationships/hyperlink" Target="https://techdocs.broadcom.com/us/en/vmware-cis/vcf/vcf-9-0-and-later/9-0/design/design-library/vcf-automation-deployment-models(1)/multi-tenancy-design-patterns/pattern-1.htm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github.com/vmware/terraform-provider-vra" TargetMode="External"/><Relationship Id="rId38" Type="http://schemas.openxmlformats.org/officeDocument/2006/relationships/image" Target="media/image15.svg"/><Relationship Id="rId46" Type="http://schemas.openxmlformats.org/officeDocument/2006/relationships/image" Target="media/image18.png"/><Relationship Id="rId59" Type="http://schemas.openxmlformats.org/officeDocument/2006/relationships/hyperlink" Target="https://velero.io/docs/main/backup-hooks/" TargetMode="External"/><Relationship Id="rId67" Type="http://schemas.openxmlformats.org/officeDocument/2006/relationships/styles" Target="styles.xml"/><Relationship Id="rId20" Type="http://schemas.openxmlformats.org/officeDocument/2006/relationships/image" Target="media/image6.png"/><Relationship Id="rId41" Type="http://schemas.openxmlformats.org/officeDocument/2006/relationships/hyperlink" Target="https://open-policy-agent.github.io/gatekeeper/website/docs/" TargetMode="External"/><Relationship Id="rId54" Type="http://schemas.openxmlformats.org/officeDocument/2006/relationships/hyperlink" Target="https://velero.io/docs/v1.9/supported-providers/#s3-compatible-object-store-providers" TargetMode="External"/><Relationship Id="rId62" Type="http://schemas.openxmlformats.org/officeDocument/2006/relationships/hyperlink" Target="https://www.elastic.co/guide/en/elasticsearch/reference/8.2/snapshot-restore.html#other-backup-methods" TargetMode="External"/><Relationship Id="rId70" Type="http://schemas.openxmlformats.org/officeDocument/2006/relationships/customXml" Target="../customXml/item4.xml"/><Relationship Id="rId1" Type="http://schemas.openxmlformats.org/officeDocument/2006/relationships/settings" Target="settings.xml"/><Relationship Id="rId6" Type="http://schemas.openxmlformats.org/officeDocument/2006/relationships/hyperlink" Target="https://docs.vmware.com/" TargetMode="External"/><Relationship Id="rId15" Type="http://schemas.openxmlformats.org/officeDocument/2006/relationships/hyperlink" Target="https://docs.oracle.com/javase/8/docs/api/java/util/Formatter.html" TargetMode="External"/><Relationship Id="rId23" Type="http://schemas.openxmlformats.org/officeDocument/2006/relationships/image" Target="media/image9.png"/><Relationship Id="rId28" Type="http://schemas.openxmlformats.org/officeDocument/2006/relationships/hyperlink" Target="https://registry.terraform.io/providers/vmware/vcfa/latest/docs" TargetMode="External"/><Relationship Id="rId36" Type="http://schemas.openxmlformats.org/officeDocument/2006/relationships/image" Target="media/image13.svg"/><Relationship Id="rId49" Type="http://schemas.openxmlformats.org/officeDocument/2006/relationships/hyperlink" Target="https://open-policy-agent.github.io/gatekeeper/website/docs/mutation/#assignmetadata" TargetMode="External"/><Relationship Id="rId57" Type="http://schemas.openxmlformats.org/officeDocument/2006/relationships/hyperlink" Target="https://kubernetes.io/blog/2020/12/10/kubernetes-1.20-volume-snapshot-moves-to-ga/" TargetMode="External"/><Relationship Id="rId10" Type="http://schemas.openxmlformats.org/officeDocument/2006/relationships/hyperlink" Target="https://knowledge.broadcom.com/external/article/394731/" TargetMode="External"/><Relationship Id="rId31" Type="http://schemas.openxmlformats.org/officeDocument/2006/relationships/hyperlink" Target="https://github.com/vmware/terraform-provider-vcfa/blob/main/examples/greenfield/provider" TargetMode="External"/><Relationship Id="rId44" Type="http://schemas.openxmlformats.org/officeDocument/2006/relationships/hyperlink" Target="https://open-policy-agent.github.io/gatekeeper/website/docs/sync/" TargetMode="External"/><Relationship Id="rId52" Type="http://schemas.openxmlformats.org/officeDocument/2006/relationships/hyperlink" Target="https://carvel.dev/kapp-controller/" TargetMode="External"/><Relationship Id="rId60" Type="http://schemas.openxmlformats.org/officeDocument/2006/relationships/hyperlink" Target="https://velero.io/docs/main/restore-hooks/" TargetMode="External"/><Relationship Id="rId65" Type="http://schemas.openxmlformats.org/officeDocument/2006/relationships/theme" Target="theme/theme1.xml"/><Relationship Id="rId4" Type="http://schemas.openxmlformats.org/officeDocument/2006/relationships/customXml" Target="../customXml/item1.xml"/><Relationship Id="rId9" Type="http://schemas.openxmlformats.org/officeDocument/2006/relationships/hyperlink" Target="https://techdocs.broadcom.com/us/en/vmware-cis/vcf/vcf-9-0-and-later/9-0/fleet-management/what-is.html" TargetMode="External"/><Relationship Id="rId13" Type="http://schemas.openxmlformats.org/officeDocument/2006/relationships/hyperlink" Target="https://techdocs.broadcom.com/us/en/vmware-cis/vcf/vcf-9-0-and-later/9-0/design/design-library/vcf-automation-deployment-models(1)/multi-tenancy-design-patterns/pattern-2.html" TargetMode="External"/><Relationship Id="rId18" Type="http://schemas.openxmlformats.org/officeDocument/2006/relationships/image" Target="media/image4.png"/><Relationship Id="rId39" Type="http://schemas.openxmlformats.org/officeDocument/2006/relationships/hyperlink" Target="http://projects.packages.broadcom.com" TargetMode="External"/><Relationship Id="rId34" Type="http://schemas.openxmlformats.org/officeDocument/2006/relationships/hyperlink" Target="https://www.broadcom.com/company/legal/privacy" TargetMode="External"/><Relationship Id="rId50" Type="http://schemas.openxmlformats.org/officeDocument/2006/relationships/image" Target="media/image20.png"/><Relationship Id="rId55" Type="http://schemas.openxmlformats.org/officeDocument/2006/relationships/hyperlink" Target="https://velero.io/docs/main/c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E5847C8-BA62-AC45-B7B8-4FCF341A8BA5}">
  <ds:schemaRefs>
    <ds:schemaRef ds:uri="http://schemas.openxmlformats.org/officeDocument/2006/bibliography"/>
  </ds:schemaRefs>
</ds:datastoreItem>
</file>

<file path=customXml/itemProps2.xml><?xml version="1.0" encoding="utf-8"?>
<ds:datastoreItem xmlns:ds="http://schemas.openxmlformats.org/officeDocument/2006/customXml" ds:itemID="{86CFC65E-7521-48D1-A624-744397452206}"/>
</file>

<file path=customXml/itemProps3.xml><?xml version="1.0" encoding="utf-8"?>
<ds:datastoreItem xmlns:ds="http://schemas.openxmlformats.org/officeDocument/2006/customXml" ds:itemID="{D78B9B63-733A-4A6F-981A-D7A4E12F8FAD}"/>
</file>

<file path=customXml/itemProps4.xml><?xml version="1.0" encoding="utf-8"?>
<ds:datastoreItem xmlns:ds="http://schemas.openxmlformats.org/officeDocument/2006/customXml" ds:itemID="{6BE9DFF8-6329-4BAE-80C4-26724B90B697}"/>
</file>

<file path=docProps/app.xml><?xml version="1.0" encoding="utf-8"?>
<Properties xmlns="http://schemas.openxmlformats.org/officeDocument/2006/extended-properties" xmlns:vt="http://schemas.openxmlformats.org/officeDocument/2006/docPropsVTypes">
  <Template>Normal.dotm</Template>
  <TotalTime>147</TotalTime>
  <Pages>228</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Automation Organization Management for All Apps</dc:title>
  <dc:creator>VMware, Inc.</dc:creator>
  <cp:lastModifiedBy>Ananth Sivagurunathan</cp:lastModifiedBy>
  <cp:revision>52</cp:revision>
  <dcterms:created xsi:type="dcterms:W3CDTF">2022-05-31T18:02:00Z</dcterms:created>
  <dcterms:modified xsi:type="dcterms:W3CDTF">2025-09-08T23:32:00Z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