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34B6B010">
      <w:pPr>
        <w:pStyle w:val="Title"/>
        <w:rPr>
          <w:rFonts w:ascii="Arial" w:hAnsi="Arial" w:cs="Arial"/>
        </w:rPr>
      </w:pPr>
      <w:r w:rsidRPr="00FF1CA0">
        <w:rPr>
          <w:rFonts w:ascii="Arial" w:hAnsi="Arial" w:cs="Arial"/>
        </w:rPr>
        <w:fldChar w:fldCharType="begin"/>
      </w:r>
      <w:r w:rsidRPr="00FF1CA0">
        <w:rPr>
          <w:rFonts w:ascii="Arial" w:hAnsi="Arial" w:cs="Arial"/>
        </w:rPr>
        <w:instrText xml:space="preserve"> TITLE   \* MERGEFORMAT </w:instrText>
      </w:r>
      <w:r w:rsidRPr="00FF1CA0">
        <w:rPr>
          <w:rFonts w:ascii="Arial" w:hAnsi="Arial" w:cs="Arial"/>
        </w:rPr>
        <w:fldChar w:fldCharType="separate"/>
      </w:r>
      <w:r w:rsidRPr="00FF1CA0">
        <w:rPr>
          <w:rFonts w:ascii="Arial" w:hAnsi="Arial" w:cs="Arial"/>
        </w:rPr>
        <w:t>VMware Pro Cloud Services - Provider Management Guide for VMware Cloud Foundation Automation</w:t>
      </w:r>
      <w:r w:rsidRPr="00FF1CA0">
        <w:rPr>
          <w:rFonts w:ascii="Arial" w:hAnsi="Arial" w:cs="Arial"/>
        </w:rPr>
        <w:fldChar w:fldCharType="end"/>
      </w:r>
    </w:p>
    <w:p w:rsidR="00B76941" w:rsidRPr="00FF1CA0" w:rsidP="000555E1" w14:paraId="3A27860F" w14:textId="5F8D1B0B">
      <w:pPr>
        <w:pStyle w:val="Subtitle"/>
        <w:rPr>
          <w:rFonts w:ascii="Arial" w:hAnsi="Arial" w:cs="Arial"/>
        </w:rPr>
      </w:pPr>
      <w:bookmarkStart w:id="0" w:name="Horizon_on_Google_Cloud_VMware_Solution_"/>
      <w:bookmarkEnd w:id="0"/>
      <w:r w:rsidRPr="00FF1CA0">
        <w:rPr>
          <w:rFonts w:ascii="Arial" w:hAnsi="Arial" w:cs="Arial"/>
          <w:noProof/>
        </w:rPr>
        <w:drawing>
          <wp:anchor distT="0" distB="0" distL="114300" distR="114300" simplePos="0" relativeHeight="251658240" behindDoc="1" locked="0" layoutInCell="1" allowOverlap="1">
            <wp:simplePos x="0" y="0"/>
            <wp:positionH relativeFrom="page">
              <wp:align>left</wp:align>
            </wp:positionH>
            <wp:positionV relativeFrom="page">
              <wp:posOffset>6096000</wp:posOffset>
            </wp:positionV>
            <wp:extent cx="7767184" cy="3954145"/>
            <wp:effectExtent l="0" t="0" r="571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7767184" cy="3954145"/>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7777777">
      <w:pPr>
        <w:pageBreakBefore/>
        <w:spacing w:after="180"/>
        <w:rPr>
          <w:rFonts w:cs="Arial"/>
          <w:color w:val="323232"/>
          <w:sz w:val="18"/>
          <w:szCs w:val="18"/>
        </w:rPr>
      </w:pPr>
      <w:r w:rsidRPr="00FF1CA0">
        <w:rPr>
          <w:rFonts w:cs="Arial"/>
          <w:color w:val="323232"/>
          <w:sz w:val="18"/>
          <w:szCs w:val="18"/>
        </w:rPr>
        <w:t>You can find the most up-to-date technical documentation on the VMware website at:</w:t>
      </w:r>
    </w:p>
    <w:p w:rsidR="00B76941" w:rsidRPr="00FF1CA0" w:rsidP="0030710A" w14:paraId="7EC74D79" w14:textId="457D864A">
      <w:pPr>
        <w:rPr>
          <w:rFonts w:cs="Arial"/>
          <w:sz w:val="18"/>
          <w:szCs w:val="18"/>
        </w:rPr>
      </w:pPr>
      <w:r w:rsidRPr="00FF1CA0">
        <w:rPr>
          <w:rFonts w:cs="Arial"/>
          <w:color w:val="323232"/>
          <w:spacing w:val="-51"/>
          <w:sz w:val="18"/>
          <w:szCs w:val="18"/>
        </w:rPr>
        <w:t xml:space="preserve"> </w:t>
      </w:r>
      <w:hyperlink r:id="rId6" w:history="1">
        <w:r w:rsidRPr="00FF1CA0">
          <w:rPr>
            <w:rFonts w:cs="Arial"/>
            <w:color w:val="0096D3"/>
            <w:sz w:val="18"/>
            <w:szCs w:val="18"/>
          </w:rPr>
          <w:t>https://docs.vmware.com/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32D1FD36">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202</w:t>
      </w:r>
      <w:r w:rsidRPr="00FF1CA0" w:rsidR="007A3262">
        <w:rPr>
          <w:rFonts w:cs="Arial"/>
          <w:color w:val="323232"/>
          <w:sz w:val="18"/>
        </w:rPr>
        <w:t>5</w:t>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r w:rsidRPr="00FF1CA0">
        <w:rPr>
          <w:rFonts w:cs="Arial"/>
          <w:color w:val="323232"/>
          <w:spacing w:val="1"/>
          <w:sz w:val="18"/>
        </w:rPr>
        <w:t xml:space="preserve"> </w:t>
      </w:r>
      <w:hyperlink r:id="rId8" w:history="1">
        <w:r w:rsidRPr="00FF1CA0">
          <w:rPr>
            <w:rFonts w:cs="Arial"/>
            <w:color w:val="0096D3"/>
            <w:sz w:val="18"/>
          </w:rPr>
          <w:t>Copyright and trademark information.</w:t>
        </w:r>
      </w:hyperlink>
      <w:bookmarkStart w:id="1" w:name="Contents"/>
      <w:bookmarkEnd w:id="1"/>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tabs>
          <w:tab w:val="left" w:pos="440"/>
          <w:tab w:val="right" w:leader="dot" w:pos="9950"/>
        </w:tabs>
        <w:rPr>
          <w:rFonts w:asciiTheme="minorHAnsi" w:hAnsiTheme="minorHAnsi"/>
          <w:noProof/>
          <w:sz w:val="22"/>
        </w:rPr>
      </w:pPr>
      <w:r>
        <w:rPr>
          <w:rFonts w:cs="Arial"/>
        </w:rPr>
        <w:fldChar w:fldCharType="begin"/>
      </w:r>
      <w:r>
        <w:rPr>
          <w:rFonts w:cs="Arial"/>
        </w:rPr>
        <w:instrText xml:space="preserve"> TOC \o "1-4" \h \z \u </w:instrText>
      </w:r>
      <w:r>
        <w:rPr>
          <w:rFonts w:cs="Arial"/>
        </w:rPr>
        <w:fldChar w:fldCharType="separate"/>
      </w:r>
      <w:hyperlink w:anchor="_Toc256000426" w:history="1">
        <w:r>
          <w:rPr>
            <w:rStyle w:val="Hyperlink"/>
          </w:rPr>
          <w:t>1.</w:t>
        </w:r>
        <w:r>
          <w:rPr>
            <w:rFonts w:asciiTheme="minorHAnsi" w:hAnsiTheme="minorHAnsi"/>
            <w:noProof/>
            <w:sz w:val="22"/>
          </w:rPr>
          <w:tab/>
        </w:r>
        <w:r>
          <w:rPr>
            <w:rStyle w:val="Hyperlink"/>
          </w:rPr>
          <w:t>Version History</w:t>
        </w:r>
        <w:r>
          <w:tab/>
        </w:r>
        <w:r>
          <w:fldChar w:fldCharType="begin"/>
        </w:r>
        <w:r>
          <w:instrText xml:space="preserve"> PAGEREF _Toc256000426 \h </w:instrText>
        </w:r>
        <w:r>
          <w:fldChar w:fldCharType="separate"/>
        </w:r>
        <w:r>
          <w:t>10</w:t>
        </w:r>
        <w:r>
          <w:fldChar w:fldCharType="end"/>
        </w:r>
      </w:hyperlink>
    </w:p>
    <w:p>
      <w:pPr>
        <w:pStyle w:val="TOC2"/>
        <w:tabs>
          <w:tab w:val="right" w:leader="dot" w:pos="9950"/>
        </w:tabs>
        <w:rPr>
          <w:rFonts w:asciiTheme="minorHAnsi" w:hAnsiTheme="minorHAnsi"/>
          <w:noProof/>
          <w:sz w:val="22"/>
        </w:rPr>
      </w:pPr>
      <w:hyperlink w:anchor="_Toc256000427" w:history="1">
        <w:r>
          <w:rPr>
            <w:rStyle w:val="Hyperlink"/>
          </w:rPr>
          <w:t>Overview</w:t>
        </w:r>
        <w:r>
          <w:tab/>
        </w:r>
        <w:r>
          <w:fldChar w:fldCharType="begin"/>
        </w:r>
        <w:r>
          <w:instrText xml:space="preserve"> PAGEREF _Toc256000427 \h </w:instrText>
        </w:r>
        <w:r>
          <w:fldChar w:fldCharType="separate"/>
        </w:r>
        <w:r>
          <w:t>10</w:t>
        </w:r>
        <w:r>
          <w:fldChar w:fldCharType="end"/>
        </w:r>
      </w:hyperlink>
    </w:p>
    <w:p>
      <w:pPr>
        <w:pStyle w:val="TOC3"/>
        <w:tabs>
          <w:tab w:val="right" w:leader="dot" w:pos="9950"/>
        </w:tabs>
        <w:rPr>
          <w:rFonts w:asciiTheme="minorHAnsi" w:hAnsiTheme="minorHAnsi"/>
          <w:noProof/>
          <w:sz w:val="22"/>
        </w:rPr>
      </w:pPr>
      <w:hyperlink w:anchor="_Toc256000428" w:history="1">
        <w:r>
          <w:rPr>
            <w:rStyle w:val="Hyperlink"/>
          </w:rPr>
          <w:t>Executive Summary</w:t>
        </w:r>
        <w:r>
          <w:tab/>
        </w:r>
        <w:r>
          <w:fldChar w:fldCharType="begin"/>
        </w:r>
        <w:r>
          <w:instrText xml:space="preserve"> PAGEREF _Toc256000428 \h </w:instrText>
        </w:r>
        <w:r>
          <w:fldChar w:fldCharType="separate"/>
        </w:r>
        <w:r>
          <w:t>10</w:t>
        </w:r>
        <w:r>
          <w:fldChar w:fldCharType="end"/>
        </w:r>
      </w:hyperlink>
    </w:p>
    <w:p>
      <w:pPr>
        <w:pStyle w:val="TOC3"/>
        <w:tabs>
          <w:tab w:val="right" w:leader="dot" w:pos="9950"/>
        </w:tabs>
        <w:rPr>
          <w:rFonts w:asciiTheme="minorHAnsi" w:hAnsiTheme="minorHAnsi"/>
          <w:noProof/>
          <w:sz w:val="22"/>
        </w:rPr>
      </w:pPr>
      <w:hyperlink w:anchor="_Toc256000429" w:history="1">
        <w:r>
          <w:rPr>
            <w:rStyle w:val="Hyperlink"/>
          </w:rPr>
          <w:t>Document Focus</w:t>
        </w:r>
        <w:r>
          <w:tab/>
        </w:r>
        <w:r>
          <w:fldChar w:fldCharType="begin"/>
        </w:r>
        <w:r>
          <w:instrText xml:space="preserve"> PAGEREF _Toc256000429 \h </w:instrText>
        </w:r>
        <w:r>
          <w:fldChar w:fldCharType="separate"/>
        </w:r>
        <w:r>
          <w:t>10</w:t>
        </w:r>
        <w:r>
          <w:fldChar w:fldCharType="end"/>
        </w:r>
      </w:hyperlink>
    </w:p>
    <w:p>
      <w:pPr>
        <w:pStyle w:val="TOC4"/>
        <w:tabs>
          <w:tab w:val="right" w:leader="dot" w:pos="9950"/>
        </w:tabs>
        <w:rPr>
          <w:rFonts w:asciiTheme="minorHAnsi" w:hAnsiTheme="minorHAnsi"/>
          <w:noProof/>
          <w:sz w:val="22"/>
        </w:rPr>
      </w:pPr>
      <w:hyperlink w:anchor="_Toc256000430" w:history="1">
        <w:r>
          <w:rPr>
            <w:rStyle w:val="Hyperlink"/>
          </w:rPr>
          <w:t>Physical Design</w:t>
        </w:r>
        <w:r>
          <w:tab/>
        </w:r>
        <w:r>
          <w:fldChar w:fldCharType="begin"/>
        </w:r>
        <w:r>
          <w:instrText xml:space="preserve"> PAGEREF _Toc256000430 \h </w:instrText>
        </w:r>
        <w:r>
          <w:fldChar w:fldCharType="separate"/>
        </w:r>
        <w:r>
          <w:t>11</w:t>
        </w:r>
        <w:r>
          <w:fldChar w:fldCharType="end"/>
        </w:r>
      </w:hyperlink>
    </w:p>
    <w:p>
      <w:pPr>
        <w:pStyle w:val="TOC4"/>
        <w:tabs>
          <w:tab w:val="right" w:leader="dot" w:pos="9950"/>
        </w:tabs>
        <w:rPr>
          <w:rFonts w:asciiTheme="minorHAnsi" w:hAnsiTheme="minorHAnsi"/>
          <w:noProof/>
          <w:sz w:val="22"/>
        </w:rPr>
      </w:pPr>
      <w:hyperlink w:anchor="_Toc256000431" w:history="1">
        <w:r>
          <w:rPr>
            <w:rStyle w:val="Hyperlink"/>
          </w:rPr>
          <w:t>Sizing Workbook</w:t>
        </w:r>
        <w:r>
          <w:tab/>
        </w:r>
        <w:r>
          <w:fldChar w:fldCharType="begin"/>
        </w:r>
        <w:r>
          <w:instrText xml:space="preserve"> PAGEREF _Toc256000431 \h </w:instrText>
        </w:r>
        <w:r>
          <w:fldChar w:fldCharType="separate"/>
        </w:r>
        <w:r>
          <w:t>11</w:t>
        </w:r>
        <w:r>
          <w:fldChar w:fldCharType="end"/>
        </w:r>
      </w:hyperlink>
    </w:p>
    <w:p>
      <w:pPr>
        <w:pStyle w:val="TOC4"/>
        <w:tabs>
          <w:tab w:val="right" w:leader="dot" w:pos="9950"/>
        </w:tabs>
        <w:rPr>
          <w:rFonts w:asciiTheme="minorHAnsi" w:hAnsiTheme="minorHAnsi"/>
          <w:noProof/>
          <w:sz w:val="22"/>
        </w:rPr>
      </w:pPr>
      <w:hyperlink w:anchor="_Toc256000432" w:history="1">
        <w:r>
          <w:rPr>
            <w:rStyle w:val="Hyperlink"/>
          </w:rPr>
          <w:t>Naming Convention Document</w:t>
        </w:r>
        <w:r>
          <w:tab/>
        </w:r>
        <w:r>
          <w:fldChar w:fldCharType="begin"/>
        </w:r>
        <w:r>
          <w:instrText xml:space="preserve"> PAGEREF _Toc256000432 \h </w:instrText>
        </w:r>
        <w:r>
          <w:fldChar w:fldCharType="separate"/>
        </w:r>
        <w:r>
          <w:t>11</w:t>
        </w:r>
        <w:r>
          <w:fldChar w:fldCharType="end"/>
        </w:r>
      </w:hyperlink>
    </w:p>
    <w:p>
      <w:pPr>
        <w:pStyle w:val="TOC4"/>
        <w:tabs>
          <w:tab w:val="right" w:leader="dot" w:pos="9950"/>
        </w:tabs>
        <w:rPr>
          <w:rFonts w:asciiTheme="minorHAnsi" w:hAnsiTheme="minorHAnsi"/>
          <w:noProof/>
          <w:sz w:val="22"/>
        </w:rPr>
      </w:pPr>
      <w:hyperlink w:anchor="_Toc256000433" w:history="1">
        <w:r>
          <w:rPr>
            <w:rStyle w:val="Hyperlink"/>
          </w:rPr>
          <w:t>Solution Specification Workbook(s)</w:t>
        </w:r>
        <w:r>
          <w:tab/>
        </w:r>
        <w:r>
          <w:fldChar w:fldCharType="begin"/>
        </w:r>
        <w:r>
          <w:instrText xml:space="preserve"> PAGEREF _Toc256000433 \h </w:instrText>
        </w:r>
        <w:r>
          <w:fldChar w:fldCharType="separate"/>
        </w:r>
        <w:r>
          <w:t>11</w:t>
        </w:r>
        <w:r>
          <w:fldChar w:fldCharType="end"/>
        </w:r>
      </w:hyperlink>
    </w:p>
    <w:p>
      <w:pPr>
        <w:pStyle w:val="TOC4"/>
        <w:tabs>
          <w:tab w:val="right" w:leader="dot" w:pos="9950"/>
        </w:tabs>
        <w:rPr>
          <w:rFonts w:asciiTheme="minorHAnsi" w:hAnsiTheme="minorHAnsi"/>
          <w:noProof/>
          <w:sz w:val="22"/>
        </w:rPr>
      </w:pPr>
      <w:hyperlink w:anchor="_Toc256000434" w:history="1">
        <w:r>
          <w:rPr>
            <w:rStyle w:val="Hyperlink"/>
          </w:rPr>
          <w:t>Solution Verification Workbook(s)</w:t>
        </w:r>
        <w:r>
          <w:tab/>
        </w:r>
        <w:r>
          <w:fldChar w:fldCharType="begin"/>
        </w:r>
        <w:r>
          <w:instrText xml:space="preserve"> PAGEREF _Toc256000434 \h </w:instrText>
        </w:r>
        <w:r>
          <w:fldChar w:fldCharType="separate"/>
        </w:r>
        <w:r>
          <w:t>12</w:t>
        </w:r>
        <w:r>
          <w:fldChar w:fldCharType="end"/>
        </w:r>
      </w:hyperlink>
    </w:p>
    <w:p>
      <w:pPr>
        <w:pStyle w:val="TOC1"/>
        <w:tabs>
          <w:tab w:val="left" w:pos="440"/>
          <w:tab w:val="right" w:leader="dot" w:pos="9950"/>
        </w:tabs>
        <w:rPr>
          <w:rFonts w:asciiTheme="minorHAnsi" w:hAnsiTheme="minorHAnsi"/>
          <w:noProof/>
          <w:sz w:val="22"/>
        </w:rPr>
      </w:pPr>
      <w:hyperlink w:anchor="_Toc256000435" w:history="1">
        <w:r>
          <w:rPr>
            <w:rStyle w:val="Hyperlink"/>
          </w:rPr>
          <w:t>2.</w:t>
        </w:r>
        <w:r>
          <w:rPr>
            <w:rFonts w:asciiTheme="minorHAnsi" w:hAnsiTheme="minorHAnsi"/>
            <w:noProof/>
            <w:sz w:val="22"/>
          </w:rPr>
          <w:tab/>
        </w:r>
        <w:r>
          <w:rPr>
            <w:rStyle w:val="Hyperlink"/>
          </w:rPr>
          <w:t>Overview of VCF Automation Provider Management</w:t>
        </w:r>
        <w:r>
          <w:tab/>
        </w:r>
        <w:r>
          <w:fldChar w:fldCharType="begin"/>
        </w:r>
        <w:r>
          <w:instrText xml:space="preserve"> PAGEREF _Toc256000435 \h </w:instrText>
        </w:r>
        <w:r>
          <w:fldChar w:fldCharType="separate"/>
        </w:r>
        <w:r>
          <w:t>13</w:t>
        </w:r>
        <w:r>
          <w:fldChar w:fldCharType="end"/>
        </w:r>
      </w:hyperlink>
    </w:p>
    <w:p>
      <w:pPr>
        <w:pStyle w:val="TOC2"/>
        <w:tabs>
          <w:tab w:val="right" w:leader="dot" w:pos="9950"/>
        </w:tabs>
        <w:rPr>
          <w:rFonts w:asciiTheme="minorHAnsi" w:hAnsiTheme="minorHAnsi"/>
          <w:noProof/>
          <w:sz w:val="22"/>
        </w:rPr>
      </w:pPr>
      <w:hyperlink w:anchor="_Toc256000436" w:history="1">
        <w:r>
          <w:rPr>
            <w:rStyle w:val="Hyperlink"/>
          </w:rPr>
          <w:t>vSphere and NSX Resources</w:t>
        </w:r>
        <w:r>
          <w:tab/>
        </w:r>
        <w:r>
          <w:fldChar w:fldCharType="begin"/>
        </w:r>
        <w:r>
          <w:instrText xml:space="preserve"> PAGEREF _Toc256000436 \h </w:instrText>
        </w:r>
        <w:r>
          <w:fldChar w:fldCharType="separate"/>
        </w:r>
        <w:r>
          <w:t>13</w:t>
        </w:r>
        <w:r>
          <w:fldChar w:fldCharType="end"/>
        </w:r>
      </w:hyperlink>
    </w:p>
    <w:p>
      <w:pPr>
        <w:pStyle w:val="TOC2"/>
        <w:tabs>
          <w:tab w:val="right" w:leader="dot" w:pos="9950"/>
        </w:tabs>
        <w:rPr>
          <w:rFonts w:asciiTheme="minorHAnsi" w:hAnsiTheme="minorHAnsi"/>
          <w:noProof/>
          <w:sz w:val="22"/>
        </w:rPr>
      </w:pPr>
      <w:hyperlink w:anchor="_Toc256000437" w:history="1">
        <w:r>
          <w:rPr>
            <w:rStyle w:val="Hyperlink"/>
          </w:rPr>
          <w:t>Infrastructure Resources</w:t>
        </w:r>
        <w:r>
          <w:tab/>
        </w:r>
        <w:r>
          <w:fldChar w:fldCharType="begin"/>
        </w:r>
        <w:r>
          <w:instrText xml:space="preserve"> PAGEREF _Toc256000437 \h </w:instrText>
        </w:r>
        <w:r>
          <w:fldChar w:fldCharType="separate"/>
        </w:r>
        <w:r>
          <w:t>13</w:t>
        </w:r>
        <w:r>
          <w:fldChar w:fldCharType="end"/>
        </w:r>
      </w:hyperlink>
    </w:p>
    <w:p>
      <w:pPr>
        <w:pStyle w:val="TOC2"/>
        <w:tabs>
          <w:tab w:val="right" w:leader="dot" w:pos="9950"/>
        </w:tabs>
        <w:rPr>
          <w:rFonts w:asciiTheme="minorHAnsi" w:hAnsiTheme="minorHAnsi"/>
          <w:noProof/>
          <w:sz w:val="22"/>
        </w:rPr>
      </w:pPr>
      <w:hyperlink w:anchor="_Toc256000438" w:history="1">
        <w:r>
          <w:rPr>
            <w:rStyle w:val="Hyperlink"/>
          </w:rPr>
          <w:t>Supervisor</w:t>
        </w:r>
        <w:r>
          <w:tab/>
        </w:r>
        <w:r>
          <w:fldChar w:fldCharType="begin"/>
        </w:r>
        <w:r>
          <w:instrText xml:space="preserve"> PAGEREF _Toc256000438 \h </w:instrText>
        </w:r>
        <w:r>
          <w:fldChar w:fldCharType="separate"/>
        </w:r>
        <w:r>
          <w:t>13</w:t>
        </w:r>
        <w:r>
          <w:fldChar w:fldCharType="end"/>
        </w:r>
      </w:hyperlink>
    </w:p>
    <w:p>
      <w:pPr>
        <w:pStyle w:val="TOC2"/>
        <w:tabs>
          <w:tab w:val="right" w:leader="dot" w:pos="9950"/>
        </w:tabs>
        <w:rPr>
          <w:rFonts w:asciiTheme="minorHAnsi" w:hAnsiTheme="minorHAnsi"/>
          <w:noProof/>
          <w:sz w:val="22"/>
        </w:rPr>
      </w:pPr>
      <w:hyperlink w:anchor="_Toc256000439" w:history="1">
        <w:r>
          <w:rPr>
            <w:rStyle w:val="Hyperlink"/>
          </w:rPr>
          <w:t>Zone</w:t>
        </w:r>
        <w:r>
          <w:tab/>
        </w:r>
        <w:r>
          <w:fldChar w:fldCharType="begin"/>
        </w:r>
        <w:r>
          <w:instrText xml:space="preserve"> PAGEREF _Toc256000439 \h </w:instrText>
        </w:r>
        <w:r>
          <w:fldChar w:fldCharType="separate"/>
        </w:r>
        <w:r>
          <w:t>14</w:t>
        </w:r>
        <w:r>
          <w:fldChar w:fldCharType="end"/>
        </w:r>
      </w:hyperlink>
    </w:p>
    <w:p>
      <w:pPr>
        <w:pStyle w:val="TOC2"/>
        <w:tabs>
          <w:tab w:val="right" w:leader="dot" w:pos="9950"/>
        </w:tabs>
        <w:rPr>
          <w:rFonts w:asciiTheme="minorHAnsi" w:hAnsiTheme="minorHAnsi"/>
          <w:noProof/>
          <w:sz w:val="22"/>
        </w:rPr>
      </w:pPr>
      <w:hyperlink w:anchor="_Toc256000440" w:history="1">
        <w:r>
          <w:rPr>
            <w:rStyle w:val="Hyperlink"/>
          </w:rPr>
          <w:t>Region</w:t>
        </w:r>
        <w:r>
          <w:tab/>
        </w:r>
        <w:r>
          <w:fldChar w:fldCharType="begin"/>
        </w:r>
        <w:r>
          <w:instrText xml:space="preserve"> PAGEREF _Toc256000440 \h </w:instrText>
        </w:r>
        <w:r>
          <w:fldChar w:fldCharType="separate"/>
        </w:r>
        <w:r>
          <w:t>14</w:t>
        </w:r>
        <w:r>
          <w:fldChar w:fldCharType="end"/>
        </w:r>
      </w:hyperlink>
    </w:p>
    <w:p>
      <w:pPr>
        <w:pStyle w:val="TOC2"/>
        <w:tabs>
          <w:tab w:val="right" w:leader="dot" w:pos="9950"/>
        </w:tabs>
        <w:rPr>
          <w:rFonts w:asciiTheme="minorHAnsi" w:hAnsiTheme="minorHAnsi"/>
          <w:noProof/>
          <w:sz w:val="22"/>
        </w:rPr>
      </w:pPr>
      <w:hyperlink w:anchor="_Toc256000441" w:history="1">
        <w:r>
          <w:rPr>
            <w:rStyle w:val="Hyperlink"/>
          </w:rPr>
          <w:t>Region Quota of an Organization</w:t>
        </w:r>
        <w:r>
          <w:tab/>
        </w:r>
        <w:r>
          <w:fldChar w:fldCharType="begin"/>
        </w:r>
        <w:r>
          <w:instrText xml:space="preserve"> PAGEREF _Toc256000441 \h </w:instrText>
        </w:r>
        <w:r>
          <w:fldChar w:fldCharType="separate"/>
        </w:r>
        <w:r>
          <w:t>14</w:t>
        </w:r>
        <w:r>
          <w:fldChar w:fldCharType="end"/>
        </w:r>
      </w:hyperlink>
    </w:p>
    <w:p>
      <w:pPr>
        <w:pStyle w:val="TOC2"/>
        <w:tabs>
          <w:tab w:val="right" w:leader="dot" w:pos="9950"/>
        </w:tabs>
        <w:rPr>
          <w:rFonts w:asciiTheme="minorHAnsi" w:hAnsiTheme="minorHAnsi"/>
          <w:noProof/>
          <w:sz w:val="22"/>
        </w:rPr>
      </w:pPr>
      <w:hyperlink w:anchor="_Toc256000442" w:history="1">
        <w:r>
          <w:rPr>
            <w:rStyle w:val="Hyperlink"/>
          </w:rPr>
          <w:t>VCF Automation Networking</w:t>
        </w:r>
        <w:r>
          <w:tab/>
        </w:r>
        <w:r>
          <w:fldChar w:fldCharType="begin"/>
        </w:r>
        <w:r>
          <w:instrText xml:space="preserve"> PAGEREF _Toc256000442 \h </w:instrText>
        </w:r>
        <w:r>
          <w:fldChar w:fldCharType="separate"/>
        </w:r>
        <w:r>
          <w:t>15</w:t>
        </w:r>
        <w:r>
          <w:fldChar w:fldCharType="end"/>
        </w:r>
      </w:hyperlink>
    </w:p>
    <w:p>
      <w:pPr>
        <w:pStyle w:val="TOC2"/>
        <w:tabs>
          <w:tab w:val="right" w:leader="dot" w:pos="9950"/>
        </w:tabs>
        <w:rPr>
          <w:rFonts w:asciiTheme="minorHAnsi" w:hAnsiTheme="minorHAnsi"/>
          <w:noProof/>
          <w:sz w:val="22"/>
        </w:rPr>
      </w:pPr>
      <w:hyperlink w:anchor="_Toc256000443" w:history="1">
        <w:r>
          <w:rPr>
            <w:rStyle w:val="Hyperlink"/>
          </w:rPr>
          <w:t>Organizations</w:t>
        </w:r>
        <w:r>
          <w:tab/>
        </w:r>
        <w:r>
          <w:fldChar w:fldCharType="begin"/>
        </w:r>
        <w:r>
          <w:instrText xml:space="preserve"> PAGEREF _Toc256000443 \h </w:instrText>
        </w:r>
        <w:r>
          <w:fldChar w:fldCharType="separate"/>
        </w:r>
        <w:r>
          <w:t>16</w:t>
        </w:r>
        <w:r>
          <w:fldChar w:fldCharType="end"/>
        </w:r>
      </w:hyperlink>
    </w:p>
    <w:p>
      <w:pPr>
        <w:pStyle w:val="TOC2"/>
        <w:tabs>
          <w:tab w:val="right" w:leader="dot" w:pos="9950"/>
        </w:tabs>
        <w:rPr>
          <w:rFonts w:asciiTheme="minorHAnsi" w:hAnsiTheme="minorHAnsi"/>
          <w:noProof/>
          <w:sz w:val="22"/>
        </w:rPr>
      </w:pPr>
      <w:hyperlink w:anchor="_Toc256000444" w:history="1">
        <w:r>
          <w:rPr>
            <w:rStyle w:val="Hyperlink"/>
          </w:rPr>
          <w:t>Content Libraries</w:t>
        </w:r>
        <w:r>
          <w:tab/>
        </w:r>
        <w:r>
          <w:fldChar w:fldCharType="begin"/>
        </w:r>
        <w:r>
          <w:instrText xml:space="preserve"> PAGEREF _Toc256000444 \h </w:instrText>
        </w:r>
        <w:r>
          <w:fldChar w:fldCharType="separate"/>
        </w:r>
        <w:r>
          <w:t>16</w:t>
        </w:r>
        <w:r>
          <w:fldChar w:fldCharType="end"/>
        </w:r>
      </w:hyperlink>
    </w:p>
    <w:p>
      <w:pPr>
        <w:pStyle w:val="TOC2"/>
        <w:tabs>
          <w:tab w:val="right" w:leader="dot" w:pos="9950"/>
        </w:tabs>
        <w:rPr>
          <w:rFonts w:asciiTheme="minorHAnsi" w:hAnsiTheme="minorHAnsi"/>
          <w:noProof/>
          <w:sz w:val="22"/>
        </w:rPr>
      </w:pPr>
      <w:hyperlink w:anchor="_Toc256000445" w:history="1">
        <w:r>
          <w:rPr>
            <w:rStyle w:val="Hyperlink"/>
          </w:rPr>
          <w:t>Services</w:t>
        </w:r>
        <w:r>
          <w:tab/>
        </w:r>
        <w:r>
          <w:fldChar w:fldCharType="begin"/>
        </w:r>
        <w:r>
          <w:instrText xml:space="preserve"> PAGEREF _Toc256000445 \h </w:instrText>
        </w:r>
        <w:r>
          <w:fldChar w:fldCharType="separate"/>
        </w:r>
        <w:r>
          <w:t>16</w:t>
        </w:r>
        <w:r>
          <w:fldChar w:fldCharType="end"/>
        </w:r>
      </w:hyperlink>
    </w:p>
    <w:p>
      <w:pPr>
        <w:pStyle w:val="TOC2"/>
        <w:tabs>
          <w:tab w:val="right" w:leader="dot" w:pos="9950"/>
        </w:tabs>
        <w:rPr>
          <w:rFonts w:asciiTheme="minorHAnsi" w:hAnsiTheme="minorHAnsi"/>
          <w:noProof/>
          <w:sz w:val="22"/>
        </w:rPr>
      </w:pPr>
      <w:hyperlink w:anchor="_Toc256000446" w:history="1">
        <w:r>
          <w:rPr>
            <w:rStyle w:val="Hyperlink"/>
          </w:rPr>
          <w:t>Provider Administrator Workflow Example</w:t>
        </w:r>
        <w:r>
          <w:tab/>
        </w:r>
        <w:r>
          <w:fldChar w:fldCharType="begin"/>
        </w:r>
        <w:r>
          <w:instrText xml:space="preserve"> PAGEREF _Toc256000446 \h </w:instrText>
        </w:r>
        <w:r>
          <w:fldChar w:fldCharType="separate"/>
        </w:r>
        <w:r>
          <w:t>16</w:t>
        </w:r>
        <w:r>
          <w:fldChar w:fldCharType="end"/>
        </w:r>
      </w:hyperlink>
    </w:p>
    <w:p>
      <w:pPr>
        <w:pStyle w:val="TOC1"/>
        <w:tabs>
          <w:tab w:val="left" w:pos="440"/>
          <w:tab w:val="right" w:leader="dot" w:pos="9950"/>
        </w:tabs>
        <w:rPr>
          <w:rFonts w:asciiTheme="minorHAnsi" w:hAnsiTheme="minorHAnsi"/>
          <w:noProof/>
          <w:sz w:val="22"/>
        </w:rPr>
      </w:pPr>
      <w:hyperlink w:anchor="_Toc256000447" w:history="1">
        <w:r>
          <w:rPr>
            <w:rStyle w:val="Hyperlink"/>
          </w:rPr>
          <w:t>3.</w:t>
        </w:r>
        <w:r>
          <w:rPr>
            <w:rFonts w:asciiTheme="minorHAnsi" w:hAnsiTheme="minorHAnsi"/>
            <w:noProof/>
            <w:sz w:val="22"/>
          </w:rPr>
          <w:tab/>
        </w:r>
        <w:r>
          <w:rPr>
            <w:rStyle w:val="Hyperlink"/>
          </w:rPr>
          <w:t>Getting Started with the VCF Automation Provider Management Portal</w:t>
        </w:r>
        <w:r>
          <w:tab/>
        </w:r>
        <w:r>
          <w:fldChar w:fldCharType="begin"/>
        </w:r>
        <w:r>
          <w:instrText xml:space="preserve"> PAGEREF _Toc256000447 \h </w:instrText>
        </w:r>
        <w:r>
          <w:fldChar w:fldCharType="separate"/>
        </w:r>
        <w:r>
          <w:t>18</w:t>
        </w:r>
        <w:r>
          <w:fldChar w:fldCharType="end"/>
        </w:r>
      </w:hyperlink>
    </w:p>
    <w:p>
      <w:pPr>
        <w:pStyle w:val="TOC2"/>
        <w:tabs>
          <w:tab w:val="right" w:leader="dot" w:pos="9950"/>
        </w:tabs>
        <w:rPr>
          <w:rFonts w:asciiTheme="minorHAnsi" w:hAnsiTheme="minorHAnsi"/>
          <w:noProof/>
          <w:sz w:val="22"/>
        </w:rPr>
      </w:pPr>
      <w:hyperlink w:anchor="_Toc256000448" w:history="1">
        <w:r>
          <w:rPr>
            <w:rStyle w:val="Hyperlink"/>
          </w:rPr>
          <w:t>Quick Start Your VCF Automation Setup</w:t>
        </w:r>
        <w:r>
          <w:tab/>
        </w:r>
        <w:r>
          <w:fldChar w:fldCharType="begin"/>
        </w:r>
        <w:r>
          <w:instrText xml:space="preserve"> PAGEREF _Toc256000448 \h </w:instrText>
        </w:r>
        <w:r>
          <w:fldChar w:fldCharType="separate"/>
        </w:r>
        <w:r>
          <w:t>18</w:t>
        </w:r>
        <w:r>
          <w:fldChar w:fldCharType="end"/>
        </w:r>
      </w:hyperlink>
    </w:p>
    <w:p>
      <w:pPr>
        <w:pStyle w:val="TOC2"/>
        <w:tabs>
          <w:tab w:val="right" w:leader="dot" w:pos="9950"/>
        </w:tabs>
        <w:rPr>
          <w:rFonts w:asciiTheme="minorHAnsi" w:hAnsiTheme="minorHAnsi"/>
          <w:noProof/>
          <w:sz w:val="22"/>
        </w:rPr>
      </w:pPr>
      <w:hyperlink w:anchor="_Toc256000449" w:history="1">
        <w:r>
          <w:rPr>
            <w:rStyle w:val="Hyperlink"/>
          </w:rPr>
          <w:t>Log in to VCF Automation Provider Management Portal</w:t>
        </w:r>
        <w:r>
          <w:tab/>
        </w:r>
        <w:r>
          <w:fldChar w:fldCharType="begin"/>
        </w:r>
        <w:r>
          <w:instrText xml:space="preserve"> PAGEREF _Toc256000449 \h </w:instrText>
        </w:r>
        <w:r>
          <w:fldChar w:fldCharType="separate"/>
        </w:r>
        <w:r>
          <w:t>20</w:t>
        </w:r>
        <w:r>
          <w:fldChar w:fldCharType="end"/>
        </w:r>
      </w:hyperlink>
    </w:p>
    <w:p>
      <w:pPr>
        <w:pStyle w:val="TOC2"/>
        <w:tabs>
          <w:tab w:val="right" w:leader="dot" w:pos="9950"/>
        </w:tabs>
        <w:rPr>
          <w:rFonts w:asciiTheme="minorHAnsi" w:hAnsiTheme="minorHAnsi"/>
          <w:noProof/>
          <w:sz w:val="22"/>
        </w:rPr>
      </w:pPr>
      <w:hyperlink w:anchor="_Toc256000450" w:history="1">
        <w:r>
          <w:rPr>
            <w:rStyle w:val="Hyperlink"/>
          </w:rPr>
          <w:t>Change the Language of the VCF Automation UI by Using the Provider Management Portal</w:t>
        </w:r>
        <w:r>
          <w:tab/>
        </w:r>
        <w:r>
          <w:fldChar w:fldCharType="begin"/>
        </w:r>
        <w:r>
          <w:instrText xml:space="preserve"> PAGEREF _Toc256000450 \h </w:instrText>
        </w:r>
        <w:r>
          <w:fldChar w:fldCharType="separate"/>
        </w:r>
        <w:r>
          <w:t>21</w:t>
        </w:r>
        <w:r>
          <w:fldChar w:fldCharType="end"/>
        </w:r>
      </w:hyperlink>
    </w:p>
    <w:p>
      <w:pPr>
        <w:pStyle w:val="TOC2"/>
        <w:tabs>
          <w:tab w:val="right" w:leader="dot" w:pos="9950"/>
        </w:tabs>
        <w:rPr>
          <w:rFonts w:asciiTheme="minorHAnsi" w:hAnsiTheme="minorHAnsi"/>
          <w:noProof/>
          <w:sz w:val="22"/>
        </w:rPr>
      </w:pPr>
      <w:hyperlink w:anchor="_Toc256000451" w:history="1">
        <w:r>
          <w:rPr>
            <w:rStyle w:val="Hyperlink"/>
          </w:rPr>
          <w:t>Change Your Account Information</w:t>
        </w:r>
        <w:r>
          <w:tab/>
        </w:r>
        <w:r>
          <w:fldChar w:fldCharType="begin"/>
        </w:r>
        <w:r>
          <w:instrText xml:space="preserve"> PAGEREF _Toc256000451 \h </w:instrText>
        </w:r>
        <w:r>
          <w:fldChar w:fldCharType="separate"/>
        </w:r>
        <w:r>
          <w:t>21</w:t>
        </w:r>
        <w:r>
          <w:fldChar w:fldCharType="end"/>
        </w:r>
      </w:hyperlink>
    </w:p>
    <w:p>
      <w:pPr>
        <w:pStyle w:val="TOC2"/>
        <w:tabs>
          <w:tab w:val="right" w:leader="dot" w:pos="9950"/>
        </w:tabs>
        <w:rPr>
          <w:rFonts w:asciiTheme="minorHAnsi" w:hAnsiTheme="minorHAnsi"/>
          <w:noProof/>
          <w:sz w:val="22"/>
        </w:rPr>
      </w:pPr>
      <w:hyperlink w:anchor="_Toc256000452" w:history="1">
        <w:r>
          <w:rPr>
            <w:rStyle w:val="Hyperlink"/>
          </w:rPr>
          <w:t>View Tasks in Your VCF Automation Provider Management Portal</w:t>
        </w:r>
        <w:r>
          <w:tab/>
        </w:r>
        <w:r>
          <w:fldChar w:fldCharType="begin"/>
        </w:r>
        <w:r>
          <w:instrText xml:space="preserve"> PAGEREF _Toc256000452 \h </w:instrText>
        </w:r>
        <w:r>
          <w:fldChar w:fldCharType="separate"/>
        </w:r>
        <w:r>
          <w:t>22</w:t>
        </w:r>
        <w:r>
          <w:fldChar w:fldCharType="end"/>
        </w:r>
      </w:hyperlink>
    </w:p>
    <w:p>
      <w:pPr>
        <w:pStyle w:val="TOC2"/>
        <w:tabs>
          <w:tab w:val="right" w:leader="dot" w:pos="9950"/>
        </w:tabs>
        <w:rPr>
          <w:rFonts w:asciiTheme="minorHAnsi" w:hAnsiTheme="minorHAnsi"/>
          <w:noProof/>
          <w:sz w:val="22"/>
        </w:rPr>
      </w:pPr>
      <w:hyperlink w:anchor="_Toc256000453" w:history="1">
        <w:r>
          <w:rPr>
            <w:rStyle w:val="Hyperlink"/>
          </w:rPr>
          <w:t>Stop a Task in Progress in Your VCF Automation Provider Management Portal</w:t>
        </w:r>
        <w:r>
          <w:tab/>
        </w:r>
        <w:r>
          <w:fldChar w:fldCharType="begin"/>
        </w:r>
        <w:r>
          <w:instrText xml:space="preserve"> PAGEREF _Toc256000453 \h </w:instrText>
        </w:r>
        <w:r>
          <w:fldChar w:fldCharType="separate"/>
        </w:r>
        <w:r>
          <w:t>22</w:t>
        </w:r>
        <w:r>
          <w:fldChar w:fldCharType="end"/>
        </w:r>
      </w:hyperlink>
    </w:p>
    <w:p>
      <w:pPr>
        <w:pStyle w:val="TOC2"/>
        <w:tabs>
          <w:tab w:val="right" w:leader="dot" w:pos="9950"/>
        </w:tabs>
        <w:rPr>
          <w:rFonts w:asciiTheme="minorHAnsi" w:hAnsiTheme="minorHAnsi"/>
          <w:noProof/>
          <w:sz w:val="22"/>
        </w:rPr>
      </w:pPr>
      <w:hyperlink w:anchor="_Toc256000454" w:history="1">
        <w:r>
          <w:rPr>
            <w:rStyle w:val="Hyperlink"/>
          </w:rPr>
          <w:t>View Events in Your VCF Automation Provider Management Portal</w:t>
        </w:r>
        <w:r>
          <w:tab/>
        </w:r>
        <w:r>
          <w:fldChar w:fldCharType="begin"/>
        </w:r>
        <w:r>
          <w:instrText xml:space="preserve"> PAGEREF _Toc256000454 \h </w:instrText>
        </w:r>
        <w:r>
          <w:fldChar w:fldCharType="separate"/>
        </w:r>
        <w:r>
          <w:t>23</w:t>
        </w:r>
        <w:r>
          <w:fldChar w:fldCharType="end"/>
        </w:r>
      </w:hyperlink>
    </w:p>
    <w:p>
      <w:pPr>
        <w:pStyle w:val="TOC2"/>
        <w:tabs>
          <w:tab w:val="right" w:leader="dot" w:pos="9950"/>
        </w:tabs>
        <w:rPr>
          <w:rFonts w:asciiTheme="minorHAnsi" w:hAnsiTheme="minorHAnsi"/>
          <w:noProof/>
          <w:sz w:val="22"/>
        </w:rPr>
      </w:pPr>
      <w:hyperlink w:anchor="_Toc256000455" w:history="1">
        <w:r>
          <w:rPr>
            <w:rStyle w:val="Hyperlink"/>
          </w:rPr>
          <w:t>Length Limits on Names and Descriptions in Your VCF Automation Provider Management Portal</w:t>
        </w:r>
        <w:r>
          <w:tab/>
        </w:r>
        <w:r>
          <w:fldChar w:fldCharType="begin"/>
        </w:r>
        <w:r>
          <w:instrText xml:space="preserve"> PAGEREF _Toc256000455 \h </w:instrText>
        </w:r>
        <w:r>
          <w:fldChar w:fldCharType="separate"/>
        </w:r>
        <w:r>
          <w:t>24</w:t>
        </w:r>
        <w:r>
          <w:fldChar w:fldCharType="end"/>
        </w:r>
      </w:hyperlink>
    </w:p>
    <w:p>
      <w:pPr>
        <w:pStyle w:val="TOC2"/>
        <w:tabs>
          <w:tab w:val="right" w:leader="dot" w:pos="9950"/>
        </w:tabs>
        <w:rPr>
          <w:rFonts w:asciiTheme="minorHAnsi" w:hAnsiTheme="minorHAnsi"/>
          <w:noProof/>
          <w:sz w:val="22"/>
        </w:rPr>
      </w:pPr>
      <w:hyperlink w:anchor="_Toc256000456" w:history="1">
        <w:r>
          <w:rPr>
            <w:rStyle w:val="Hyperlink"/>
          </w:rPr>
          <w:t>Troubleshoot Failed Access to the VCF Automation User Interface</w:t>
        </w:r>
        <w:r>
          <w:tab/>
        </w:r>
        <w:r>
          <w:fldChar w:fldCharType="begin"/>
        </w:r>
        <w:r>
          <w:instrText xml:space="preserve"> PAGEREF _Toc256000456 \h </w:instrText>
        </w:r>
        <w:r>
          <w:fldChar w:fldCharType="separate"/>
        </w:r>
        <w:r>
          <w:t>24</w:t>
        </w:r>
        <w:r>
          <w:fldChar w:fldCharType="end"/>
        </w:r>
      </w:hyperlink>
    </w:p>
    <w:p>
      <w:pPr>
        <w:pStyle w:val="TOC1"/>
        <w:tabs>
          <w:tab w:val="left" w:pos="440"/>
          <w:tab w:val="right" w:leader="dot" w:pos="9950"/>
        </w:tabs>
        <w:rPr>
          <w:rFonts w:asciiTheme="minorHAnsi" w:hAnsiTheme="minorHAnsi"/>
          <w:noProof/>
          <w:sz w:val="22"/>
        </w:rPr>
      </w:pPr>
      <w:hyperlink w:anchor="_Toc256000457" w:history="1">
        <w:r>
          <w:rPr>
            <w:rStyle w:val="Hyperlink"/>
          </w:rPr>
          <w:t>4.</w:t>
        </w:r>
        <w:r>
          <w:rPr>
            <w:rFonts w:asciiTheme="minorHAnsi" w:hAnsiTheme="minorHAnsi"/>
            <w:noProof/>
            <w:sz w:val="22"/>
          </w:rPr>
          <w:tab/>
        </w:r>
        <w:r>
          <w:rPr>
            <w:rStyle w:val="Hyperlink"/>
          </w:rPr>
          <w:t>Viewing and Managing Your Infrastructure Resources in VCF Automation</w:t>
        </w:r>
        <w:r>
          <w:tab/>
        </w:r>
        <w:r>
          <w:fldChar w:fldCharType="begin"/>
        </w:r>
        <w:r>
          <w:instrText xml:space="preserve"> PAGEREF _Toc256000457 \h </w:instrText>
        </w:r>
        <w:r>
          <w:fldChar w:fldCharType="separate"/>
        </w:r>
        <w:r>
          <w:t>25</w:t>
        </w:r>
        <w:r>
          <w:fldChar w:fldCharType="end"/>
        </w:r>
      </w:hyperlink>
    </w:p>
    <w:p>
      <w:pPr>
        <w:pStyle w:val="TOC2"/>
        <w:tabs>
          <w:tab w:val="right" w:leader="dot" w:pos="9950"/>
        </w:tabs>
        <w:rPr>
          <w:rFonts w:asciiTheme="minorHAnsi" w:hAnsiTheme="minorHAnsi"/>
          <w:noProof/>
          <w:sz w:val="22"/>
        </w:rPr>
      </w:pPr>
      <w:hyperlink w:anchor="_Toc256000458" w:history="1">
        <w:r>
          <w:rPr>
            <w:rStyle w:val="Hyperlink"/>
          </w:rPr>
          <w:t>Managing Networking Resources</w:t>
        </w:r>
        <w:r>
          <w:tab/>
        </w:r>
        <w:r>
          <w:fldChar w:fldCharType="begin"/>
        </w:r>
        <w:r>
          <w:instrText xml:space="preserve"> PAGEREF _Toc256000458 \h </w:instrText>
        </w:r>
        <w:r>
          <w:fldChar w:fldCharType="separate"/>
        </w:r>
        <w:r>
          <w:t>25</w:t>
        </w:r>
        <w:r>
          <w:fldChar w:fldCharType="end"/>
        </w:r>
      </w:hyperlink>
    </w:p>
    <w:p>
      <w:pPr>
        <w:pStyle w:val="TOC2"/>
        <w:tabs>
          <w:tab w:val="right" w:leader="dot" w:pos="9950"/>
        </w:tabs>
        <w:rPr>
          <w:rFonts w:asciiTheme="minorHAnsi" w:hAnsiTheme="minorHAnsi"/>
          <w:noProof/>
          <w:sz w:val="22"/>
        </w:rPr>
      </w:pPr>
      <w:hyperlink w:anchor="_Toc256000459" w:history="1">
        <w:r>
          <w:rPr>
            <w:rStyle w:val="Hyperlink"/>
          </w:rPr>
          <w:t>View the vCenter Instances in Your VCF Automation</w:t>
        </w:r>
        <w:r>
          <w:tab/>
        </w:r>
        <w:r>
          <w:fldChar w:fldCharType="begin"/>
        </w:r>
        <w:r>
          <w:instrText xml:space="preserve"> PAGEREF _Toc256000459 \h </w:instrText>
        </w:r>
        <w:r>
          <w:fldChar w:fldCharType="separate"/>
        </w:r>
        <w:r>
          <w:t>25</w:t>
        </w:r>
        <w:r>
          <w:fldChar w:fldCharType="end"/>
        </w:r>
      </w:hyperlink>
    </w:p>
    <w:p>
      <w:pPr>
        <w:pStyle w:val="TOC2"/>
        <w:tabs>
          <w:tab w:val="right" w:leader="dot" w:pos="9950"/>
        </w:tabs>
        <w:rPr>
          <w:rFonts w:asciiTheme="minorHAnsi" w:hAnsiTheme="minorHAnsi"/>
          <w:noProof/>
          <w:sz w:val="22"/>
        </w:rPr>
      </w:pPr>
      <w:hyperlink w:anchor="_Toc256000460" w:history="1">
        <w:r>
          <w:rPr>
            <w:rStyle w:val="Hyperlink"/>
          </w:rPr>
          <w:t>Modify the vCenter Settings in VCF Automation</w:t>
        </w:r>
        <w:r>
          <w:tab/>
        </w:r>
        <w:r>
          <w:fldChar w:fldCharType="begin"/>
        </w:r>
        <w:r>
          <w:instrText xml:space="preserve"> PAGEREF _Toc256000460 \h </w:instrText>
        </w:r>
        <w:r>
          <w:fldChar w:fldCharType="separate"/>
        </w:r>
        <w:r>
          <w:t>26</w:t>
        </w:r>
        <w:r>
          <w:fldChar w:fldCharType="end"/>
        </w:r>
      </w:hyperlink>
    </w:p>
    <w:p>
      <w:pPr>
        <w:pStyle w:val="TOC2"/>
        <w:tabs>
          <w:tab w:val="right" w:leader="dot" w:pos="9950"/>
        </w:tabs>
        <w:rPr>
          <w:rFonts w:asciiTheme="minorHAnsi" w:hAnsiTheme="minorHAnsi"/>
          <w:noProof/>
          <w:sz w:val="22"/>
        </w:rPr>
      </w:pPr>
      <w:hyperlink w:anchor="_Toc256000461" w:history="1">
        <w:r>
          <w:rPr>
            <w:rStyle w:val="Hyperlink"/>
          </w:rPr>
          <w:t>Deactivate and Unregister a vCenter Instance in VCF Automation</w:t>
        </w:r>
        <w:r>
          <w:tab/>
        </w:r>
        <w:r>
          <w:fldChar w:fldCharType="begin"/>
        </w:r>
        <w:r>
          <w:instrText xml:space="preserve"> PAGEREF _Toc256000461 \h </w:instrText>
        </w:r>
        <w:r>
          <w:fldChar w:fldCharType="separate"/>
        </w:r>
        <w:r>
          <w:t>26</w:t>
        </w:r>
        <w:r>
          <w:fldChar w:fldCharType="end"/>
        </w:r>
      </w:hyperlink>
    </w:p>
    <w:p>
      <w:pPr>
        <w:pStyle w:val="TOC2"/>
        <w:tabs>
          <w:tab w:val="right" w:leader="dot" w:pos="9950"/>
        </w:tabs>
        <w:rPr>
          <w:rFonts w:asciiTheme="minorHAnsi" w:hAnsiTheme="minorHAnsi"/>
          <w:noProof/>
          <w:sz w:val="22"/>
        </w:rPr>
      </w:pPr>
      <w:hyperlink w:anchor="_Toc256000462" w:history="1">
        <w:r>
          <w:rPr>
            <w:rStyle w:val="Hyperlink"/>
          </w:rPr>
          <w:t>Reconnect a vCenter Instance to VCF Automation</w:t>
        </w:r>
        <w:r>
          <w:tab/>
        </w:r>
        <w:r>
          <w:fldChar w:fldCharType="begin"/>
        </w:r>
        <w:r>
          <w:instrText xml:space="preserve"> PAGEREF _Toc256000462 \h </w:instrText>
        </w:r>
        <w:r>
          <w:fldChar w:fldCharType="separate"/>
        </w:r>
        <w:r>
          <w:t>27</w:t>
        </w:r>
        <w:r>
          <w:fldChar w:fldCharType="end"/>
        </w:r>
      </w:hyperlink>
    </w:p>
    <w:p>
      <w:pPr>
        <w:pStyle w:val="TOC2"/>
        <w:tabs>
          <w:tab w:val="right" w:leader="dot" w:pos="9950"/>
        </w:tabs>
        <w:rPr>
          <w:rFonts w:asciiTheme="minorHAnsi" w:hAnsiTheme="minorHAnsi"/>
          <w:noProof/>
          <w:sz w:val="22"/>
        </w:rPr>
      </w:pPr>
      <w:hyperlink w:anchor="_Toc256000463" w:history="1">
        <w:r>
          <w:rPr>
            <w:rStyle w:val="Hyperlink"/>
          </w:rPr>
          <w:t>Refresh a vCenter Instance in VCF Automation</w:t>
        </w:r>
        <w:r>
          <w:tab/>
        </w:r>
        <w:r>
          <w:fldChar w:fldCharType="begin"/>
        </w:r>
        <w:r>
          <w:instrText xml:space="preserve"> PAGEREF _Toc256000463 \h </w:instrText>
        </w:r>
        <w:r>
          <w:fldChar w:fldCharType="separate"/>
        </w:r>
        <w:r>
          <w:t>27</w:t>
        </w:r>
        <w:r>
          <w:fldChar w:fldCharType="end"/>
        </w:r>
      </w:hyperlink>
    </w:p>
    <w:p>
      <w:pPr>
        <w:pStyle w:val="TOC2"/>
        <w:tabs>
          <w:tab w:val="right" w:leader="dot" w:pos="9950"/>
        </w:tabs>
        <w:rPr>
          <w:rFonts w:asciiTheme="minorHAnsi" w:hAnsiTheme="minorHAnsi"/>
          <w:noProof/>
          <w:sz w:val="22"/>
        </w:rPr>
      </w:pPr>
      <w:hyperlink w:anchor="_Toc256000464" w:history="1">
        <w:r>
          <w:rPr>
            <w:rStyle w:val="Hyperlink"/>
          </w:rPr>
          <w:t>View Your VMware vSphere Supervisors</w:t>
        </w:r>
        <w:r>
          <w:tab/>
        </w:r>
        <w:r>
          <w:fldChar w:fldCharType="begin"/>
        </w:r>
        <w:r>
          <w:instrText xml:space="preserve"> PAGEREF _Toc256000464 \h </w:instrText>
        </w:r>
        <w:r>
          <w:fldChar w:fldCharType="separate"/>
        </w:r>
        <w:r>
          <w:t>28</w:t>
        </w:r>
        <w:r>
          <w:fldChar w:fldCharType="end"/>
        </w:r>
      </w:hyperlink>
    </w:p>
    <w:p>
      <w:pPr>
        <w:pStyle w:val="TOC2"/>
        <w:tabs>
          <w:tab w:val="right" w:leader="dot" w:pos="9950"/>
        </w:tabs>
        <w:rPr>
          <w:rFonts w:asciiTheme="minorHAnsi" w:hAnsiTheme="minorHAnsi"/>
          <w:noProof/>
          <w:sz w:val="22"/>
        </w:rPr>
      </w:pPr>
      <w:hyperlink w:anchor="_Toc256000465" w:history="1">
        <w:r>
          <w:rPr>
            <w:rStyle w:val="Hyperlink"/>
          </w:rPr>
          <w:t>View and Manage Your NSX Manager Instances</w:t>
        </w:r>
        <w:r>
          <w:tab/>
        </w:r>
        <w:r>
          <w:fldChar w:fldCharType="begin"/>
        </w:r>
        <w:r>
          <w:instrText xml:space="preserve"> PAGEREF _Toc256000465 \h </w:instrText>
        </w:r>
        <w:r>
          <w:fldChar w:fldCharType="separate"/>
        </w:r>
        <w:r>
          <w:t>28</w:t>
        </w:r>
        <w:r>
          <w:fldChar w:fldCharType="end"/>
        </w:r>
      </w:hyperlink>
    </w:p>
    <w:p>
      <w:pPr>
        <w:pStyle w:val="TOC2"/>
        <w:tabs>
          <w:tab w:val="right" w:leader="dot" w:pos="9950"/>
        </w:tabs>
        <w:rPr>
          <w:rFonts w:asciiTheme="minorHAnsi" w:hAnsiTheme="minorHAnsi"/>
          <w:noProof/>
          <w:sz w:val="22"/>
        </w:rPr>
      </w:pPr>
      <w:hyperlink w:anchor="_Toc256000466" w:history="1">
        <w:r>
          <w:rPr>
            <w:rStyle w:val="Hyperlink"/>
          </w:rPr>
          <w:t>Managing Networking Resources in the VCF Automation Provider Management Portal</w:t>
        </w:r>
        <w:r>
          <w:tab/>
        </w:r>
        <w:r>
          <w:fldChar w:fldCharType="begin"/>
        </w:r>
        <w:r>
          <w:instrText xml:space="preserve"> PAGEREF _Toc256000466 \h </w:instrText>
        </w:r>
        <w:r>
          <w:fldChar w:fldCharType="separate"/>
        </w:r>
        <w:r>
          <w:t>29</w:t>
        </w:r>
        <w:r>
          <w:fldChar w:fldCharType="end"/>
        </w:r>
      </w:hyperlink>
    </w:p>
    <w:p>
      <w:pPr>
        <w:pStyle w:val="TOC3"/>
        <w:tabs>
          <w:tab w:val="right" w:leader="dot" w:pos="9950"/>
        </w:tabs>
        <w:rPr>
          <w:rFonts w:asciiTheme="minorHAnsi" w:hAnsiTheme="minorHAnsi"/>
          <w:noProof/>
          <w:sz w:val="22"/>
        </w:rPr>
      </w:pPr>
      <w:hyperlink w:anchor="_Toc256000467" w:history="1">
        <w:r>
          <w:rPr>
            <w:rStyle w:val="Hyperlink"/>
          </w:rPr>
          <w:t>Managing IP Spaces in your VCF Automation Provider Management Portal</w:t>
        </w:r>
        <w:r>
          <w:tab/>
        </w:r>
        <w:r>
          <w:fldChar w:fldCharType="begin"/>
        </w:r>
        <w:r>
          <w:instrText xml:space="preserve"> PAGEREF _Toc256000467 \h </w:instrText>
        </w:r>
        <w:r>
          <w:fldChar w:fldCharType="separate"/>
        </w:r>
        <w:r>
          <w:t>29</w:t>
        </w:r>
        <w:r>
          <w:fldChar w:fldCharType="end"/>
        </w:r>
      </w:hyperlink>
    </w:p>
    <w:p>
      <w:pPr>
        <w:pStyle w:val="TOC4"/>
        <w:tabs>
          <w:tab w:val="right" w:leader="dot" w:pos="9950"/>
        </w:tabs>
        <w:rPr>
          <w:rFonts w:asciiTheme="minorHAnsi" w:hAnsiTheme="minorHAnsi"/>
          <w:noProof/>
          <w:sz w:val="22"/>
        </w:rPr>
      </w:pPr>
      <w:hyperlink w:anchor="_Toc256000468" w:history="1">
        <w:r>
          <w:rPr>
            <w:rStyle w:val="Hyperlink"/>
          </w:rPr>
          <w:t>Add an IP Space to Your VCF Automation</w:t>
        </w:r>
        <w:r>
          <w:tab/>
        </w:r>
        <w:r>
          <w:fldChar w:fldCharType="begin"/>
        </w:r>
        <w:r>
          <w:instrText xml:space="preserve"> PAGEREF _Toc256000468 \h </w:instrText>
        </w:r>
        <w:r>
          <w:fldChar w:fldCharType="separate"/>
        </w:r>
        <w:r>
          <w:t>29</w:t>
        </w:r>
        <w:r>
          <w:fldChar w:fldCharType="end"/>
        </w:r>
      </w:hyperlink>
    </w:p>
    <w:p>
      <w:pPr>
        <w:pStyle w:val="TOC4"/>
        <w:tabs>
          <w:tab w:val="right" w:leader="dot" w:pos="9950"/>
        </w:tabs>
        <w:rPr>
          <w:rFonts w:asciiTheme="minorHAnsi" w:hAnsiTheme="minorHAnsi"/>
          <w:noProof/>
          <w:sz w:val="22"/>
        </w:rPr>
      </w:pPr>
      <w:hyperlink w:anchor="_Toc256000469" w:history="1">
        <w:r>
          <w:rPr>
            <w:rStyle w:val="Hyperlink"/>
          </w:rPr>
          <w:t>Create a Custom IP Space Quota</w:t>
        </w:r>
        <w:r>
          <w:tab/>
        </w:r>
        <w:r>
          <w:fldChar w:fldCharType="begin"/>
        </w:r>
        <w:r>
          <w:instrText xml:space="preserve"> PAGEREF _Toc256000469 \h </w:instrText>
        </w:r>
        <w:r>
          <w:fldChar w:fldCharType="separate"/>
        </w:r>
        <w:r>
          <w:t>30</w:t>
        </w:r>
        <w:r>
          <w:fldChar w:fldCharType="end"/>
        </w:r>
      </w:hyperlink>
    </w:p>
    <w:p>
      <w:pPr>
        <w:pStyle w:val="TOC4"/>
        <w:tabs>
          <w:tab w:val="right" w:leader="dot" w:pos="9950"/>
        </w:tabs>
        <w:rPr>
          <w:rFonts w:asciiTheme="minorHAnsi" w:hAnsiTheme="minorHAnsi"/>
          <w:noProof/>
          <w:sz w:val="22"/>
        </w:rPr>
      </w:pPr>
      <w:hyperlink w:anchor="_Toc256000470" w:history="1">
        <w:r>
          <w:rPr>
            <w:rStyle w:val="Hyperlink"/>
          </w:rPr>
          <w:t>Edit an IP Space in Your VCF Automation</w:t>
        </w:r>
        <w:r>
          <w:tab/>
        </w:r>
        <w:r>
          <w:fldChar w:fldCharType="begin"/>
        </w:r>
        <w:r>
          <w:instrText xml:space="preserve"> PAGEREF _Toc256000470 \h </w:instrText>
        </w:r>
        <w:r>
          <w:fldChar w:fldCharType="separate"/>
        </w:r>
        <w:r>
          <w:t>31</w:t>
        </w:r>
        <w:r>
          <w:fldChar w:fldCharType="end"/>
        </w:r>
      </w:hyperlink>
    </w:p>
    <w:p>
      <w:pPr>
        <w:pStyle w:val="TOC3"/>
        <w:tabs>
          <w:tab w:val="right" w:leader="dot" w:pos="9950"/>
        </w:tabs>
        <w:rPr>
          <w:rFonts w:asciiTheme="minorHAnsi" w:hAnsiTheme="minorHAnsi"/>
          <w:noProof/>
          <w:sz w:val="22"/>
        </w:rPr>
      </w:pPr>
      <w:hyperlink w:anchor="_Toc256000471" w:history="1">
        <w:r>
          <w:rPr>
            <w:rStyle w:val="Hyperlink"/>
          </w:rPr>
          <w:t>Managing Provider Gateways in Your VCF Automation</w:t>
        </w:r>
        <w:r>
          <w:tab/>
        </w:r>
        <w:r>
          <w:fldChar w:fldCharType="begin"/>
        </w:r>
        <w:r>
          <w:instrText xml:space="preserve"> PAGEREF _Toc256000471 \h </w:instrText>
        </w:r>
        <w:r>
          <w:fldChar w:fldCharType="separate"/>
        </w:r>
        <w:r>
          <w:t>32</w:t>
        </w:r>
        <w:r>
          <w:fldChar w:fldCharType="end"/>
        </w:r>
      </w:hyperlink>
    </w:p>
    <w:p>
      <w:pPr>
        <w:pStyle w:val="TOC4"/>
        <w:tabs>
          <w:tab w:val="right" w:leader="dot" w:pos="9950"/>
        </w:tabs>
        <w:rPr>
          <w:rFonts w:asciiTheme="minorHAnsi" w:hAnsiTheme="minorHAnsi"/>
          <w:noProof/>
          <w:sz w:val="22"/>
        </w:rPr>
      </w:pPr>
      <w:hyperlink w:anchor="_Toc256000472" w:history="1">
        <w:r>
          <w:rPr>
            <w:rStyle w:val="Hyperlink"/>
          </w:rPr>
          <w:t>Add a Provider Gateway to Your VCF Automation</w:t>
        </w:r>
        <w:r>
          <w:tab/>
        </w:r>
        <w:r>
          <w:fldChar w:fldCharType="begin"/>
        </w:r>
        <w:r>
          <w:instrText xml:space="preserve"> PAGEREF _Toc256000472 \h </w:instrText>
        </w:r>
        <w:r>
          <w:fldChar w:fldCharType="separate"/>
        </w:r>
        <w:r>
          <w:t>32</w:t>
        </w:r>
        <w:r>
          <w:fldChar w:fldCharType="end"/>
        </w:r>
      </w:hyperlink>
    </w:p>
    <w:p>
      <w:pPr>
        <w:pStyle w:val="TOC4"/>
        <w:tabs>
          <w:tab w:val="right" w:leader="dot" w:pos="9950"/>
        </w:tabs>
        <w:rPr>
          <w:rFonts w:asciiTheme="minorHAnsi" w:hAnsiTheme="minorHAnsi"/>
          <w:noProof/>
          <w:sz w:val="22"/>
        </w:rPr>
      </w:pPr>
      <w:hyperlink w:anchor="_Toc256000473" w:history="1">
        <w:r>
          <w:rPr>
            <w:rStyle w:val="Hyperlink"/>
          </w:rPr>
          <w:t>Associate a Provider Gateway with an IP Space</w:t>
        </w:r>
        <w:r>
          <w:tab/>
        </w:r>
        <w:r>
          <w:fldChar w:fldCharType="begin"/>
        </w:r>
        <w:r>
          <w:instrText xml:space="preserve"> PAGEREF _Toc256000473 \h </w:instrText>
        </w:r>
        <w:r>
          <w:fldChar w:fldCharType="separate"/>
        </w:r>
        <w:r>
          <w:t>33</w:t>
        </w:r>
        <w:r>
          <w:fldChar w:fldCharType="end"/>
        </w:r>
      </w:hyperlink>
    </w:p>
    <w:p>
      <w:pPr>
        <w:pStyle w:val="TOC3"/>
        <w:tabs>
          <w:tab w:val="right" w:leader="dot" w:pos="9950"/>
        </w:tabs>
        <w:rPr>
          <w:rFonts w:asciiTheme="minorHAnsi" w:hAnsiTheme="minorHAnsi"/>
          <w:noProof/>
          <w:sz w:val="22"/>
        </w:rPr>
      </w:pPr>
      <w:hyperlink w:anchor="_Toc256000474" w:history="1">
        <w:r>
          <w:rPr>
            <w:rStyle w:val="Hyperlink"/>
          </w:rPr>
          <w:t>View and Sync Edge Clusters in VCF Automation</w:t>
        </w:r>
        <w:r>
          <w:tab/>
        </w:r>
        <w:r>
          <w:fldChar w:fldCharType="begin"/>
        </w:r>
        <w:r>
          <w:instrText xml:space="preserve"> PAGEREF _Toc256000474 \h </w:instrText>
        </w:r>
        <w:r>
          <w:fldChar w:fldCharType="separate"/>
        </w:r>
        <w:r>
          <w:t>34</w:t>
        </w:r>
        <w:r>
          <w:fldChar w:fldCharType="end"/>
        </w:r>
      </w:hyperlink>
    </w:p>
    <w:p>
      <w:pPr>
        <w:pStyle w:val="TOC4"/>
        <w:tabs>
          <w:tab w:val="right" w:leader="dot" w:pos="9950"/>
        </w:tabs>
        <w:rPr>
          <w:rFonts w:asciiTheme="minorHAnsi" w:hAnsiTheme="minorHAnsi"/>
          <w:noProof/>
          <w:sz w:val="22"/>
        </w:rPr>
      </w:pPr>
      <w:hyperlink w:anchor="_Toc256000475" w:history="1">
        <w:r>
          <w:rPr>
            <w:rStyle w:val="Hyperlink"/>
          </w:rPr>
          <w:t>Edit the Default QoS Configuration</w:t>
        </w:r>
        <w:r>
          <w:tab/>
        </w:r>
        <w:r>
          <w:fldChar w:fldCharType="begin"/>
        </w:r>
        <w:r>
          <w:instrText xml:space="preserve"> PAGEREF _Toc256000475 \h </w:instrText>
        </w:r>
        <w:r>
          <w:fldChar w:fldCharType="separate"/>
        </w:r>
        <w:r>
          <w:t>34</w:t>
        </w:r>
        <w:r>
          <w:fldChar w:fldCharType="end"/>
        </w:r>
      </w:hyperlink>
    </w:p>
    <w:p>
      <w:pPr>
        <w:pStyle w:val="TOC2"/>
        <w:tabs>
          <w:tab w:val="right" w:leader="dot" w:pos="9950"/>
        </w:tabs>
        <w:rPr>
          <w:rFonts w:asciiTheme="minorHAnsi" w:hAnsiTheme="minorHAnsi"/>
          <w:noProof/>
          <w:sz w:val="22"/>
        </w:rPr>
      </w:pPr>
      <w:hyperlink w:anchor="_Toc256000476" w:history="1">
        <w:r>
          <w:rPr>
            <w:rStyle w:val="Hyperlink"/>
          </w:rPr>
          <w:t>Managing Regions in Your VCF Automation</w:t>
        </w:r>
        <w:r>
          <w:tab/>
        </w:r>
        <w:r>
          <w:fldChar w:fldCharType="begin"/>
        </w:r>
        <w:r>
          <w:instrText xml:space="preserve"> PAGEREF _Toc256000476 \h </w:instrText>
        </w:r>
        <w:r>
          <w:fldChar w:fldCharType="separate"/>
        </w:r>
        <w:r>
          <w:t>35</w:t>
        </w:r>
        <w:r>
          <w:fldChar w:fldCharType="end"/>
        </w:r>
      </w:hyperlink>
    </w:p>
    <w:p>
      <w:pPr>
        <w:pStyle w:val="TOC3"/>
        <w:tabs>
          <w:tab w:val="right" w:leader="dot" w:pos="9950"/>
        </w:tabs>
        <w:rPr>
          <w:rFonts w:asciiTheme="minorHAnsi" w:hAnsiTheme="minorHAnsi"/>
          <w:noProof/>
          <w:sz w:val="22"/>
        </w:rPr>
      </w:pPr>
      <w:hyperlink w:anchor="_Toc256000477" w:history="1">
        <w:r>
          <w:rPr>
            <w:rStyle w:val="Hyperlink"/>
          </w:rPr>
          <w:t>Create a Region in Your VCF Automation</w:t>
        </w:r>
        <w:r>
          <w:tab/>
        </w:r>
        <w:r>
          <w:fldChar w:fldCharType="begin"/>
        </w:r>
        <w:r>
          <w:instrText xml:space="preserve"> PAGEREF _Toc256000477 \h </w:instrText>
        </w:r>
        <w:r>
          <w:fldChar w:fldCharType="separate"/>
        </w:r>
        <w:r>
          <w:t>36</w:t>
        </w:r>
        <w:r>
          <w:fldChar w:fldCharType="end"/>
        </w:r>
      </w:hyperlink>
    </w:p>
    <w:p>
      <w:pPr>
        <w:pStyle w:val="TOC3"/>
        <w:tabs>
          <w:tab w:val="right" w:leader="dot" w:pos="9950"/>
        </w:tabs>
        <w:rPr>
          <w:rFonts w:asciiTheme="minorHAnsi" w:hAnsiTheme="minorHAnsi"/>
          <w:noProof/>
          <w:sz w:val="22"/>
        </w:rPr>
      </w:pPr>
      <w:hyperlink w:anchor="_Toc256000478" w:history="1">
        <w:r>
          <w:rPr>
            <w:rStyle w:val="Hyperlink"/>
          </w:rPr>
          <w:t>Edit a Region</w:t>
        </w:r>
        <w:r>
          <w:tab/>
        </w:r>
        <w:r>
          <w:fldChar w:fldCharType="begin"/>
        </w:r>
        <w:r>
          <w:instrText xml:space="preserve"> PAGEREF _Toc256000478 \h </w:instrText>
        </w:r>
        <w:r>
          <w:fldChar w:fldCharType="separate"/>
        </w:r>
        <w:r>
          <w:t>38</w:t>
        </w:r>
        <w:r>
          <w:fldChar w:fldCharType="end"/>
        </w:r>
      </w:hyperlink>
    </w:p>
    <w:p>
      <w:pPr>
        <w:pStyle w:val="TOC2"/>
        <w:tabs>
          <w:tab w:val="right" w:leader="dot" w:pos="9950"/>
        </w:tabs>
        <w:rPr>
          <w:rFonts w:asciiTheme="minorHAnsi" w:hAnsiTheme="minorHAnsi"/>
          <w:noProof/>
          <w:sz w:val="22"/>
        </w:rPr>
      </w:pPr>
      <w:hyperlink w:anchor="_Toc256000479" w:history="1">
        <w:r>
          <w:rPr>
            <w:rStyle w:val="Hyperlink"/>
          </w:rPr>
          <w:t>Create a Content Library</w:t>
        </w:r>
        <w:r>
          <w:tab/>
        </w:r>
        <w:r>
          <w:fldChar w:fldCharType="begin"/>
        </w:r>
        <w:r>
          <w:instrText xml:space="preserve"> PAGEREF _Toc256000479 \h </w:instrText>
        </w:r>
        <w:r>
          <w:fldChar w:fldCharType="separate"/>
        </w:r>
        <w:r>
          <w:t>38</w:t>
        </w:r>
        <w:r>
          <w:fldChar w:fldCharType="end"/>
        </w:r>
      </w:hyperlink>
    </w:p>
    <w:p>
      <w:pPr>
        <w:pStyle w:val="TOC2"/>
        <w:tabs>
          <w:tab w:val="right" w:leader="dot" w:pos="9950"/>
        </w:tabs>
        <w:rPr>
          <w:rFonts w:asciiTheme="minorHAnsi" w:hAnsiTheme="minorHAnsi"/>
          <w:noProof/>
          <w:sz w:val="22"/>
        </w:rPr>
      </w:pPr>
      <w:hyperlink w:anchor="_Toc256000480" w:history="1">
        <w:r>
          <w:rPr>
            <w:rStyle w:val="Hyperlink"/>
          </w:rPr>
          <w:t>Upload a Content Library Item</w:t>
        </w:r>
        <w:r>
          <w:tab/>
        </w:r>
        <w:r>
          <w:fldChar w:fldCharType="begin"/>
        </w:r>
        <w:r>
          <w:instrText xml:space="preserve"> PAGEREF _Toc256000480 \h </w:instrText>
        </w:r>
        <w:r>
          <w:fldChar w:fldCharType="separate"/>
        </w:r>
        <w:r>
          <w:t>40</w:t>
        </w:r>
        <w:r>
          <w:fldChar w:fldCharType="end"/>
        </w:r>
      </w:hyperlink>
    </w:p>
    <w:p>
      <w:pPr>
        <w:pStyle w:val="TOC1"/>
        <w:tabs>
          <w:tab w:val="left" w:pos="440"/>
          <w:tab w:val="right" w:leader="dot" w:pos="9950"/>
        </w:tabs>
        <w:rPr>
          <w:rFonts w:asciiTheme="minorHAnsi" w:hAnsiTheme="minorHAnsi"/>
          <w:noProof/>
          <w:sz w:val="22"/>
        </w:rPr>
      </w:pPr>
      <w:hyperlink w:anchor="_Toc256000481" w:history="1">
        <w:r>
          <w:rPr>
            <w:rStyle w:val="Hyperlink"/>
          </w:rPr>
          <w:t>5.</w:t>
        </w:r>
        <w:r>
          <w:rPr>
            <w:rFonts w:asciiTheme="minorHAnsi" w:hAnsiTheme="minorHAnsi"/>
            <w:noProof/>
            <w:sz w:val="22"/>
          </w:rPr>
          <w:tab/>
        </w:r>
        <w:r>
          <w:rPr>
            <w:rStyle w:val="Hyperlink"/>
          </w:rPr>
          <w:t>Managing VCF Automation Organizations</w:t>
        </w:r>
        <w:r>
          <w:tab/>
        </w:r>
        <w:r>
          <w:fldChar w:fldCharType="begin"/>
        </w:r>
        <w:r>
          <w:instrText xml:space="preserve"> PAGEREF _Toc256000481 \h </w:instrText>
        </w:r>
        <w:r>
          <w:fldChar w:fldCharType="separate"/>
        </w:r>
        <w:r>
          <w:t>41</w:t>
        </w:r>
        <w:r>
          <w:fldChar w:fldCharType="end"/>
        </w:r>
      </w:hyperlink>
    </w:p>
    <w:p>
      <w:pPr>
        <w:pStyle w:val="TOC2"/>
        <w:tabs>
          <w:tab w:val="right" w:leader="dot" w:pos="9950"/>
        </w:tabs>
        <w:rPr>
          <w:rFonts w:asciiTheme="minorHAnsi" w:hAnsiTheme="minorHAnsi"/>
          <w:noProof/>
          <w:sz w:val="22"/>
        </w:rPr>
      </w:pPr>
      <w:hyperlink w:anchor="_Toc256000482" w:history="1">
        <w:r>
          <w:rPr>
            <w:rStyle w:val="Hyperlink"/>
          </w:rPr>
          <w:t>Create a VCF Automation Organization for All Applications</w:t>
        </w:r>
        <w:r>
          <w:tab/>
        </w:r>
        <w:r>
          <w:fldChar w:fldCharType="begin"/>
        </w:r>
        <w:r>
          <w:instrText xml:space="preserve"> PAGEREF _Toc256000482 \h </w:instrText>
        </w:r>
        <w:r>
          <w:fldChar w:fldCharType="separate"/>
        </w:r>
        <w:r>
          <w:t>41</w:t>
        </w:r>
        <w:r>
          <w:fldChar w:fldCharType="end"/>
        </w:r>
      </w:hyperlink>
    </w:p>
    <w:p>
      <w:pPr>
        <w:pStyle w:val="TOC2"/>
        <w:tabs>
          <w:tab w:val="right" w:leader="dot" w:pos="9950"/>
        </w:tabs>
        <w:rPr>
          <w:rFonts w:asciiTheme="minorHAnsi" w:hAnsiTheme="minorHAnsi"/>
          <w:noProof/>
          <w:sz w:val="22"/>
        </w:rPr>
      </w:pPr>
      <w:hyperlink w:anchor="_Toc256000483" w:history="1">
        <w:r>
          <w:rPr>
            <w:rStyle w:val="Hyperlink"/>
          </w:rPr>
          <w:t>Create a VCF Automation Organization for VM Applications</w:t>
        </w:r>
        <w:r>
          <w:tab/>
        </w:r>
        <w:r>
          <w:fldChar w:fldCharType="begin"/>
        </w:r>
        <w:r>
          <w:instrText xml:space="preserve"> PAGEREF _Toc256000483 \h </w:instrText>
        </w:r>
        <w:r>
          <w:fldChar w:fldCharType="separate"/>
        </w:r>
        <w:r>
          <w:t>42</w:t>
        </w:r>
        <w:r>
          <w:fldChar w:fldCharType="end"/>
        </w:r>
      </w:hyperlink>
    </w:p>
    <w:p>
      <w:pPr>
        <w:pStyle w:val="TOC2"/>
        <w:tabs>
          <w:tab w:val="right" w:leader="dot" w:pos="9950"/>
        </w:tabs>
        <w:rPr>
          <w:rFonts w:asciiTheme="minorHAnsi" w:hAnsiTheme="minorHAnsi"/>
          <w:noProof/>
          <w:sz w:val="22"/>
        </w:rPr>
      </w:pPr>
      <w:hyperlink w:anchor="_Toc256000484" w:history="1">
        <w:r>
          <w:rPr>
            <w:rStyle w:val="Hyperlink"/>
          </w:rPr>
          <w:t>Create a Provider Consumption Organization</w:t>
        </w:r>
        <w:r>
          <w:tab/>
        </w:r>
        <w:r>
          <w:fldChar w:fldCharType="begin"/>
        </w:r>
        <w:r>
          <w:instrText xml:space="preserve"> PAGEREF _Toc256000484 \h </w:instrText>
        </w:r>
        <w:r>
          <w:fldChar w:fldCharType="separate"/>
        </w:r>
        <w:r>
          <w:t>44</w:t>
        </w:r>
        <w:r>
          <w:fldChar w:fldCharType="end"/>
        </w:r>
      </w:hyperlink>
    </w:p>
    <w:p>
      <w:pPr>
        <w:pStyle w:val="TOC2"/>
        <w:tabs>
          <w:tab w:val="right" w:leader="dot" w:pos="9950"/>
        </w:tabs>
        <w:rPr>
          <w:rFonts w:asciiTheme="minorHAnsi" w:hAnsiTheme="minorHAnsi"/>
          <w:noProof/>
          <w:sz w:val="22"/>
        </w:rPr>
      </w:pPr>
      <w:hyperlink w:anchor="_Toc256000485" w:history="1">
        <w:r>
          <w:rPr>
            <w:rStyle w:val="Hyperlink"/>
          </w:rPr>
          <w:t>Configure the Region Network Configurations of a VCF Automation Organization</w:t>
        </w:r>
        <w:r>
          <w:tab/>
        </w:r>
        <w:r>
          <w:fldChar w:fldCharType="begin"/>
        </w:r>
        <w:r>
          <w:instrText xml:space="preserve"> PAGEREF _Toc256000485 \h </w:instrText>
        </w:r>
        <w:r>
          <w:fldChar w:fldCharType="separate"/>
        </w:r>
        <w:r>
          <w:t>45</w:t>
        </w:r>
        <w:r>
          <w:fldChar w:fldCharType="end"/>
        </w:r>
      </w:hyperlink>
    </w:p>
    <w:p>
      <w:pPr>
        <w:pStyle w:val="TOC3"/>
        <w:tabs>
          <w:tab w:val="right" w:leader="dot" w:pos="9950"/>
        </w:tabs>
        <w:rPr>
          <w:rFonts w:asciiTheme="minorHAnsi" w:hAnsiTheme="minorHAnsi"/>
          <w:noProof/>
          <w:sz w:val="22"/>
        </w:rPr>
      </w:pPr>
      <w:hyperlink w:anchor="_Toc256000486" w:history="1">
        <w:r>
          <w:rPr>
            <w:rStyle w:val="Hyperlink"/>
          </w:rPr>
          <w:t>Override Edge Cluster Default QoS Configuration</w:t>
        </w:r>
        <w:r>
          <w:tab/>
        </w:r>
        <w:r>
          <w:fldChar w:fldCharType="begin"/>
        </w:r>
        <w:r>
          <w:instrText xml:space="preserve"> PAGEREF _Toc256000486 \h </w:instrText>
        </w:r>
        <w:r>
          <w:fldChar w:fldCharType="separate"/>
        </w:r>
        <w:r>
          <w:t>46</w:t>
        </w:r>
        <w:r>
          <w:fldChar w:fldCharType="end"/>
        </w:r>
      </w:hyperlink>
    </w:p>
    <w:p>
      <w:pPr>
        <w:pStyle w:val="TOC3"/>
        <w:tabs>
          <w:tab w:val="right" w:leader="dot" w:pos="9950"/>
        </w:tabs>
        <w:rPr>
          <w:rFonts w:asciiTheme="minorHAnsi" w:hAnsiTheme="minorHAnsi"/>
          <w:noProof/>
          <w:sz w:val="22"/>
        </w:rPr>
      </w:pPr>
      <w:hyperlink w:anchor="_Toc256000487" w:history="1">
        <w:r>
          <w:rPr>
            <w:rStyle w:val="Hyperlink"/>
          </w:rPr>
          <w:t>Manage the Storage Classes of a Region Quota</w:t>
        </w:r>
        <w:r>
          <w:tab/>
        </w:r>
        <w:r>
          <w:fldChar w:fldCharType="begin"/>
        </w:r>
        <w:r>
          <w:instrText xml:space="preserve"> PAGEREF _Toc256000487 \h </w:instrText>
        </w:r>
        <w:r>
          <w:fldChar w:fldCharType="separate"/>
        </w:r>
        <w:r>
          <w:t>46</w:t>
        </w:r>
        <w:r>
          <w:fldChar w:fldCharType="end"/>
        </w:r>
      </w:hyperlink>
    </w:p>
    <w:p>
      <w:pPr>
        <w:pStyle w:val="TOC2"/>
        <w:tabs>
          <w:tab w:val="right" w:leader="dot" w:pos="9950"/>
        </w:tabs>
        <w:rPr>
          <w:rFonts w:asciiTheme="minorHAnsi" w:hAnsiTheme="minorHAnsi"/>
          <w:noProof/>
          <w:sz w:val="22"/>
        </w:rPr>
      </w:pPr>
      <w:hyperlink w:anchor="_Toc256000488" w:history="1">
        <w:r>
          <w:rPr>
            <w:rStyle w:val="Hyperlink"/>
          </w:rPr>
          <w:t>Edit an Organization for All Applications</w:t>
        </w:r>
        <w:r>
          <w:tab/>
        </w:r>
        <w:r>
          <w:fldChar w:fldCharType="begin"/>
        </w:r>
        <w:r>
          <w:instrText xml:space="preserve"> PAGEREF _Toc256000488 \h </w:instrText>
        </w:r>
        <w:r>
          <w:fldChar w:fldCharType="separate"/>
        </w:r>
        <w:r>
          <w:t>47</w:t>
        </w:r>
        <w:r>
          <w:fldChar w:fldCharType="end"/>
        </w:r>
      </w:hyperlink>
    </w:p>
    <w:p>
      <w:pPr>
        <w:pStyle w:val="TOC2"/>
        <w:tabs>
          <w:tab w:val="right" w:leader="dot" w:pos="9950"/>
        </w:tabs>
        <w:rPr>
          <w:rFonts w:asciiTheme="minorHAnsi" w:hAnsiTheme="minorHAnsi"/>
          <w:noProof/>
          <w:sz w:val="22"/>
        </w:rPr>
      </w:pPr>
      <w:hyperlink w:anchor="_Toc256000489" w:history="1">
        <w:r>
          <w:rPr>
            <w:rStyle w:val="Hyperlink"/>
          </w:rPr>
          <w:t>Edit an Organization for VM Applications</w:t>
        </w:r>
        <w:r>
          <w:tab/>
        </w:r>
        <w:r>
          <w:fldChar w:fldCharType="begin"/>
        </w:r>
        <w:r>
          <w:instrText xml:space="preserve"> PAGEREF _Toc256000489 \h </w:instrText>
        </w:r>
        <w:r>
          <w:fldChar w:fldCharType="separate"/>
        </w:r>
        <w:r>
          <w:t>48</w:t>
        </w:r>
        <w:r>
          <w:fldChar w:fldCharType="end"/>
        </w:r>
      </w:hyperlink>
    </w:p>
    <w:p>
      <w:pPr>
        <w:pStyle w:val="TOC2"/>
        <w:tabs>
          <w:tab w:val="right" w:leader="dot" w:pos="9950"/>
        </w:tabs>
        <w:rPr>
          <w:rFonts w:asciiTheme="minorHAnsi" w:hAnsiTheme="minorHAnsi"/>
          <w:noProof/>
          <w:sz w:val="22"/>
        </w:rPr>
      </w:pPr>
      <w:hyperlink w:anchor="_Toc256000490" w:history="1">
        <w:r>
          <w:rPr>
            <w:rStyle w:val="Hyperlink"/>
          </w:rPr>
          <w:t>Activate or Deactivate a VCF Automation Organization</w:t>
        </w:r>
        <w:r>
          <w:tab/>
        </w:r>
        <w:r>
          <w:fldChar w:fldCharType="begin"/>
        </w:r>
        <w:r>
          <w:instrText xml:space="preserve"> PAGEREF _Toc256000490 \h </w:instrText>
        </w:r>
        <w:r>
          <w:fldChar w:fldCharType="separate"/>
        </w:r>
        <w:r>
          <w:t>48</w:t>
        </w:r>
        <w:r>
          <w:fldChar w:fldCharType="end"/>
        </w:r>
      </w:hyperlink>
    </w:p>
    <w:p>
      <w:pPr>
        <w:pStyle w:val="TOC2"/>
        <w:tabs>
          <w:tab w:val="right" w:leader="dot" w:pos="9950"/>
        </w:tabs>
        <w:rPr>
          <w:rFonts w:asciiTheme="minorHAnsi" w:hAnsiTheme="minorHAnsi"/>
          <w:noProof/>
          <w:sz w:val="22"/>
        </w:rPr>
      </w:pPr>
      <w:hyperlink w:anchor="_Toc256000491" w:history="1">
        <w:r>
          <w:rPr>
            <w:rStyle w:val="Hyperlink"/>
          </w:rPr>
          <w:t>Delete a VCF Automation Organization</w:t>
        </w:r>
        <w:r>
          <w:tab/>
        </w:r>
        <w:r>
          <w:fldChar w:fldCharType="begin"/>
        </w:r>
        <w:r>
          <w:instrText xml:space="preserve"> PAGEREF _Toc256000491 \h </w:instrText>
        </w:r>
        <w:r>
          <w:fldChar w:fldCharType="separate"/>
        </w:r>
        <w:r>
          <w:t>49</w:t>
        </w:r>
        <w:r>
          <w:fldChar w:fldCharType="end"/>
        </w:r>
      </w:hyperlink>
    </w:p>
    <w:p>
      <w:pPr>
        <w:pStyle w:val="TOC2"/>
        <w:tabs>
          <w:tab w:val="right" w:leader="dot" w:pos="9950"/>
        </w:tabs>
        <w:rPr>
          <w:rFonts w:asciiTheme="minorHAnsi" w:hAnsiTheme="minorHAnsi"/>
          <w:noProof/>
          <w:sz w:val="22"/>
        </w:rPr>
      </w:pPr>
      <w:hyperlink w:anchor="_Toc256000492" w:history="1">
        <w:r>
          <w:rPr>
            <w:rStyle w:val="Hyperlink"/>
          </w:rPr>
          <w:t>Region Quota of a VCF Automation Organization</w:t>
        </w:r>
        <w:r>
          <w:tab/>
        </w:r>
        <w:r>
          <w:fldChar w:fldCharType="begin"/>
        </w:r>
        <w:r>
          <w:instrText xml:space="preserve"> PAGEREF _Toc256000492 \h </w:instrText>
        </w:r>
        <w:r>
          <w:fldChar w:fldCharType="separate"/>
        </w:r>
        <w:r>
          <w:t>49</w:t>
        </w:r>
        <w:r>
          <w:fldChar w:fldCharType="end"/>
        </w:r>
      </w:hyperlink>
    </w:p>
    <w:p>
      <w:pPr>
        <w:pStyle w:val="TOC3"/>
        <w:tabs>
          <w:tab w:val="right" w:leader="dot" w:pos="9950"/>
        </w:tabs>
        <w:rPr>
          <w:rFonts w:asciiTheme="minorHAnsi" w:hAnsiTheme="minorHAnsi"/>
          <w:noProof/>
          <w:sz w:val="22"/>
        </w:rPr>
      </w:pPr>
      <w:hyperlink w:anchor="_Toc256000493" w:history="1">
        <w:r>
          <w:rPr>
            <w:rStyle w:val="Hyperlink"/>
          </w:rPr>
          <w:t>Add Region Quota to a VCF Automation Organization</w:t>
        </w:r>
        <w:r>
          <w:tab/>
        </w:r>
        <w:r>
          <w:fldChar w:fldCharType="begin"/>
        </w:r>
        <w:r>
          <w:instrText xml:space="preserve"> PAGEREF _Toc256000493 \h </w:instrText>
        </w:r>
        <w:r>
          <w:fldChar w:fldCharType="separate"/>
        </w:r>
        <w:r>
          <w:t>49</w:t>
        </w:r>
        <w:r>
          <w:fldChar w:fldCharType="end"/>
        </w:r>
      </w:hyperlink>
    </w:p>
    <w:p>
      <w:pPr>
        <w:pStyle w:val="TOC3"/>
        <w:tabs>
          <w:tab w:val="right" w:leader="dot" w:pos="9950"/>
        </w:tabs>
        <w:rPr>
          <w:rFonts w:asciiTheme="minorHAnsi" w:hAnsiTheme="minorHAnsi"/>
          <w:noProof/>
          <w:sz w:val="22"/>
        </w:rPr>
      </w:pPr>
      <w:hyperlink w:anchor="_Toc256000494" w:history="1">
        <w:r>
          <w:rPr>
            <w:rStyle w:val="Hyperlink"/>
          </w:rPr>
          <w:t>Edit the Zones of a Region Quota</w:t>
        </w:r>
        <w:r>
          <w:tab/>
        </w:r>
        <w:r>
          <w:fldChar w:fldCharType="begin"/>
        </w:r>
        <w:r>
          <w:instrText xml:space="preserve"> PAGEREF _Toc256000494 \h </w:instrText>
        </w:r>
        <w:r>
          <w:fldChar w:fldCharType="separate"/>
        </w:r>
        <w:r>
          <w:t>50</w:t>
        </w:r>
        <w:r>
          <w:fldChar w:fldCharType="end"/>
        </w:r>
      </w:hyperlink>
    </w:p>
    <w:p>
      <w:pPr>
        <w:pStyle w:val="TOC3"/>
        <w:tabs>
          <w:tab w:val="right" w:leader="dot" w:pos="9950"/>
        </w:tabs>
        <w:rPr>
          <w:rFonts w:asciiTheme="minorHAnsi" w:hAnsiTheme="minorHAnsi"/>
          <w:noProof/>
          <w:sz w:val="22"/>
        </w:rPr>
      </w:pPr>
      <w:hyperlink w:anchor="_Toc256000495" w:history="1">
        <w:r>
          <w:rPr>
            <w:rStyle w:val="Hyperlink"/>
          </w:rPr>
          <w:t>Edit the VM Classes, Storage Classes, and Reserved VM Classes of a Region Quota</w:t>
        </w:r>
        <w:r>
          <w:tab/>
        </w:r>
        <w:r>
          <w:fldChar w:fldCharType="begin"/>
        </w:r>
        <w:r>
          <w:instrText xml:space="preserve"> PAGEREF _Toc256000495 \h </w:instrText>
        </w:r>
        <w:r>
          <w:fldChar w:fldCharType="separate"/>
        </w:r>
        <w:r>
          <w:t>51</w:t>
        </w:r>
        <w:r>
          <w:fldChar w:fldCharType="end"/>
        </w:r>
      </w:hyperlink>
    </w:p>
    <w:p>
      <w:pPr>
        <w:pStyle w:val="TOC3"/>
        <w:tabs>
          <w:tab w:val="right" w:leader="dot" w:pos="9950"/>
        </w:tabs>
        <w:rPr>
          <w:rFonts w:asciiTheme="minorHAnsi" w:hAnsiTheme="minorHAnsi"/>
          <w:noProof/>
          <w:sz w:val="22"/>
        </w:rPr>
      </w:pPr>
      <w:hyperlink w:anchor="_Toc256000496" w:history="1">
        <w:r>
          <w:rPr>
            <w:rStyle w:val="Hyperlink"/>
          </w:rPr>
          <w:t>Export the Organization Data</w:t>
        </w:r>
        <w:r>
          <w:tab/>
        </w:r>
        <w:r>
          <w:fldChar w:fldCharType="begin"/>
        </w:r>
        <w:r>
          <w:instrText xml:space="preserve"> PAGEREF _Toc256000496 \h </w:instrText>
        </w:r>
        <w:r>
          <w:fldChar w:fldCharType="separate"/>
        </w:r>
        <w:r>
          <w:t>52</w:t>
        </w:r>
        <w:r>
          <w:fldChar w:fldCharType="end"/>
        </w:r>
      </w:hyperlink>
    </w:p>
    <w:p>
      <w:pPr>
        <w:pStyle w:val="TOC3"/>
        <w:tabs>
          <w:tab w:val="right" w:leader="dot" w:pos="9950"/>
        </w:tabs>
        <w:rPr>
          <w:rFonts w:asciiTheme="minorHAnsi" w:hAnsiTheme="minorHAnsi"/>
          <w:noProof/>
          <w:sz w:val="22"/>
        </w:rPr>
      </w:pPr>
      <w:hyperlink w:anchor="_Toc256000497" w:history="1">
        <w:r>
          <w:rPr>
            <w:rStyle w:val="Hyperlink"/>
          </w:rPr>
          <w:t>Edit the Reserved VM Classes of a Region Quota</w:t>
        </w:r>
        <w:r>
          <w:tab/>
        </w:r>
        <w:r>
          <w:fldChar w:fldCharType="begin"/>
        </w:r>
        <w:r>
          <w:instrText xml:space="preserve"> PAGEREF _Toc256000497 \h </w:instrText>
        </w:r>
        <w:r>
          <w:fldChar w:fldCharType="separate"/>
        </w:r>
        <w:r>
          <w:t>52</w:t>
        </w:r>
        <w:r>
          <w:fldChar w:fldCharType="end"/>
        </w:r>
      </w:hyperlink>
    </w:p>
    <w:p>
      <w:pPr>
        <w:pStyle w:val="TOC3"/>
        <w:tabs>
          <w:tab w:val="right" w:leader="dot" w:pos="9950"/>
        </w:tabs>
        <w:rPr>
          <w:rFonts w:asciiTheme="minorHAnsi" w:hAnsiTheme="minorHAnsi"/>
          <w:noProof/>
          <w:sz w:val="22"/>
        </w:rPr>
      </w:pPr>
      <w:hyperlink w:anchor="_Toc256000498" w:history="1">
        <w:r>
          <w:rPr>
            <w:rStyle w:val="Hyperlink"/>
          </w:rPr>
          <w:t>Delete a VCF Automation Region Quota</w:t>
        </w:r>
        <w:r>
          <w:tab/>
        </w:r>
        <w:r>
          <w:fldChar w:fldCharType="begin"/>
        </w:r>
        <w:r>
          <w:instrText xml:space="preserve"> PAGEREF _Toc256000498 \h </w:instrText>
        </w:r>
        <w:r>
          <w:fldChar w:fldCharType="separate"/>
        </w:r>
        <w:r>
          <w:t>52</w:t>
        </w:r>
        <w:r>
          <w:fldChar w:fldCharType="end"/>
        </w:r>
      </w:hyperlink>
    </w:p>
    <w:p>
      <w:pPr>
        <w:pStyle w:val="TOC2"/>
        <w:tabs>
          <w:tab w:val="right" w:leader="dot" w:pos="9950"/>
        </w:tabs>
        <w:rPr>
          <w:rFonts w:asciiTheme="minorHAnsi" w:hAnsiTheme="minorHAnsi"/>
          <w:noProof/>
          <w:sz w:val="22"/>
        </w:rPr>
      </w:pPr>
      <w:hyperlink w:anchor="_Toc256000499" w:history="1">
        <w:r>
          <w:rPr>
            <w:rStyle w:val="Hyperlink"/>
          </w:rPr>
          <w:t>Modify the Metadata for a VCF Automation Organization</w:t>
        </w:r>
        <w:r>
          <w:tab/>
        </w:r>
        <w:r>
          <w:fldChar w:fldCharType="begin"/>
        </w:r>
        <w:r>
          <w:instrText xml:space="preserve"> PAGEREF _Toc256000499 \h </w:instrText>
        </w:r>
        <w:r>
          <w:fldChar w:fldCharType="separate"/>
        </w:r>
        <w:r>
          <w:t>53</w:t>
        </w:r>
        <w:r>
          <w:fldChar w:fldCharType="end"/>
        </w:r>
      </w:hyperlink>
    </w:p>
    <w:p>
      <w:pPr>
        <w:pStyle w:val="TOC2"/>
        <w:tabs>
          <w:tab w:val="right" w:leader="dot" w:pos="9950"/>
        </w:tabs>
        <w:rPr>
          <w:rFonts w:asciiTheme="minorHAnsi" w:hAnsiTheme="minorHAnsi"/>
          <w:noProof/>
          <w:sz w:val="22"/>
        </w:rPr>
      </w:pPr>
      <w:hyperlink w:anchor="_Toc256000500" w:history="1">
        <w:r>
          <w:rPr>
            <w:rStyle w:val="Hyperlink"/>
          </w:rPr>
          <w:t>Edit the First User Details for a VCF Automation Organization</w:t>
        </w:r>
        <w:r>
          <w:tab/>
        </w:r>
        <w:r>
          <w:fldChar w:fldCharType="begin"/>
        </w:r>
        <w:r>
          <w:instrText xml:space="preserve"> PAGEREF _Toc256000500 \h </w:instrText>
        </w:r>
        <w:r>
          <w:fldChar w:fldCharType="separate"/>
        </w:r>
        <w:r>
          <w:t>54</w:t>
        </w:r>
        <w:r>
          <w:fldChar w:fldCharType="end"/>
        </w:r>
      </w:hyperlink>
    </w:p>
    <w:p>
      <w:pPr>
        <w:pStyle w:val="TOC1"/>
        <w:tabs>
          <w:tab w:val="left" w:pos="440"/>
          <w:tab w:val="right" w:leader="dot" w:pos="9950"/>
        </w:tabs>
        <w:rPr>
          <w:rFonts w:asciiTheme="minorHAnsi" w:hAnsiTheme="minorHAnsi"/>
          <w:noProof/>
          <w:sz w:val="22"/>
        </w:rPr>
      </w:pPr>
      <w:hyperlink w:anchor="_Toc256000501" w:history="1">
        <w:r>
          <w:rPr>
            <w:rStyle w:val="Hyperlink"/>
          </w:rPr>
          <w:t>6.</w:t>
        </w:r>
        <w:r>
          <w:rPr>
            <w:rFonts w:asciiTheme="minorHAnsi" w:hAnsiTheme="minorHAnsi"/>
            <w:noProof/>
            <w:sz w:val="22"/>
          </w:rPr>
          <w:tab/>
        </w:r>
        <w:r>
          <w:rPr>
            <w:rStyle w:val="Hyperlink"/>
          </w:rPr>
          <w:t>Configuring the VCF Automation Access Control</w:t>
        </w:r>
        <w:r>
          <w:tab/>
        </w:r>
        <w:r>
          <w:fldChar w:fldCharType="begin"/>
        </w:r>
        <w:r>
          <w:instrText xml:space="preserve"> PAGEREF _Toc256000501 \h </w:instrText>
        </w:r>
        <w:r>
          <w:fldChar w:fldCharType="separate"/>
        </w:r>
        <w:r>
          <w:t>55</w:t>
        </w:r>
        <w:r>
          <w:fldChar w:fldCharType="end"/>
        </w:r>
      </w:hyperlink>
    </w:p>
    <w:p>
      <w:pPr>
        <w:pStyle w:val="TOC2"/>
        <w:tabs>
          <w:tab w:val="right" w:leader="dot" w:pos="9950"/>
        </w:tabs>
        <w:rPr>
          <w:rFonts w:asciiTheme="minorHAnsi" w:hAnsiTheme="minorHAnsi"/>
          <w:noProof/>
          <w:sz w:val="22"/>
        </w:rPr>
      </w:pPr>
      <w:hyperlink w:anchor="_Toc256000502" w:history="1">
        <w:r>
          <w:rPr>
            <w:rStyle w:val="Hyperlink"/>
          </w:rPr>
          <w:t>Managing VCF Automation Rights and Roles</w:t>
        </w:r>
        <w:r>
          <w:tab/>
        </w:r>
        <w:r>
          <w:fldChar w:fldCharType="begin"/>
        </w:r>
        <w:r>
          <w:instrText xml:space="preserve"> PAGEREF _Toc256000502 \h </w:instrText>
        </w:r>
        <w:r>
          <w:fldChar w:fldCharType="separate"/>
        </w:r>
        <w:r>
          <w:t>55</w:t>
        </w:r>
        <w:r>
          <w:fldChar w:fldCharType="end"/>
        </w:r>
      </w:hyperlink>
    </w:p>
    <w:p>
      <w:pPr>
        <w:pStyle w:val="TOC3"/>
        <w:tabs>
          <w:tab w:val="right" w:leader="dot" w:pos="9950"/>
        </w:tabs>
        <w:rPr>
          <w:rFonts w:asciiTheme="minorHAnsi" w:hAnsiTheme="minorHAnsi"/>
          <w:noProof/>
          <w:sz w:val="22"/>
        </w:rPr>
      </w:pPr>
      <w:hyperlink w:anchor="_Toc256000503" w:history="1">
        <w:r>
          <w:rPr>
            <w:rStyle w:val="Hyperlink"/>
          </w:rPr>
          <w:t>Rights Terminology</w:t>
        </w:r>
        <w:r>
          <w:tab/>
        </w:r>
        <w:r>
          <w:fldChar w:fldCharType="begin"/>
        </w:r>
        <w:r>
          <w:instrText xml:space="preserve"> PAGEREF _Toc256000503 \h </w:instrText>
        </w:r>
        <w:r>
          <w:fldChar w:fldCharType="separate"/>
        </w:r>
        <w:r>
          <w:t>55</w:t>
        </w:r>
        <w:r>
          <w:fldChar w:fldCharType="end"/>
        </w:r>
      </w:hyperlink>
    </w:p>
    <w:p>
      <w:pPr>
        <w:pStyle w:val="TOC3"/>
        <w:tabs>
          <w:tab w:val="right" w:leader="dot" w:pos="9950"/>
        </w:tabs>
        <w:rPr>
          <w:rFonts w:asciiTheme="minorHAnsi" w:hAnsiTheme="minorHAnsi"/>
          <w:noProof/>
          <w:sz w:val="22"/>
        </w:rPr>
      </w:pPr>
      <w:hyperlink w:anchor="_Toc256000504" w:history="1">
        <w:r>
          <w:rPr>
            <w:rStyle w:val="Hyperlink"/>
          </w:rPr>
          <w:t>Roles Terminology</w:t>
        </w:r>
        <w:r>
          <w:tab/>
        </w:r>
        <w:r>
          <w:fldChar w:fldCharType="begin"/>
        </w:r>
        <w:r>
          <w:instrText xml:space="preserve"> PAGEREF _Toc256000504 \h </w:instrText>
        </w:r>
        <w:r>
          <w:fldChar w:fldCharType="separate"/>
        </w:r>
        <w:r>
          <w:t>56</w:t>
        </w:r>
        <w:r>
          <w:fldChar w:fldCharType="end"/>
        </w:r>
      </w:hyperlink>
    </w:p>
    <w:p>
      <w:pPr>
        <w:pStyle w:val="TOC3"/>
        <w:tabs>
          <w:tab w:val="right" w:leader="dot" w:pos="9950"/>
        </w:tabs>
        <w:rPr>
          <w:rFonts w:asciiTheme="minorHAnsi" w:hAnsiTheme="minorHAnsi"/>
          <w:noProof/>
          <w:sz w:val="22"/>
        </w:rPr>
      </w:pPr>
      <w:hyperlink w:anchor="_Toc256000505" w:history="1">
        <w:r>
          <w:rPr>
            <w:rStyle w:val="Hyperlink"/>
          </w:rPr>
          <w:t>Predefined VCF Automation Roles and Their Rights</w:t>
        </w:r>
        <w:r>
          <w:tab/>
        </w:r>
        <w:r>
          <w:fldChar w:fldCharType="begin"/>
        </w:r>
        <w:r>
          <w:instrText xml:space="preserve"> PAGEREF _Toc256000505 \h </w:instrText>
        </w:r>
        <w:r>
          <w:fldChar w:fldCharType="separate"/>
        </w:r>
        <w:r>
          <w:t>56</w:t>
        </w:r>
        <w:r>
          <w:fldChar w:fldCharType="end"/>
        </w:r>
      </w:hyperlink>
    </w:p>
    <w:p>
      <w:pPr>
        <w:pStyle w:val="TOC4"/>
        <w:tabs>
          <w:tab w:val="right" w:leader="dot" w:pos="9950"/>
        </w:tabs>
        <w:rPr>
          <w:rFonts w:asciiTheme="minorHAnsi" w:hAnsiTheme="minorHAnsi"/>
          <w:noProof/>
          <w:sz w:val="22"/>
        </w:rPr>
      </w:pPr>
      <w:hyperlink w:anchor="_Toc256000506" w:history="1">
        <w:r>
          <w:rPr>
            <w:rStyle w:val="Hyperlink"/>
          </w:rPr>
          <w:t>Predefined Provider Roles</w:t>
        </w:r>
        <w:r>
          <w:tab/>
        </w:r>
        <w:r>
          <w:fldChar w:fldCharType="begin"/>
        </w:r>
        <w:r>
          <w:instrText xml:space="preserve"> PAGEREF _Toc256000506 \h </w:instrText>
        </w:r>
        <w:r>
          <w:fldChar w:fldCharType="separate"/>
        </w:r>
        <w:r>
          <w:t>56</w:t>
        </w:r>
        <w:r>
          <w:fldChar w:fldCharType="end"/>
        </w:r>
      </w:hyperlink>
    </w:p>
    <w:p>
      <w:pPr>
        <w:pStyle w:val="TOC4"/>
        <w:tabs>
          <w:tab w:val="right" w:leader="dot" w:pos="9950"/>
        </w:tabs>
        <w:rPr>
          <w:rFonts w:asciiTheme="minorHAnsi" w:hAnsiTheme="minorHAnsi"/>
          <w:noProof/>
          <w:sz w:val="22"/>
        </w:rPr>
      </w:pPr>
      <w:hyperlink w:anchor="_Toc256000507" w:history="1">
        <w:r>
          <w:rPr>
            <w:rStyle w:val="Hyperlink"/>
          </w:rPr>
          <w:t>Predefined Global Roles</w:t>
        </w:r>
        <w:r>
          <w:tab/>
        </w:r>
        <w:r>
          <w:fldChar w:fldCharType="begin"/>
        </w:r>
        <w:r>
          <w:instrText xml:space="preserve"> PAGEREF _Toc256000507 \h </w:instrText>
        </w:r>
        <w:r>
          <w:fldChar w:fldCharType="separate"/>
        </w:r>
        <w:r>
          <w:t>57</w:t>
        </w:r>
        <w:r>
          <w:fldChar w:fldCharType="end"/>
        </w:r>
      </w:hyperlink>
    </w:p>
    <w:p>
      <w:pPr>
        <w:pStyle w:val="TOC4"/>
        <w:tabs>
          <w:tab w:val="right" w:leader="dot" w:pos="9950"/>
        </w:tabs>
        <w:rPr>
          <w:rFonts w:asciiTheme="minorHAnsi" w:hAnsiTheme="minorHAnsi"/>
          <w:noProof/>
          <w:sz w:val="22"/>
        </w:rPr>
      </w:pPr>
      <w:hyperlink w:anchor="_Toc256000508" w:history="1">
        <w:r>
          <w:rPr>
            <w:rStyle w:val="Hyperlink"/>
          </w:rPr>
          <w:t>Rights in Predefined Global Roles</w:t>
        </w:r>
        <w:r>
          <w:tab/>
        </w:r>
        <w:r>
          <w:fldChar w:fldCharType="begin"/>
        </w:r>
        <w:r>
          <w:instrText xml:space="preserve"> PAGEREF _Toc256000508 \h </w:instrText>
        </w:r>
        <w:r>
          <w:fldChar w:fldCharType="separate"/>
        </w:r>
        <w:r>
          <w:t>57</w:t>
        </w:r>
        <w:r>
          <w:fldChar w:fldCharType="end"/>
        </w:r>
      </w:hyperlink>
    </w:p>
    <w:p>
      <w:pPr>
        <w:pStyle w:val="TOC3"/>
        <w:tabs>
          <w:tab w:val="right" w:leader="dot" w:pos="9950"/>
        </w:tabs>
        <w:rPr>
          <w:rFonts w:asciiTheme="minorHAnsi" w:hAnsiTheme="minorHAnsi"/>
          <w:noProof/>
          <w:sz w:val="22"/>
        </w:rPr>
      </w:pPr>
      <w:hyperlink w:anchor="_Toc256000509" w:history="1">
        <w:r>
          <w:rPr>
            <w:rStyle w:val="Hyperlink"/>
          </w:rPr>
          <w:t>System Administrator Rights in VCF Automation</w:t>
        </w:r>
        <w:r>
          <w:tab/>
        </w:r>
        <w:r>
          <w:fldChar w:fldCharType="begin"/>
        </w:r>
        <w:r>
          <w:instrText xml:space="preserve"> PAGEREF _Toc256000509 \h </w:instrText>
        </w:r>
        <w:r>
          <w:fldChar w:fldCharType="separate"/>
        </w:r>
        <w:r>
          <w:t>58</w:t>
        </w:r>
        <w:r>
          <w:fldChar w:fldCharType="end"/>
        </w:r>
      </w:hyperlink>
    </w:p>
    <w:p>
      <w:pPr>
        <w:pStyle w:val="TOC3"/>
        <w:tabs>
          <w:tab w:val="right" w:leader="dot" w:pos="9950"/>
        </w:tabs>
        <w:rPr>
          <w:rFonts w:asciiTheme="minorHAnsi" w:hAnsiTheme="minorHAnsi"/>
          <w:noProof/>
          <w:sz w:val="22"/>
        </w:rPr>
      </w:pPr>
      <w:hyperlink w:anchor="_Toc256000510" w:history="1">
        <w:r>
          <w:rPr>
            <w:rStyle w:val="Hyperlink"/>
          </w:rPr>
          <w:t>VCF Automation Rights in Predefined Global Roles</w:t>
        </w:r>
        <w:r>
          <w:tab/>
        </w:r>
        <w:r>
          <w:fldChar w:fldCharType="begin"/>
        </w:r>
        <w:r>
          <w:instrText xml:space="preserve"> PAGEREF _Toc256000510 \h </w:instrText>
        </w:r>
        <w:r>
          <w:fldChar w:fldCharType="separate"/>
        </w:r>
        <w:r>
          <w:t>67</w:t>
        </w:r>
        <w:r>
          <w:fldChar w:fldCharType="end"/>
        </w:r>
      </w:hyperlink>
    </w:p>
    <w:p>
      <w:pPr>
        <w:pStyle w:val="TOC4"/>
        <w:tabs>
          <w:tab w:val="right" w:leader="dot" w:pos="9950"/>
        </w:tabs>
        <w:rPr>
          <w:rFonts w:asciiTheme="minorHAnsi" w:hAnsiTheme="minorHAnsi"/>
          <w:noProof/>
          <w:sz w:val="22"/>
        </w:rPr>
      </w:pPr>
      <w:hyperlink w:anchor="_Toc256000511" w:history="1">
        <w:r>
          <w:rPr>
            <w:rStyle w:val="Hyperlink"/>
          </w:rPr>
          <w:t>Rights Included in the Global Roles in VCF Automation</w:t>
        </w:r>
        <w:r>
          <w:tab/>
        </w:r>
        <w:r>
          <w:fldChar w:fldCharType="begin"/>
        </w:r>
        <w:r>
          <w:instrText xml:space="preserve"> PAGEREF _Toc256000511 \h </w:instrText>
        </w:r>
        <w:r>
          <w:fldChar w:fldCharType="separate"/>
        </w:r>
        <w:r>
          <w:t>67</w:t>
        </w:r>
        <w:r>
          <w:fldChar w:fldCharType="end"/>
        </w:r>
      </w:hyperlink>
    </w:p>
    <w:p>
      <w:pPr>
        <w:pStyle w:val="TOC3"/>
        <w:tabs>
          <w:tab w:val="right" w:leader="dot" w:pos="9950"/>
        </w:tabs>
        <w:rPr>
          <w:rFonts w:asciiTheme="minorHAnsi" w:hAnsiTheme="minorHAnsi"/>
          <w:noProof/>
          <w:sz w:val="22"/>
        </w:rPr>
      </w:pPr>
      <w:hyperlink w:anchor="_Toc256000512" w:history="1">
        <w:r>
          <w:rPr>
            <w:rStyle w:val="Hyperlink"/>
          </w:rPr>
          <w:t>Managing Rights Bundles in VCF Automation</w:t>
        </w:r>
        <w:r>
          <w:tab/>
        </w:r>
        <w:r>
          <w:fldChar w:fldCharType="begin"/>
        </w:r>
        <w:r>
          <w:instrText xml:space="preserve"> PAGEREF _Toc256000512 \h </w:instrText>
        </w:r>
        <w:r>
          <w:fldChar w:fldCharType="separate"/>
        </w:r>
        <w:r>
          <w:t>73</w:t>
        </w:r>
        <w:r>
          <w:fldChar w:fldCharType="end"/>
        </w:r>
      </w:hyperlink>
    </w:p>
    <w:p>
      <w:pPr>
        <w:pStyle w:val="TOC4"/>
        <w:tabs>
          <w:tab w:val="right" w:leader="dot" w:pos="9950"/>
        </w:tabs>
        <w:rPr>
          <w:rFonts w:asciiTheme="minorHAnsi" w:hAnsiTheme="minorHAnsi"/>
          <w:noProof/>
          <w:sz w:val="22"/>
        </w:rPr>
      </w:pPr>
      <w:hyperlink w:anchor="_Toc256000513" w:history="1">
        <w:r>
          <w:rPr>
            <w:rStyle w:val="Hyperlink"/>
          </w:rPr>
          <w:t>Create a Rights Bundle in VCF Automation</w:t>
        </w:r>
        <w:r>
          <w:tab/>
        </w:r>
        <w:r>
          <w:fldChar w:fldCharType="begin"/>
        </w:r>
        <w:r>
          <w:instrText xml:space="preserve"> PAGEREF _Toc256000513 \h </w:instrText>
        </w:r>
        <w:r>
          <w:fldChar w:fldCharType="separate"/>
        </w:r>
        <w:r>
          <w:t>73</w:t>
        </w:r>
        <w:r>
          <w:fldChar w:fldCharType="end"/>
        </w:r>
      </w:hyperlink>
    </w:p>
    <w:p>
      <w:pPr>
        <w:pStyle w:val="TOC4"/>
        <w:tabs>
          <w:tab w:val="right" w:leader="dot" w:pos="9950"/>
        </w:tabs>
        <w:rPr>
          <w:rFonts w:asciiTheme="minorHAnsi" w:hAnsiTheme="minorHAnsi"/>
          <w:noProof/>
          <w:sz w:val="22"/>
        </w:rPr>
      </w:pPr>
      <w:hyperlink w:anchor="_Toc256000514" w:history="1">
        <w:r>
          <w:rPr>
            <w:rStyle w:val="Hyperlink"/>
          </w:rPr>
          <w:t>Clone a Rights Bundle Using VCF Automation</w:t>
        </w:r>
        <w:r>
          <w:tab/>
        </w:r>
        <w:r>
          <w:fldChar w:fldCharType="begin"/>
        </w:r>
        <w:r>
          <w:instrText xml:space="preserve"> PAGEREF _Toc256000514 \h </w:instrText>
        </w:r>
        <w:r>
          <w:fldChar w:fldCharType="separate"/>
        </w:r>
        <w:r>
          <w:t>74</w:t>
        </w:r>
        <w:r>
          <w:fldChar w:fldCharType="end"/>
        </w:r>
      </w:hyperlink>
    </w:p>
    <w:p>
      <w:pPr>
        <w:pStyle w:val="TOC4"/>
        <w:tabs>
          <w:tab w:val="right" w:leader="dot" w:pos="9950"/>
        </w:tabs>
        <w:rPr>
          <w:rFonts w:asciiTheme="minorHAnsi" w:hAnsiTheme="minorHAnsi"/>
          <w:noProof/>
          <w:sz w:val="22"/>
        </w:rPr>
      </w:pPr>
      <w:hyperlink w:anchor="_Toc256000515" w:history="1">
        <w:r>
          <w:rPr>
            <w:rStyle w:val="Hyperlink"/>
          </w:rPr>
          <w:t>Publish or Unpublish a Rights Bundle to VCF Automation</w:t>
        </w:r>
        <w:r>
          <w:tab/>
        </w:r>
        <w:r>
          <w:fldChar w:fldCharType="begin"/>
        </w:r>
        <w:r>
          <w:instrText xml:space="preserve"> PAGEREF _Toc256000515 \h </w:instrText>
        </w:r>
        <w:r>
          <w:fldChar w:fldCharType="separate"/>
        </w:r>
        <w:r>
          <w:t>75</w:t>
        </w:r>
        <w:r>
          <w:fldChar w:fldCharType="end"/>
        </w:r>
      </w:hyperlink>
    </w:p>
    <w:p>
      <w:pPr>
        <w:pStyle w:val="TOC4"/>
        <w:tabs>
          <w:tab w:val="right" w:leader="dot" w:pos="9950"/>
        </w:tabs>
        <w:rPr>
          <w:rFonts w:asciiTheme="minorHAnsi" w:hAnsiTheme="minorHAnsi"/>
          <w:noProof/>
          <w:sz w:val="22"/>
        </w:rPr>
      </w:pPr>
      <w:hyperlink w:anchor="_Toc256000516" w:history="1">
        <w:r>
          <w:rPr>
            <w:rStyle w:val="Hyperlink"/>
          </w:rPr>
          <w:t>View and Edit a Rights Bundle Using VCF Automation</w:t>
        </w:r>
        <w:r>
          <w:tab/>
        </w:r>
        <w:r>
          <w:fldChar w:fldCharType="begin"/>
        </w:r>
        <w:r>
          <w:instrText xml:space="preserve"> PAGEREF _Toc256000516 \h </w:instrText>
        </w:r>
        <w:r>
          <w:fldChar w:fldCharType="separate"/>
        </w:r>
        <w:r>
          <w:t>76</w:t>
        </w:r>
        <w:r>
          <w:fldChar w:fldCharType="end"/>
        </w:r>
      </w:hyperlink>
    </w:p>
    <w:p>
      <w:pPr>
        <w:pStyle w:val="TOC4"/>
        <w:tabs>
          <w:tab w:val="right" w:leader="dot" w:pos="9950"/>
        </w:tabs>
        <w:rPr>
          <w:rFonts w:asciiTheme="minorHAnsi" w:hAnsiTheme="minorHAnsi"/>
          <w:noProof/>
          <w:sz w:val="22"/>
        </w:rPr>
      </w:pPr>
      <w:hyperlink w:anchor="_Toc256000517" w:history="1">
        <w:r>
          <w:rPr>
            <w:rStyle w:val="Hyperlink"/>
          </w:rPr>
          <w:t>Delete a Rights Bundle From VCF Automation</w:t>
        </w:r>
        <w:r>
          <w:tab/>
        </w:r>
        <w:r>
          <w:fldChar w:fldCharType="begin"/>
        </w:r>
        <w:r>
          <w:instrText xml:space="preserve"> PAGEREF _Toc256000517 \h </w:instrText>
        </w:r>
        <w:r>
          <w:fldChar w:fldCharType="separate"/>
        </w:r>
        <w:r>
          <w:t>76</w:t>
        </w:r>
        <w:r>
          <w:fldChar w:fldCharType="end"/>
        </w:r>
      </w:hyperlink>
    </w:p>
    <w:p>
      <w:pPr>
        <w:pStyle w:val="TOC3"/>
        <w:tabs>
          <w:tab w:val="right" w:leader="dot" w:pos="9950"/>
        </w:tabs>
        <w:rPr>
          <w:rFonts w:asciiTheme="minorHAnsi" w:hAnsiTheme="minorHAnsi"/>
          <w:noProof/>
          <w:sz w:val="22"/>
        </w:rPr>
      </w:pPr>
      <w:hyperlink w:anchor="_Toc256000518" w:history="1">
        <w:r>
          <w:rPr>
            <w:rStyle w:val="Hyperlink"/>
          </w:rPr>
          <w:t>Managing Global VCF Automation Roles</w:t>
        </w:r>
        <w:r>
          <w:tab/>
        </w:r>
        <w:r>
          <w:fldChar w:fldCharType="begin"/>
        </w:r>
        <w:r>
          <w:instrText xml:space="preserve"> PAGEREF _Toc256000518 \h </w:instrText>
        </w:r>
        <w:r>
          <w:fldChar w:fldCharType="separate"/>
        </w:r>
        <w:r>
          <w:t>76</w:t>
        </w:r>
        <w:r>
          <w:fldChar w:fldCharType="end"/>
        </w:r>
      </w:hyperlink>
    </w:p>
    <w:p>
      <w:pPr>
        <w:pStyle w:val="TOC4"/>
        <w:tabs>
          <w:tab w:val="right" w:leader="dot" w:pos="9950"/>
        </w:tabs>
        <w:rPr>
          <w:rFonts w:asciiTheme="minorHAnsi" w:hAnsiTheme="minorHAnsi"/>
          <w:noProof/>
          <w:sz w:val="22"/>
        </w:rPr>
      </w:pPr>
      <w:hyperlink w:anchor="_Toc256000519" w:history="1">
        <w:r>
          <w:rPr>
            <w:rStyle w:val="Hyperlink"/>
          </w:rPr>
          <w:t>Create a Global Role in Your VCF Automation</w:t>
        </w:r>
        <w:r>
          <w:tab/>
        </w:r>
        <w:r>
          <w:fldChar w:fldCharType="begin"/>
        </w:r>
        <w:r>
          <w:instrText xml:space="preserve"> PAGEREF _Toc256000519 \h </w:instrText>
        </w:r>
        <w:r>
          <w:fldChar w:fldCharType="separate"/>
        </w:r>
        <w:r>
          <w:t>77</w:t>
        </w:r>
        <w:r>
          <w:fldChar w:fldCharType="end"/>
        </w:r>
      </w:hyperlink>
    </w:p>
    <w:p>
      <w:pPr>
        <w:pStyle w:val="TOC4"/>
        <w:tabs>
          <w:tab w:val="right" w:leader="dot" w:pos="9950"/>
        </w:tabs>
        <w:rPr>
          <w:rFonts w:asciiTheme="minorHAnsi" w:hAnsiTheme="minorHAnsi"/>
          <w:noProof/>
          <w:sz w:val="22"/>
        </w:rPr>
      </w:pPr>
      <w:hyperlink w:anchor="_Toc256000520" w:history="1">
        <w:r>
          <w:rPr>
            <w:rStyle w:val="Hyperlink"/>
          </w:rPr>
          <w:t>Clone a Global Role to Your VCF Automation</w:t>
        </w:r>
        <w:r>
          <w:tab/>
        </w:r>
        <w:r>
          <w:fldChar w:fldCharType="begin"/>
        </w:r>
        <w:r>
          <w:instrText xml:space="preserve"> PAGEREF _Toc256000520 \h </w:instrText>
        </w:r>
        <w:r>
          <w:fldChar w:fldCharType="separate"/>
        </w:r>
        <w:r>
          <w:t>78</w:t>
        </w:r>
        <w:r>
          <w:fldChar w:fldCharType="end"/>
        </w:r>
      </w:hyperlink>
    </w:p>
    <w:p>
      <w:pPr>
        <w:pStyle w:val="TOC4"/>
        <w:tabs>
          <w:tab w:val="right" w:leader="dot" w:pos="9950"/>
        </w:tabs>
        <w:rPr>
          <w:rFonts w:asciiTheme="minorHAnsi" w:hAnsiTheme="minorHAnsi"/>
          <w:noProof/>
          <w:sz w:val="22"/>
        </w:rPr>
      </w:pPr>
      <w:hyperlink w:anchor="_Toc256000521" w:history="1">
        <w:r>
          <w:rPr>
            <w:rStyle w:val="Hyperlink"/>
          </w:rPr>
          <w:t>Publish or Unpublish a Global Role to Your VCF Automation</w:t>
        </w:r>
        <w:r>
          <w:tab/>
        </w:r>
        <w:r>
          <w:fldChar w:fldCharType="begin"/>
        </w:r>
        <w:r>
          <w:instrText xml:space="preserve"> PAGEREF _Toc256000521 \h </w:instrText>
        </w:r>
        <w:r>
          <w:fldChar w:fldCharType="separate"/>
        </w:r>
        <w:r>
          <w:t>78</w:t>
        </w:r>
        <w:r>
          <w:fldChar w:fldCharType="end"/>
        </w:r>
      </w:hyperlink>
    </w:p>
    <w:p>
      <w:pPr>
        <w:pStyle w:val="TOC4"/>
        <w:tabs>
          <w:tab w:val="right" w:leader="dot" w:pos="9950"/>
        </w:tabs>
        <w:rPr>
          <w:rFonts w:asciiTheme="minorHAnsi" w:hAnsiTheme="minorHAnsi"/>
          <w:noProof/>
          <w:sz w:val="22"/>
        </w:rPr>
      </w:pPr>
      <w:hyperlink w:anchor="_Toc256000522" w:history="1">
        <w:r>
          <w:rPr>
            <w:rStyle w:val="Hyperlink"/>
          </w:rPr>
          <w:t>View and Edit a Global Role Using Your VCF Automation</w:t>
        </w:r>
        <w:r>
          <w:tab/>
        </w:r>
        <w:r>
          <w:fldChar w:fldCharType="begin"/>
        </w:r>
        <w:r>
          <w:instrText xml:space="preserve"> PAGEREF _Toc256000522 \h </w:instrText>
        </w:r>
        <w:r>
          <w:fldChar w:fldCharType="separate"/>
        </w:r>
        <w:r>
          <w:t>79</w:t>
        </w:r>
        <w:r>
          <w:fldChar w:fldCharType="end"/>
        </w:r>
      </w:hyperlink>
    </w:p>
    <w:p>
      <w:pPr>
        <w:pStyle w:val="TOC4"/>
        <w:tabs>
          <w:tab w:val="right" w:leader="dot" w:pos="9950"/>
        </w:tabs>
        <w:rPr>
          <w:rFonts w:asciiTheme="minorHAnsi" w:hAnsiTheme="minorHAnsi"/>
          <w:noProof/>
          <w:sz w:val="22"/>
        </w:rPr>
      </w:pPr>
      <w:hyperlink w:anchor="_Toc256000523" w:history="1">
        <w:r>
          <w:rPr>
            <w:rStyle w:val="Hyperlink"/>
          </w:rPr>
          <w:t>Delete a Global Role From Your VCF Automation</w:t>
        </w:r>
        <w:r>
          <w:tab/>
        </w:r>
        <w:r>
          <w:fldChar w:fldCharType="begin"/>
        </w:r>
        <w:r>
          <w:instrText xml:space="preserve"> PAGEREF _Toc256000523 \h </w:instrText>
        </w:r>
        <w:r>
          <w:fldChar w:fldCharType="separate"/>
        </w:r>
        <w:r>
          <w:t>80</w:t>
        </w:r>
        <w:r>
          <w:fldChar w:fldCharType="end"/>
        </w:r>
      </w:hyperlink>
    </w:p>
    <w:p>
      <w:pPr>
        <w:pStyle w:val="TOC3"/>
        <w:tabs>
          <w:tab w:val="right" w:leader="dot" w:pos="9950"/>
        </w:tabs>
        <w:rPr>
          <w:rFonts w:asciiTheme="minorHAnsi" w:hAnsiTheme="minorHAnsi"/>
          <w:noProof/>
          <w:sz w:val="22"/>
        </w:rPr>
      </w:pPr>
      <w:hyperlink w:anchor="_Toc256000524" w:history="1">
        <w:r>
          <w:rPr>
            <w:rStyle w:val="Hyperlink"/>
          </w:rPr>
          <w:t>Managing VCF Automation Provider Roles</w:t>
        </w:r>
        <w:r>
          <w:tab/>
        </w:r>
        <w:r>
          <w:fldChar w:fldCharType="begin"/>
        </w:r>
        <w:r>
          <w:instrText xml:space="preserve"> PAGEREF _Toc256000524 \h </w:instrText>
        </w:r>
        <w:r>
          <w:fldChar w:fldCharType="separate"/>
        </w:r>
        <w:r>
          <w:t>80</w:t>
        </w:r>
        <w:r>
          <w:fldChar w:fldCharType="end"/>
        </w:r>
      </w:hyperlink>
    </w:p>
    <w:p>
      <w:pPr>
        <w:pStyle w:val="TOC4"/>
        <w:tabs>
          <w:tab w:val="right" w:leader="dot" w:pos="9950"/>
        </w:tabs>
        <w:rPr>
          <w:rFonts w:asciiTheme="minorHAnsi" w:hAnsiTheme="minorHAnsi"/>
          <w:noProof/>
          <w:sz w:val="22"/>
        </w:rPr>
      </w:pPr>
      <w:hyperlink w:anchor="_Toc256000525" w:history="1">
        <w:r>
          <w:rPr>
            <w:rStyle w:val="Hyperlink"/>
          </w:rPr>
          <w:t>Create a Role in Your VCF Automation Provider Management Portal</w:t>
        </w:r>
        <w:r>
          <w:tab/>
        </w:r>
        <w:r>
          <w:fldChar w:fldCharType="begin"/>
        </w:r>
        <w:r>
          <w:instrText xml:space="preserve"> PAGEREF _Toc256000525 \h </w:instrText>
        </w:r>
        <w:r>
          <w:fldChar w:fldCharType="separate"/>
        </w:r>
        <w:r>
          <w:t>80</w:t>
        </w:r>
        <w:r>
          <w:fldChar w:fldCharType="end"/>
        </w:r>
      </w:hyperlink>
    </w:p>
    <w:p>
      <w:pPr>
        <w:pStyle w:val="TOC4"/>
        <w:tabs>
          <w:tab w:val="right" w:leader="dot" w:pos="9950"/>
        </w:tabs>
        <w:rPr>
          <w:rFonts w:asciiTheme="minorHAnsi" w:hAnsiTheme="minorHAnsi"/>
          <w:noProof/>
          <w:sz w:val="22"/>
        </w:rPr>
      </w:pPr>
      <w:hyperlink w:anchor="_Toc256000526" w:history="1">
        <w:r>
          <w:rPr>
            <w:rStyle w:val="Hyperlink"/>
          </w:rPr>
          <w:t>Clone a Role in Your VCF Automation Provider Management Portal</w:t>
        </w:r>
        <w:r>
          <w:tab/>
        </w:r>
        <w:r>
          <w:fldChar w:fldCharType="begin"/>
        </w:r>
        <w:r>
          <w:instrText xml:space="preserve"> PAGEREF _Toc256000526 \h </w:instrText>
        </w:r>
        <w:r>
          <w:fldChar w:fldCharType="separate"/>
        </w:r>
        <w:r>
          <w:t>81</w:t>
        </w:r>
        <w:r>
          <w:fldChar w:fldCharType="end"/>
        </w:r>
      </w:hyperlink>
    </w:p>
    <w:p>
      <w:pPr>
        <w:pStyle w:val="TOC4"/>
        <w:tabs>
          <w:tab w:val="right" w:leader="dot" w:pos="9950"/>
        </w:tabs>
        <w:rPr>
          <w:rFonts w:asciiTheme="minorHAnsi" w:hAnsiTheme="minorHAnsi"/>
          <w:noProof/>
          <w:sz w:val="22"/>
        </w:rPr>
      </w:pPr>
      <w:hyperlink w:anchor="_Toc256000527" w:history="1">
        <w:r>
          <w:rPr>
            <w:rStyle w:val="Hyperlink"/>
          </w:rPr>
          <w:t>View or Edit a Role in Your VCF Automation Provider Management Portal</w:t>
        </w:r>
        <w:r>
          <w:tab/>
        </w:r>
        <w:r>
          <w:fldChar w:fldCharType="begin"/>
        </w:r>
        <w:r>
          <w:instrText xml:space="preserve"> PAGEREF _Toc256000527 \h </w:instrText>
        </w:r>
        <w:r>
          <w:fldChar w:fldCharType="separate"/>
        </w:r>
        <w:r>
          <w:t>82</w:t>
        </w:r>
        <w:r>
          <w:fldChar w:fldCharType="end"/>
        </w:r>
      </w:hyperlink>
    </w:p>
    <w:p>
      <w:pPr>
        <w:pStyle w:val="TOC4"/>
        <w:tabs>
          <w:tab w:val="right" w:leader="dot" w:pos="9950"/>
        </w:tabs>
        <w:rPr>
          <w:rFonts w:asciiTheme="minorHAnsi" w:hAnsiTheme="minorHAnsi"/>
          <w:noProof/>
          <w:sz w:val="22"/>
        </w:rPr>
      </w:pPr>
      <w:hyperlink w:anchor="_Toc256000528" w:history="1">
        <w:r>
          <w:rPr>
            <w:rStyle w:val="Hyperlink"/>
          </w:rPr>
          <w:t>Delete a Role From Your VCF Automation Provider Management Portal</w:t>
        </w:r>
        <w:r>
          <w:tab/>
        </w:r>
        <w:r>
          <w:fldChar w:fldCharType="begin"/>
        </w:r>
        <w:r>
          <w:instrText xml:space="preserve"> PAGEREF _Toc256000528 \h </w:instrText>
        </w:r>
        <w:r>
          <w:fldChar w:fldCharType="separate"/>
        </w:r>
        <w:r>
          <w:t>82</w:t>
        </w:r>
        <w:r>
          <w:fldChar w:fldCharType="end"/>
        </w:r>
      </w:hyperlink>
    </w:p>
    <w:p>
      <w:pPr>
        <w:pStyle w:val="TOC2"/>
        <w:tabs>
          <w:tab w:val="right" w:leader="dot" w:pos="9950"/>
        </w:tabs>
        <w:rPr>
          <w:rFonts w:asciiTheme="minorHAnsi" w:hAnsiTheme="minorHAnsi"/>
          <w:noProof/>
          <w:sz w:val="22"/>
        </w:rPr>
      </w:pPr>
      <w:hyperlink w:anchor="_Toc256000529" w:history="1">
        <w:r>
          <w:rPr>
            <w:rStyle w:val="Hyperlink"/>
          </w:rPr>
          <w:t>Managing VCF Automation Provider Users and Groups</w:t>
        </w:r>
        <w:r>
          <w:tab/>
        </w:r>
        <w:r>
          <w:fldChar w:fldCharType="begin"/>
        </w:r>
        <w:r>
          <w:instrText xml:space="preserve"> PAGEREF _Toc256000529 \h </w:instrText>
        </w:r>
        <w:r>
          <w:fldChar w:fldCharType="separate"/>
        </w:r>
        <w:r>
          <w:t>83</w:t>
        </w:r>
        <w:r>
          <w:fldChar w:fldCharType="end"/>
        </w:r>
      </w:hyperlink>
    </w:p>
    <w:p>
      <w:pPr>
        <w:pStyle w:val="TOC3"/>
        <w:tabs>
          <w:tab w:val="right" w:leader="dot" w:pos="9950"/>
        </w:tabs>
        <w:rPr>
          <w:rFonts w:asciiTheme="minorHAnsi" w:hAnsiTheme="minorHAnsi"/>
          <w:noProof/>
          <w:sz w:val="22"/>
        </w:rPr>
      </w:pPr>
      <w:hyperlink w:anchor="_Toc256000530" w:history="1">
        <w:r>
          <w:rPr>
            <w:rStyle w:val="Hyperlink"/>
          </w:rPr>
          <w:t>Managing Provider Users in Your VCF Automation</w:t>
        </w:r>
        <w:r>
          <w:tab/>
        </w:r>
        <w:r>
          <w:fldChar w:fldCharType="begin"/>
        </w:r>
        <w:r>
          <w:instrText xml:space="preserve"> PAGEREF _Toc256000530 \h </w:instrText>
        </w:r>
        <w:r>
          <w:fldChar w:fldCharType="separate"/>
        </w:r>
        <w:r>
          <w:t>83</w:t>
        </w:r>
        <w:r>
          <w:fldChar w:fldCharType="end"/>
        </w:r>
      </w:hyperlink>
    </w:p>
    <w:p>
      <w:pPr>
        <w:pStyle w:val="TOC4"/>
        <w:tabs>
          <w:tab w:val="right" w:leader="dot" w:pos="9950"/>
        </w:tabs>
        <w:rPr>
          <w:rFonts w:asciiTheme="minorHAnsi" w:hAnsiTheme="minorHAnsi"/>
          <w:noProof/>
          <w:sz w:val="22"/>
        </w:rPr>
      </w:pPr>
      <w:hyperlink w:anchor="_Toc256000531" w:history="1">
        <w:r>
          <w:rPr>
            <w:rStyle w:val="Hyperlink"/>
          </w:rPr>
          <w:t>Import Provider Users to Your VCF Automation</w:t>
        </w:r>
        <w:r>
          <w:tab/>
        </w:r>
        <w:r>
          <w:fldChar w:fldCharType="begin"/>
        </w:r>
        <w:r>
          <w:instrText xml:space="preserve"> PAGEREF _Toc256000531 \h </w:instrText>
        </w:r>
        <w:r>
          <w:fldChar w:fldCharType="separate"/>
        </w:r>
        <w:r>
          <w:t>83</w:t>
        </w:r>
        <w:r>
          <w:fldChar w:fldCharType="end"/>
        </w:r>
      </w:hyperlink>
    </w:p>
    <w:p>
      <w:pPr>
        <w:pStyle w:val="TOC4"/>
        <w:tabs>
          <w:tab w:val="right" w:leader="dot" w:pos="9950"/>
        </w:tabs>
        <w:rPr>
          <w:rFonts w:asciiTheme="minorHAnsi" w:hAnsiTheme="minorHAnsi"/>
          <w:noProof/>
          <w:sz w:val="22"/>
        </w:rPr>
      </w:pPr>
      <w:hyperlink w:anchor="_Toc256000532" w:history="1">
        <w:r>
          <w:rPr>
            <w:rStyle w:val="Hyperlink"/>
          </w:rPr>
          <w:t>Edit a Provider User in Your VCF Automation</w:t>
        </w:r>
        <w:r>
          <w:tab/>
        </w:r>
        <w:r>
          <w:fldChar w:fldCharType="begin"/>
        </w:r>
        <w:r>
          <w:instrText xml:space="preserve"> PAGEREF _Toc256000532 \h </w:instrText>
        </w:r>
        <w:r>
          <w:fldChar w:fldCharType="separate"/>
        </w:r>
        <w:r>
          <w:t>84</w:t>
        </w:r>
        <w:r>
          <w:fldChar w:fldCharType="end"/>
        </w:r>
      </w:hyperlink>
    </w:p>
    <w:p>
      <w:pPr>
        <w:pStyle w:val="TOC4"/>
        <w:tabs>
          <w:tab w:val="right" w:leader="dot" w:pos="9950"/>
        </w:tabs>
        <w:rPr>
          <w:rFonts w:asciiTheme="minorHAnsi" w:hAnsiTheme="minorHAnsi"/>
          <w:noProof/>
          <w:sz w:val="22"/>
        </w:rPr>
      </w:pPr>
      <w:hyperlink w:anchor="_Toc256000533" w:history="1">
        <w:r>
          <w:rPr>
            <w:rStyle w:val="Hyperlink"/>
          </w:rPr>
          <w:t>Activate or Deactivate a Provider User in Your VCF Automation</w:t>
        </w:r>
        <w:r>
          <w:tab/>
        </w:r>
        <w:r>
          <w:fldChar w:fldCharType="begin"/>
        </w:r>
        <w:r>
          <w:instrText xml:space="preserve"> PAGEREF _Toc256000533 \h </w:instrText>
        </w:r>
        <w:r>
          <w:fldChar w:fldCharType="separate"/>
        </w:r>
        <w:r>
          <w:t>84</w:t>
        </w:r>
        <w:r>
          <w:fldChar w:fldCharType="end"/>
        </w:r>
      </w:hyperlink>
    </w:p>
    <w:p>
      <w:pPr>
        <w:pStyle w:val="TOC4"/>
        <w:tabs>
          <w:tab w:val="right" w:leader="dot" w:pos="9950"/>
        </w:tabs>
        <w:rPr>
          <w:rFonts w:asciiTheme="minorHAnsi" w:hAnsiTheme="minorHAnsi"/>
          <w:noProof/>
          <w:sz w:val="22"/>
        </w:rPr>
      </w:pPr>
      <w:hyperlink w:anchor="_Toc256000534" w:history="1">
        <w:r>
          <w:rPr>
            <w:rStyle w:val="Hyperlink"/>
          </w:rPr>
          <w:t>Delete a Provider User From Your VCF Automation</w:t>
        </w:r>
        <w:r>
          <w:tab/>
        </w:r>
        <w:r>
          <w:fldChar w:fldCharType="begin"/>
        </w:r>
        <w:r>
          <w:instrText xml:space="preserve"> PAGEREF _Toc256000534 \h </w:instrText>
        </w:r>
        <w:r>
          <w:fldChar w:fldCharType="separate"/>
        </w:r>
        <w:r>
          <w:t>84</w:t>
        </w:r>
        <w:r>
          <w:fldChar w:fldCharType="end"/>
        </w:r>
      </w:hyperlink>
    </w:p>
    <w:p>
      <w:pPr>
        <w:pStyle w:val="TOC4"/>
        <w:tabs>
          <w:tab w:val="right" w:leader="dot" w:pos="9950"/>
        </w:tabs>
        <w:rPr>
          <w:rFonts w:asciiTheme="minorHAnsi" w:hAnsiTheme="minorHAnsi"/>
          <w:noProof/>
          <w:sz w:val="22"/>
        </w:rPr>
      </w:pPr>
      <w:hyperlink w:anchor="_Toc256000535" w:history="1">
        <w:r>
          <w:rPr>
            <w:rStyle w:val="Hyperlink"/>
          </w:rPr>
          <w:t>Unlock a Provider User in Your VCF Automation</w:t>
        </w:r>
        <w:r>
          <w:tab/>
        </w:r>
        <w:r>
          <w:fldChar w:fldCharType="begin"/>
        </w:r>
        <w:r>
          <w:instrText xml:space="preserve"> PAGEREF _Toc256000535 \h </w:instrText>
        </w:r>
        <w:r>
          <w:fldChar w:fldCharType="separate"/>
        </w:r>
        <w:r>
          <w:t>85</w:t>
        </w:r>
        <w:r>
          <w:fldChar w:fldCharType="end"/>
        </w:r>
      </w:hyperlink>
    </w:p>
    <w:p>
      <w:pPr>
        <w:pStyle w:val="TOC3"/>
        <w:tabs>
          <w:tab w:val="right" w:leader="dot" w:pos="9950"/>
        </w:tabs>
        <w:rPr>
          <w:rFonts w:asciiTheme="minorHAnsi" w:hAnsiTheme="minorHAnsi"/>
          <w:noProof/>
          <w:sz w:val="22"/>
        </w:rPr>
      </w:pPr>
      <w:hyperlink w:anchor="_Toc256000536" w:history="1">
        <w:r>
          <w:rPr>
            <w:rStyle w:val="Hyperlink"/>
          </w:rPr>
          <w:t>Managing VCF Automation Provider Groups</w:t>
        </w:r>
        <w:r>
          <w:tab/>
        </w:r>
        <w:r>
          <w:fldChar w:fldCharType="begin"/>
        </w:r>
        <w:r>
          <w:instrText xml:space="preserve"> PAGEREF _Toc256000536 \h </w:instrText>
        </w:r>
        <w:r>
          <w:fldChar w:fldCharType="separate"/>
        </w:r>
        <w:r>
          <w:t>85</w:t>
        </w:r>
        <w:r>
          <w:fldChar w:fldCharType="end"/>
        </w:r>
      </w:hyperlink>
    </w:p>
    <w:p>
      <w:pPr>
        <w:pStyle w:val="TOC4"/>
        <w:tabs>
          <w:tab w:val="right" w:leader="dot" w:pos="9950"/>
        </w:tabs>
        <w:rPr>
          <w:rFonts w:asciiTheme="minorHAnsi" w:hAnsiTheme="minorHAnsi"/>
          <w:noProof/>
          <w:sz w:val="22"/>
        </w:rPr>
      </w:pPr>
      <w:hyperlink w:anchor="_Toc256000537" w:history="1">
        <w:r>
          <w:rPr>
            <w:rStyle w:val="Hyperlink"/>
          </w:rPr>
          <w:t>Import a Provider Group to Your VCF Automation</w:t>
        </w:r>
        <w:r>
          <w:tab/>
        </w:r>
        <w:r>
          <w:fldChar w:fldCharType="begin"/>
        </w:r>
        <w:r>
          <w:instrText xml:space="preserve"> PAGEREF _Toc256000537 \h </w:instrText>
        </w:r>
        <w:r>
          <w:fldChar w:fldCharType="separate"/>
        </w:r>
        <w:r>
          <w:t>85</w:t>
        </w:r>
        <w:r>
          <w:fldChar w:fldCharType="end"/>
        </w:r>
      </w:hyperlink>
    </w:p>
    <w:p>
      <w:pPr>
        <w:pStyle w:val="TOC4"/>
        <w:tabs>
          <w:tab w:val="right" w:leader="dot" w:pos="9950"/>
        </w:tabs>
        <w:rPr>
          <w:rFonts w:asciiTheme="minorHAnsi" w:hAnsiTheme="minorHAnsi"/>
          <w:noProof/>
          <w:sz w:val="22"/>
        </w:rPr>
      </w:pPr>
      <w:hyperlink w:anchor="_Toc256000538" w:history="1">
        <w:r>
          <w:rPr>
            <w:rStyle w:val="Hyperlink"/>
          </w:rPr>
          <w:t>Edit a Provider Group in Your VCF Automation</w:t>
        </w:r>
        <w:r>
          <w:tab/>
        </w:r>
        <w:r>
          <w:fldChar w:fldCharType="begin"/>
        </w:r>
        <w:r>
          <w:instrText xml:space="preserve"> PAGEREF _Toc256000538 \h </w:instrText>
        </w:r>
        <w:r>
          <w:fldChar w:fldCharType="separate"/>
        </w:r>
        <w:r>
          <w:t>86</w:t>
        </w:r>
        <w:r>
          <w:fldChar w:fldCharType="end"/>
        </w:r>
      </w:hyperlink>
    </w:p>
    <w:p>
      <w:pPr>
        <w:pStyle w:val="TOC4"/>
        <w:tabs>
          <w:tab w:val="right" w:leader="dot" w:pos="9950"/>
        </w:tabs>
        <w:rPr>
          <w:rFonts w:asciiTheme="minorHAnsi" w:hAnsiTheme="minorHAnsi"/>
          <w:noProof/>
          <w:sz w:val="22"/>
        </w:rPr>
      </w:pPr>
      <w:hyperlink w:anchor="_Toc256000539" w:history="1">
        <w:r>
          <w:rPr>
            <w:rStyle w:val="Hyperlink"/>
          </w:rPr>
          <w:t>Delete a Provider Group From Your VCF Automation</w:t>
        </w:r>
        <w:r>
          <w:tab/>
        </w:r>
        <w:r>
          <w:fldChar w:fldCharType="begin"/>
        </w:r>
        <w:r>
          <w:instrText xml:space="preserve"> PAGEREF _Toc256000539 \h </w:instrText>
        </w:r>
        <w:r>
          <w:fldChar w:fldCharType="separate"/>
        </w:r>
        <w:r>
          <w:t>86</w:t>
        </w:r>
        <w:r>
          <w:fldChar w:fldCharType="end"/>
        </w:r>
      </w:hyperlink>
    </w:p>
    <w:p>
      <w:pPr>
        <w:pStyle w:val="TOC3"/>
        <w:tabs>
          <w:tab w:val="right" w:leader="dot" w:pos="9950"/>
        </w:tabs>
        <w:rPr>
          <w:rFonts w:asciiTheme="minorHAnsi" w:hAnsiTheme="minorHAnsi"/>
          <w:noProof/>
          <w:sz w:val="22"/>
        </w:rPr>
      </w:pPr>
      <w:hyperlink w:anchor="_Toc256000540" w:history="1">
        <w:r>
          <w:rPr>
            <w:rStyle w:val="Hyperlink"/>
          </w:rPr>
          <w:t>Managing Service Accounts in VCF Automation</w:t>
        </w:r>
        <w:r>
          <w:tab/>
        </w:r>
        <w:r>
          <w:fldChar w:fldCharType="begin"/>
        </w:r>
        <w:r>
          <w:instrText xml:space="preserve"> PAGEREF _Toc256000540 \h </w:instrText>
        </w:r>
        <w:r>
          <w:fldChar w:fldCharType="separate"/>
        </w:r>
        <w:r>
          <w:t>87</w:t>
        </w:r>
        <w:r>
          <w:fldChar w:fldCharType="end"/>
        </w:r>
      </w:hyperlink>
    </w:p>
    <w:p>
      <w:pPr>
        <w:pStyle w:val="TOC4"/>
        <w:tabs>
          <w:tab w:val="right" w:leader="dot" w:pos="9950"/>
        </w:tabs>
        <w:rPr>
          <w:rFonts w:asciiTheme="minorHAnsi" w:hAnsiTheme="minorHAnsi"/>
          <w:noProof/>
          <w:sz w:val="22"/>
        </w:rPr>
      </w:pPr>
      <w:hyperlink w:anchor="_Toc256000541" w:history="1">
        <w:r>
          <w:rPr>
            <w:rStyle w:val="Hyperlink"/>
          </w:rPr>
          <w:t>Sharing</w:t>
        </w:r>
        <w:r>
          <w:tab/>
        </w:r>
        <w:r>
          <w:fldChar w:fldCharType="begin"/>
        </w:r>
        <w:r>
          <w:instrText xml:space="preserve"> PAGEREF _Toc256000541 \h </w:instrText>
        </w:r>
        <w:r>
          <w:fldChar w:fldCharType="separate"/>
        </w:r>
        <w:r>
          <w:t>87</w:t>
        </w:r>
        <w:r>
          <w:fldChar w:fldCharType="end"/>
        </w:r>
      </w:hyperlink>
    </w:p>
    <w:p>
      <w:pPr>
        <w:pStyle w:val="TOC4"/>
        <w:tabs>
          <w:tab w:val="right" w:leader="dot" w:pos="9950"/>
        </w:tabs>
        <w:rPr>
          <w:rFonts w:asciiTheme="minorHAnsi" w:hAnsiTheme="minorHAnsi"/>
          <w:noProof/>
          <w:sz w:val="22"/>
        </w:rPr>
      </w:pPr>
      <w:hyperlink w:anchor="_Toc256000542" w:history="1">
        <w:r>
          <w:rPr>
            <w:rStyle w:val="Hyperlink"/>
          </w:rPr>
          <w:t>Implementation</w:t>
        </w:r>
        <w:r>
          <w:tab/>
        </w:r>
        <w:r>
          <w:fldChar w:fldCharType="begin"/>
        </w:r>
        <w:r>
          <w:instrText xml:space="preserve"> PAGEREF _Toc256000542 \h </w:instrText>
        </w:r>
        <w:r>
          <w:fldChar w:fldCharType="separate"/>
        </w:r>
        <w:r>
          <w:t>87</w:t>
        </w:r>
        <w:r>
          <w:fldChar w:fldCharType="end"/>
        </w:r>
      </w:hyperlink>
    </w:p>
    <w:p>
      <w:pPr>
        <w:pStyle w:val="TOC4"/>
        <w:tabs>
          <w:tab w:val="right" w:leader="dot" w:pos="9950"/>
        </w:tabs>
        <w:rPr>
          <w:rFonts w:asciiTheme="minorHAnsi" w:hAnsiTheme="minorHAnsi"/>
          <w:noProof/>
          <w:sz w:val="22"/>
        </w:rPr>
      </w:pPr>
      <w:hyperlink w:anchor="_Toc256000543" w:history="1">
        <w:r>
          <w:rPr>
            <w:rStyle w:val="Hyperlink"/>
          </w:rPr>
          <w:t>Limitations</w:t>
        </w:r>
        <w:r>
          <w:tab/>
        </w:r>
        <w:r>
          <w:fldChar w:fldCharType="begin"/>
        </w:r>
        <w:r>
          <w:instrText xml:space="preserve"> PAGEREF _Toc256000543 \h </w:instrText>
        </w:r>
        <w:r>
          <w:fldChar w:fldCharType="separate"/>
        </w:r>
        <w:r>
          <w:t>88</w:t>
        </w:r>
        <w:r>
          <w:fldChar w:fldCharType="end"/>
        </w:r>
      </w:hyperlink>
    </w:p>
    <w:p>
      <w:pPr>
        <w:pStyle w:val="TOC4"/>
        <w:tabs>
          <w:tab w:val="right" w:leader="dot" w:pos="9950"/>
        </w:tabs>
        <w:rPr>
          <w:rFonts w:asciiTheme="minorHAnsi" w:hAnsiTheme="minorHAnsi"/>
          <w:noProof/>
          <w:sz w:val="22"/>
        </w:rPr>
      </w:pPr>
      <w:hyperlink w:anchor="_Toc256000544" w:history="1">
        <w:r>
          <w:rPr>
            <w:rStyle w:val="Hyperlink"/>
          </w:rPr>
          <w:t>Create a Service Account Using Your VCF Automation Provider Management Portal</w:t>
        </w:r>
        <w:r>
          <w:tab/>
        </w:r>
        <w:r>
          <w:fldChar w:fldCharType="begin"/>
        </w:r>
        <w:r>
          <w:instrText xml:space="preserve"> PAGEREF _Toc256000544 \h </w:instrText>
        </w:r>
        <w:r>
          <w:fldChar w:fldCharType="separate"/>
        </w:r>
        <w:r>
          <w:t>88</w:t>
        </w:r>
        <w:r>
          <w:fldChar w:fldCharType="end"/>
        </w:r>
      </w:hyperlink>
    </w:p>
    <w:p>
      <w:pPr>
        <w:pStyle w:val="TOC4"/>
        <w:tabs>
          <w:tab w:val="right" w:leader="dot" w:pos="9950"/>
        </w:tabs>
        <w:rPr>
          <w:rFonts w:asciiTheme="minorHAnsi" w:hAnsiTheme="minorHAnsi"/>
          <w:noProof/>
          <w:sz w:val="22"/>
        </w:rPr>
      </w:pPr>
      <w:hyperlink w:anchor="_Toc256000545" w:history="1">
        <w:r>
          <w:rPr>
            <w:rStyle w:val="Hyperlink"/>
          </w:rPr>
          <w:t>Grant Access to a Service Account Using Your VCF Automation Provider Management Portal</w:t>
        </w:r>
        <w:r>
          <w:tab/>
        </w:r>
        <w:r>
          <w:fldChar w:fldCharType="begin"/>
        </w:r>
        <w:r>
          <w:instrText xml:space="preserve"> PAGEREF _Toc256000545 \h </w:instrText>
        </w:r>
        <w:r>
          <w:fldChar w:fldCharType="separate"/>
        </w:r>
        <w:r>
          <w:t>89</w:t>
        </w:r>
        <w:r>
          <w:fldChar w:fldCharType="end"/>
        </w:r>
      </w:hyperlink>
    </w:p>
    <w:p>
      <w:pPr>
        <w:pStyle w:val="TOC1"/>
        <w:tabs>
          <w:tab w:val="left" w:pos="440"/>
          <w:tab w:val="right" w:leader="dot" w:pos="9950"/>
        </w:tabs>
        <w:rPr>
          <w:rFonts w:asciiTheme="minorHAnsi" w:hAnsiTheme="minorHAnsi"/>
          <w:noProof/>
          <w:sz w:val="22"/>
        </w:rPr>
      </w:pPr>
      <w:hyperlink w:anchor="_Toc256000546" w:history="1">
        <w:r>
          <w:rPr>
            <w:rStyle w:val="Hyperlink"/>
          </w:rPr>
          <w:t>7.</w:t>
        </w:r>
        <w:r>
          <w:rPr>
            <w:rFonts w:asciiTheme="minorHAnsi" w:hAnsiTheme="minorHAnsi"/>
            <w:noProof/>
            <w:sz w:val="22"/>
          </w:rPr>
          <w:tab/>
        </w:r>
        <w:r>
          <w:rPr>
            <w:rStyle w:val="Hyperlink"/>
          </w:rPr>
          <w:t>Managing VCF Automation System Settings</w:t>
        </w:r>
        <w:r>
          <w:tab/>
        </w:r>
        <w:r>
          <w:fldChar w:fldCharType="begin"/>
        </w:r>
        <w:r>
          <w:instrText xml:space="preserve"> PAGEREF _Toc256000546 \h </w:instrText>
        </w:r>
        <w:r>
          <w:fldChar w:fldCharType="separate"/>
        </w:r>
        <w:r>
          <w:t>92</w:t>
        </w:r>
        <w:r>
          <w:fldChar w:fldCharType="end"/>
        </w:r>
      </w:hyperlink>
    </w:p>
    <w:p>
      <w:pPr>
        <w:pStyle w:val="TOC2"/>
        <w:tabs>
          <w:tab w:val="right" w:leader="dot" w:pos="9950"/>
        </w:tabs>
        <w:rPr>
          <w:rFonts w:asciiTheme="minorHAnsi" w:hAnsiTheme="minorHAnsi"/>
          <w:noProof/>
          <w:sz w:val="22"/>
        </w:rPr>
      </w:pPr>
      <w:hyperlink w:anchor="_Toc256000547" w:history="1">
        <w:r>
          <w:rPr>
            <w:rStyle w:val="Hyperlink"/>
          </w:rPr>
          <w:t>Modify VCF Automation General System Settings</w:t>
        </w:r>
        <w:r>
          <w:tab/>
        </w:r>
        <w:r>
          <w:fldChar w:fldCharType="begin"/>
        </w:r>
        <w:r>
          <w:instrText xml:space="preserve"> PAGEREF _Toc256000547 \h </w:instrText>
        </w:r>
        <w:r>
          <w:fldChar w:fldCharType="separate"/>
        </w:r>
        <w:r>
          <w:t>92</w:t>
        </w:r>
        <w:r>
          <w:fldChar w:fldCharType="end"/>
        </w:r>
      </w:hyperlink>
    </w:p>
    <w:p>
      <w:pPr>
        <w:pStyle w:val="TOC2"/>
        <w:tabs>
          <w:tab w:val="right" w:leader="dot" w:pos="9950"/>
        </w:tabs>
        <w:rPr>
          <w:rFonts w:asciiTheme="minorHAnsi" w:hAnsiTheme="minorHAnsi"/>
          <w:noProof/>
          <w:sz w:val="22"/>
        </w:rPr>
      </w:pPr>
      <w:hyperlink w:anchor="_Toc256000548" w:history="1">
        <w:r>
          <w:rPr>
            <w:rStyle w:val="Hyperlink"/>
          </w:rPr>
          <w:t>Configure Blocking Task Settings On Your VCF Automation</w:t>
        </w:r>
        <w:r>
          <w:tab/>
        </w:r>
        <w:r>
          <w:fldChar w:fldCharType="begin"/>
        </w:r>
        <w:r>
          <w:instrText xml:space="preserve"> PAGEREF _Toc256000548 \h </w:instrText>
        </w:r>
        <w:r>
          <w:fldChar w:fldCharType="separate"/>
        </w:r>
        <w:r>
          <w:t>93</w:t>
        </w:r>
        <w:r>
          <w:fldChar w:fldCharType="end"/>
        </w:r>
      </w:hyperlink>
    </w:p>
    <w:p>
      <w:pPr>
        <w:pStyle w:val="TOC2"/>
        <w:tabs>
          <w:tab w:val="right" w:leader="dot" w:pos="9950"/>
        </w:tabs>
        <w:rPr>
          <w:rFonts w:asciiTheme="minorHAnsi" w:hAnsiTheme="minorHAnsi"/>
          <w:noProof/>
          <w:sz w:val="22"/>
        </w:rPr>
      </w:pPr>
      <w:hyperlink w:anchor="_Toc256000549" w:history="1">
        <w:r>
          <w:rPr>
            <w:rStyle w:val="Hyperlink"/>
          </w:rPr>
          <w:t>Monitor Blocked Tasks in VCF Automation</w:t>
        </w:r>
        <w:r>
          <w:tab/>
        </w:r>
        <w:r>
          <w:fldChar w:fldCharType="begin"/>
        </w:r>
        <w:r>
          <w:instrText xml:space="preserve"> PAGEREF _Toc256000549 \h </w:instrText>
        </w:r>
        <w:r>
          <w:fldChar w:fldCharType="separate"/>
        </w:r>
        <w:r>
          <w:t>94</w:t>
        </w:r>
        <w:r>
          <w:fldChar w:fldCharType="end"/>
        </w:r>
      </w:hyperlink>
    </w:p>
    <w:p>
      <w:pPr>
        <w:pStyle w:val="TOC2"/>
        <w:tabs>
          <w:tab w:val="right" w:leader="dot" w:pos="9950"/>
        </w:tabs>
        <w:rPr>
          <w:rFonts w:asciiTheme="minorHAnsi" w:hAnsiTheme="minorHAnsi"/>
          <w:noProof/>
          <w:sz w:val="22"/>
        </w:rPr>
      </w:pPr>
      <w:hyperlink w:anchor="_Toc256000550" w:history="1">
        <w:r>
          <w:rPr>
            <w:rStyle w:val="Hyperlink"/>
          </w:rPr>
          <w:t>Subscribe to VCF AutomationProvider Management Events, Tasks, and Metrics by Using an MQTT Client</w:t>
        </w:r>
        <w:r>
          <w:tab/>
        </w:r>
        <w:r>
          <w:fldChar w:fldCharType="begin"/>
        </w:r>
        <w:r>
          <w:instrText xml:space="preserve"> PAGEREF _Toc256000550 \h </w:instrText>
        </w:r>
        <w:r>
          <w:fldChar w:fldCharType="separate"/>
        </w:r>
        <w:r>
          <w:t>95</w:t>
        </w:r>
        <w:r>
          <w:fldChar w:fldCharType="end"/>
        </w:r>
      </w:hyperlink>
    </w:p>
    <w:p>
      <w:pPr>
        <w:pStyle w:val="TOC2"/>
        <w:tabs>
          <w:tab w:val="right" w:leader="dot" w:pos="9950"/>
        </w:tabs>
        <w:rPr>
          <w:rFonts w:asciiTheme="minorHAnsi" w:hAnsiTheme="minorHAnsi"/>
          <w:noProof/>
          <w:sz w:val="22"/>
        </w:rPr>
      </w:pPr>
      <w:hyperlink w:anchor="_Toc256000551" w:history="1">
        <w:r>
          <w:rPr>
            <w:rStyle w:val="Hyperlink"/>
          </w:rPr>
          <w:t>Changing the VCF Automation Portal Branding</w:t>
        </w:r>
        <w:r>
          <w:tab/>
        </w:r>
        <w:r>
          <w:fldChar w:fldCharType="begin"/>
        </w:r>
        <w:r>
          <w:instrText xml:space="preserve"> PAGEREF _Toc256000551 \h </w:instrText>
        </w:r>
        <w:r>
          <w:fldChar w:fldCharType="separate"/>
        </w:r>
        <w:r>
          <w:t>96</w:t>
        </w:r>
        <w:r>
          <w:fldChar w:fldCharType="end"/>
        </w:r>
      </w:hyperlink>
    </w:p>
    <w:p>
      <w:pPr>
        <w:pStyle w:val="TOC3"/>
        <w:tabs>
          <w:tab w:val="right" w:leader="dot" w:pos="9950"/>
        </w:tabs>
        <w:rPr>
          <w:rFonts w:asciiTheme="minorHAnsi" w:hAnsiTheme="minorHAnsi"/>
          <w:noProof/>
          <w:sz w:val="22"/>
        </w:rPr>
      </w:pPr>
      <w:hyperlink w:anchor="_Toc256000552" w:history="1">
        <w:r>
          <w:rPr>
            <w:rStyle w:val="Hyperlink"/>
          </w:rPr>
          <w:t>Portal Branding</w:t>
        </w:r>
        <w:r>
          <w:tab/>
        </w:r>
        <w:r>
          <w:fldChar w:fldCharType="begin"/>
        </w:r>
        <w:r>
          <w:instrText xml:space="preserve"> PAGEREF _Toc256000552 \h </w:instrText>
        </w:r>
        <w:r>
          <w:fldChar w:fldCharType="separate"/>
        </w:r>
        <w:r>
          <w:t>96</w:t>
        </w:r>
        <w:r>
          <w:fldChar w:fldCharType="end"/>
        </w:r>
      </w:hyperlink>
    </w:p>
    <w:p>
      <w:pPr>
        <w:pStyle w:val="TOC3"/>
        <w:tabs>
          <w:tab w:val="right" w:leader="dot" w:pos="9950"/>
        </w:tabs>
        <w:rPr>
          <w:rFonts w:asciiTheme="minorHAnsi" w:hAnsiTheme="minorHAnsi"/>
          <w:noProof/>
          <w:sz w:val="22"/>
        </w:rPr>
      </w:pPr>
      <w:hyperlink w:anchor="_Toc256000553" w:history="1">
        <w:r>
          <w:rPr>
            <w:rStyle w:val="Hyperlink"/>
          </w:rPr>
          <w:t>Create a Custom VCF Automation Portal Theme</w:t>
        </w:r>
        <w:r>
          <w:tab/>
        </w:r>
        <w:r>
          <w:fldChar w:fldCharType="begin"/>
        </w:r>
        <w:r>
          <w:instrText xml:space="preserve"> PAGEREF _Toc256000553 \h </w:instrText>
        </w:r>
        <w:r>
          <w:fldChar w:fldCharType="separate"/>
        </w:r>
        <w:r>
          <w:t>97</w:t>
        </w:r>
        <w:r>
          <w:fldChar w:fldCharType="end"/>
        </w:r>
      </w:hyperlink>
    </w:p>
    <w:p>
      <w:pPr>
        <w:pStyle w:val="TOC3"/>
        <w:tabs>
          <w:tab w:val="right" w:leader="dot" w:pos="9950"/>
        </w:tabs>
        <w:rPr>
          <w:rFonts w:asciiTheme="minorHAnsi" w:hAnsiTheme="minorHAnsi"/>
          <w:noProof/>
          <w:sz w:val="22"/>
        </w:rPr>
      </w:pPr>
      <w:hyperlink w:anchor="_Toc256000554" w:history="1">
        <w:r>
          <w:rPr>
            <w:rStyle w:val="Hyperlink"/>
          </w:rPr>
          <w:t>Import a Custom VCF Automation Portal Theme</w:t>
        </w:r>
        <w:r>
          <w:tab/>
        </w:r>
        <w:r>
          <w:fldChar w:fldCharType="begin"/>
        </w:r>
        <w:r>
          <w:instrText xml:space="preserve"> PAGEREF _Toc256000554 \h </w:instrText>
        </w:r>
        <w:r>
          <w:fldChar w:fldCharType="separate"/>
        </w:r>
        <w:r>
          <w:t>98</w:t>
        </w:r>
        <w:r>
          <w:fldChar w:fldCharType="end"/>
        </w:r>
      </w:hyperlink>
    </w:p>
    <w:p>
      <w:pPr>
        <w:pStyle w:val="TOC1"/>
        <w:tabs>
          <w:tab w:val="left" w:pos="440"/>
          <w:tab w:val="right" w:leader="dot" w:pos="9950"/>
        </w:tabs>
        <w:rPr>
          <w:rFonts w:asciiTheme="minorHAnsi" w:hAnsiTheme="minorHAnsi"/>
          <w:noProof/>
          <w:sz w:val="22"/>
        </w:rPr>
      </w:pPr>
      <w:hyperlink w:anchor="_Toc256000555" w:history="1">
        <w:r>
          <w:rPr>
            <w:rStyle w:val="Hyperlink"/>
          </w:rPr>
          <w:t>8.</w:t>
        </w:r>
        <w:r>
          <w:rPr>
            <w:rFonts w:asciiTheme="minorHAnsi" w:hAnsiTheme="minorHAnsi"/>
            <w:noProof/>
            <w:sz w:val="22"/>
          </w:rPr>
          <w:tab/>
        </w:r>
        <w:r>
          <w:rPr>
            <w:rStyle w:val="Hyperlink"/>
          </w:rPr>
          <w:t>Managing Identity Providers in VCF Automation</w:t>
        </w:r>
        <w:r>
          <w:tab/>
        </w:r>
        <w:r>
          <w:fldChar w:fldCharType="begin"/>
        </w:r>
        <w:r>
          <w:instrText xml:space="preserve"> PAGEREF _Toc256000555 \h </w:instrText>
        </w:r>
        <w:r>
          <w:fldChar w:fldCharType="separate"/>
        </w:r>
        <w:r>
          <w:t>100</w:t>
        </w:r>
        <w:r>
          <w:fldChar w:fldCharType="end"/>
        </w:r>
      </w:hyperlink>
    </w:p>
    <w:p>
      <w:pPr>
        <w:pStyle w:val="TOC2"/>
        <w:tabs>
          <w:tab w:val="right" w:leader="dot" w:pos="9950"/>
        </w:tabs>
        <w:rPr>
          <w:rFonts w:asciiTheme="minorHAnsi" w:hAnsiTheme="minorHAnsi"/>
          <w:noProof/>
          <w:sz w:val="22"/>
        </w:rPr>
      </w:pPr>
      <w:hyperlink w:anchor="_Toc256000556" w:history="1">
        <w:r>
          <w:rPr>
            <w:rStyle w:val="Hyperlink"/>
          </w:rPr>
          <w:t>Managing LDAP Connections in Your VCF Automation</w:t>
        </w:r>
        <w:r>
          <w:tab/>
        </w:r>
        <w:r>
          <w:fldChar w:fldCharType="begin"/>
        </w:r>
        <w:r>
          <w:instrText xml:space="preserve"> PAGEREF _Toc256000556 \h </w:instrText>
        </w:r>
        <w:r>
          <w:fldChar w:fldCharType="separate"/>
        </w:r>
        <w:r>
          <w:t>100</w:t>
        </w:r>
        <w:r>
          <w:fldChar w:fldCharType="end"/>
        </w:r>
      </w:hyperlink>
    </w:p>
    <w:p>
      <w:pPr>
        <w:pStyle w:val="TOC3"/>
        <w:tabs>
          <w:tab w:val="right" w:leader="dot" w:pos="9950"/>
        </w:tabs>
        <w:rPr>
          <w:rFonts w:asciiTheme="minorHAnsi" w:hAnsiTheme="minorHAnsi"/>
          <w:noProof/>
          <w:sz w:val="22"/>
        </w:rPr>
      </w:pPr>
      <w:hyperlink w:anchor="_Toc256000557" w:history="1">
        <w:r>
          <w:rPr>
            <w:rStyle w:val="Hyperlink"/>
          </w:rPr>
          <w:t>Configure a System LDAP Connection in Your VCF Automation</w:t>
        </w:r>
        <w:r>
          <w:tab/>
        </w:r>
        <w:r>
          <w:fldChar w:fldCharType="begin"/>
        </w:r>
        <w:r>
          <w:instrText xml:space="preserve"> PAGEREF _Toc256000557 \h </w:instrText>
        </w:r>
        <w:r>
          <w:fldChar w:fldCharType="separate"/>
        </w:r>
        <w:r>
          <w:t>101</w:t>
        </w:r>
        <w:r>
          <w:fldChar w:fldCharType="end"/>
        </w:r>
      </w:hyperlink>
    </w:p>
    <w:p>
      <w:pPr>
        <w:pStyle w:val="TOC3"/>
        <w:tabs>
          <w:tab w:val="right" w:leader="dot" w:pos="9950"/>
        </w:tabs>
        <w:rPr>
          <w:rFonts w:asciiTheme="minorHAnsi" w:hAnsiTheme="minorHAnsi"/>
          <w:noProof/>
          <w:sz w:val="22"/>
        </w:rPr>
      </w:pPr>
      <w:hyperlink w:anchor="_Toc256000558" w:history="1">
        <w:r>
          <w:rPr>
            <w:rStyle w:val="Hyperlink"/>
          </w:rPr>
          <w:t>Configure an Organization LDAP Connection in Your VCF Automation</w:t>
        </w:r>
        <w:r>
          <w:tab/>
        </w:r>
        <w:r>
          <w:fldChar w:fldCharType="begin"/>
        </w:r>
        <w:r>
          <w:instrText xml:space="preserve"> PAGEREF _Toc256000558 \h </w:instrText>
        </w:r>
        <w:r>
          <w:fldChar w:fldCharType="separate"/>
        </w:r>
        <w:r>
          <w:t>103</w:t>
        </w:r>
        <w:r>
          <w:fldChar w:fldCharType="end"/>
        </w:r>
      </w:hyperlink>
    </w:p>
    <w:p>
      <w:pPr>
        <w:pStyle w:val="TOC3"/>
        <w:tabs>
          <w:tab w:val="right" w:leader="dot" w:pos="9950"/>
        </w:tabs>
        <w:rPr>
          <w:rFonts w:asciiTheme="minorHAnsi" w:hAnsiTheme="minorHAnsi"/>
          <w:noProof/>
          <w:sz w:val="22"/>
        </w:rPr>
      </w:pPr>
      <w:hyperlink w:anchor="_Toc256000559" w:history="1">
        <w:r>
          <w:rPr>
            <w:rStyle w:val="Hyperlink"/>
          </w:rPr>
          <w:t>Edit, Test, and Synchronize an LDAP Connection Using Your VCF Automation Provider Management Portal</w:t>
        </w:r>
        <w:r>
          <w:tab/>
        </w:r>
        <w:r>
          <w:fldChar w:fldCharType="begin"/>
        </w:r>
        <w:r>
          <w:instrText xml:space="preserve"> PAGEREF _Toc256000559 \h </w:instrText>
        </w:r>
        <w:r>
          <w:fldChar w:fldCharType="separate"/>
        </w:r>
        <w:r>
          <w:t>104</w:t>
        </w:r>
        <w:r>
          <w:fldChar w:fldCharType="end"/>
        </w:r>
      </w:hyperlink>
    </w:p>
    <w:p>
      <w:pPr>
        <w:pStyle w:val="TOC2"/>
        <w:tabs>
          <w:tab w:val="right" w:leader="dot" w:pos="9950"/>
        </w:tabs>
        <w:rPr>
          <w:rFonts w:asciiTheme="minorHAnsi" w:hAnsiTheme="minorHAnsi"/>
          <w:noProof/>
          <w:sz w:val="22"/>
        </w:rPr>
      </w:pPr>
      <w:hyperlink w:anchor="_Toc256000560" w:history="1">
        <w:r>
          <w:rPr>
            <w:rStyle w:val="Hyperlink"/>
          </w:rPr>
          <w:t>Configure Your VCF Automation System to Use a SAML Identity Provider</w:t>
        </w:r>
        <w:r>
          <w:tab/>
        </w:r>
        <w:r>
          <w:fldChar w:fldCharType="begin"/>
        </w:r>
        <w:r>
          <w:instrText xml:space="preserve"> PAGEREF _Toc256000560 \h </w:instrText>
        </w:r>
        <w:r>
          <w:fldChar w:fldCharType="separate"/>
        </w:r>
        <w:r>
          <w:t>106</w:t>
        </w:r>
        <w:r>
          <w:fldChar w:fldCharType="end"/>
        </w:r>
      </w:hyperlink>
    </w:p>
    <w:p>
      <w:pPr>
        <w:pStyle w:val="TOC2"/>
        <w:tabs>
          <w:tab w:val="right" w:leader="dot" w:pos="9950"/>
        </w:tabs>
        <w:rPr>
          <w:rFonts w:asciiTheme="minorHAnsi" w:hAnsiTheme="minorHAnsi"/>
          <w:noProof/>
          <w:sz w:val="22"/>
        </w:rPr>
      </w:pPr>
      <w:hyperlink w:anchor="_Toc256000561" w:history="1">
        <w:r>
          <w:rPr>
            <w:rStyle w:val="Hyperlink"/>
          </w:rPr>
          <w:t>Configure Your System to Use an OpenID Connect Identity Provider Using Your VCF Automation Provider Management Portal</w:t>
        </w:r>
        <w:r>
          <w:tab/>
        </w:r>
        <w:r>
          <w:fldChar w:fldCharType="begin"/>
        </w:r>
        <w:r>
          <w:instrText xml:space="preserve"> PAGEREF _Toc256000561 \h </w:instrText>
        </w:r>
        <w:r>
          <w:fldChar w:fldCharType="separate"/>
        </w:r>
        <w:r>
          <w:t>108</w:t>
        </w:r>
        <w:r>
          <w:fldChar w:fldCharType="end"/>
        </w:r>
      </w:hyperlink>
    </w:p>
    <w:p>
      <w:pPr>
        <w:pStyle w:val="TOC2"/>
        <w:tabs>
          <w:tab w:val="right" w:leader="dot" w:pos="9950"/>
        </w:tabs>
        <w:rPr>
          <w:rFonts w:asciiTheme="minorHAnsi" w:hAnsiTheme="minorHAnsi"/>
          <w:noProof/>
          <w:sz w:val="22"/>
        </w:rPr>
      </w:pPr>
      <w:hyperlink w:anchor="_Toc256000562" w:history="1">
        <w:r>
          <w:rPr>
            <w:rStyle w:val="Hyperlink"/>
          </w:rPr>
          <w:t>Enable PKCE in VCF Automation</w:t>
        </w:r>
        <w:r>
          <w:tab/>
        </w:r>
        <w:r>
          <w:fldChar w:fldCharType="begin"/>
        </w:r>
        <w:r>
          <w:instrText xml:space="preserve"> PAGEREF _Toc256000562 \h </w:instrText>
        </w:r>
        <w:r>
          <w:fldChar w:fldCharType="separate"/>
        </w:r>
        <w:r>
          <w:t>111</w:t>
        </w:r>
        <w:r>
          <w:fldChar w:fldCharType="end"/>
        </w:r>
      </w:hyperlink>
    </w:p>
    <w:p>
      <w:pPr>
        <w:pStyle w:val="TOC2"/>
        <w:tabs>
          <w:tab w:val="right" w:leader="dot" w:pos="9950"/>
        </w:tabs>
        <w:rPr>
          <w:rFonts w:asciiTheme="minorHAnsi" w:hAnsiTheme="minorHAnsi"/>
          <w:noProof/>
          <w:sz w:val="22"/>
        </w:rPr>
      </w:pPr>
      <w:hyperlink w:anchor="_Toc256000563" w:history="1">
        <w:r>
          <w:rPr>
            <w:rStyle w:val="Hyperlink"/>
          </w:rPr>
          <w:t>Generate an API Access Token Using Your VCF Automation Provider Management Portal</w:t>
        </w:r>
        <w:r>
          <w:tab/>
        </w:r>
        <w:r>
          <w:fldChar w:fldCharType="begin"/>
        </w:r>
        <w:r>
          <w:instrText xml:space="preserve"> PAGEREF _Toc256000563 \h </w:instrText>
        </w:r>
        <w:r>
          <w:fldChar w:fldCharType="separate"/>
        </w:r>
        <w:r>
          <w:t>112</w:t>
        </w:r>
        <w:r>
          <w:fldChar w:fldCharType="end"/>
        </w:r>
      </w:hyperlink>
    </w:p>
    <w:p>
      <w:pPr>
        <w:pStyle w:val="TOC2"/>
        <w:tabs>
          <w:tab w:val="right" w:leader="dot" w:pos="9950"/>
        </w:tabs>
        <w:rPr>
          <w:rFonts w:asciiTheme="minorHAnsi" w:hAnsiTheme="minorHAnsi"/>
          <w:noProof/>
          <w:sz w:val="22"/>
        </w:rPr>
      </w:pPr>
      <w:hyperlink w:anchor="_Toc256000564" w:history="1">
        <w:r>
          <w:rPr>
            <w:rStyle w:val="Hyperlink"/>
          </w:rPr>
          <w:t>Remapping VCF Automation Users Between Identity Providers</w:t>
        </w:r>
        <w:r>
          <w:tab/>
        </w:r>
        <w:r>
          <w:fldChar w:fldCharType="begin"/>
        </w:r>
        <w:r>
          <w:instrText xml:space="preserve"> PAGEREF _Toc256000564 \h </w:instrText>
        </w:r>
        <w:r>
          <w:fldChar w:fldCharType="separate"/>
        </w:r>
        <w:r>
          <w:t>114</w:t>
        </w:r>
        <w:r>
          <w:fldChar w:fldCharType="end"/>
        </w:r>
      </w:hyperlink>
    </w:p>
    <w:p>
      <w:pPr>
        <w:pStyle w:val="TOC3"/>
        <w:tabs>
          <w:tab w:val="right" w:leader="dot" w:pos="9950"/>
        </w:tabs>
        <w:rPr>
          <w:rFonts w:asciiTheme="minorHAnsi" w:hAnsiTheme="minorHAnsi"/>
          <w:noProof/>
          <w:sz w:val="22"/>
        </w:rPr>
      </w:pPr>
      <w:hyperlink w:anchor="_Toc256000565" w:history="1">
        <w:r>
          <w:rPr>
            <w:rStyle w:val="Hyperlink"/>
          </w:rPr>
          <w:t>Remap Users Between Identity Providers Using Your VCF Automation Provider Management Portal</w:t>
        </w:r>
        <w:r>
          <w:tab/>
        </w:r>
        <w:r>
          <w:fldChar w:fldCharType="begin"/>
        </w:r>
        <w:r>
          <w:instrText xml:space="preserve"> PAGEREF _Toc256000565 \h </w:instrText>
        </w:r>
        <w:r>
          <w:fldChar w:fldCharType="separate"/>
        </w:r>
        <w:r>
          <w:t>115</w:t>
        </w:r>
        <w:r>
          <w:fldChar w:fldCharType="end"/>
        </w:r>
      </w:hyperlink>
    </w:p>
    <w:p>
      <w:pPr>
        <w:pStyle w:val="TOC3"/>
        <w:tabs>
          <w:tab w:val="right" w:leader="dot" w:pos="9950"/>
        </w:tabs>
        <w:rPr>
          <w:rFonts w:asciiTheme="minorHAnsi" w:hAnsiTheme="minorHAnsi"/>
          <w:noProof/>
          <w:sz w:val="22"/>
        </w:rPr>
      </w:pPr>
      <w:hyperlink w:anchor="_Toc256000566" w:history="1">
        <w:r>
          <w:rPr>
            <w:rStyle w:val="Hyperlink"/>
          </w:rPr>
          <w:t>Remap a User Between Identity Providers by Using the VCF Automation API</w:t>
        </w:r>
        <w:r>
          <w:tab/>
        </w:r>
        <w:r>
          <w:fldChar w:fldCharType="begin"/>
        </w:r>
        <w:r>
          <w:instrText xml:space="preserve"> PAGEREF _Toc256000566 \h </w:instrText>
        </w:r>
        <w:r>
          <w:fldChar w:fldCharType="separate"/>
        </w:r>
        <w:r>
          <w:t>116</w:t>
        </w:r>
        <w:r>
          <w:fldChar w:fldCharType="end"/>
        </w:r>
      </w:hyperlink>
    </w:p>
    <w:p>
      <w:pPr>
        <w:pStyle w:val="TOC1"/>
        <w:tabs>
          <w:tab w:val="left" w:pos="440"/>
          <w:tab w:val="right" w:leader="dot" w:pos="9950"/>
        </w:tabs>
        <w:rPr>
          <w:rFonts w:asciiTheme="minorHAnsi" w:hAnsiTheme="minorHAnsi"/>
          <w:noProof/>
          <w:sz w:val="22"/>
        </w:rPr>
      </w:pPr>
      <w:hyperlink w:anchor="_Toc256000567" w:history="1">
        <w:r>
          <w:rPr>
            <w:rStyle w:val="Hyperlink"/>
          </w:rPr>
          <w:t>9.</w:t>
        </w:r>
        <w:r>
          <w:rPr>
            <w:rFonts w:asciiTheme="minorHAnsi" w:hAnsiTheme="minorHAnsi"/>
            <w:noProof/>
            <w:sz w:val="22"/>
          </w:rPr>
          <w:tab/>
        </w:r>
        <w:r>
          <w:rPr>
            <w:rStyle w:val="Hyperlink"/>
          </w:rPr>
          <w:t>Using VCF Automation as an Identity Provider Proxy Server</w:t>
        </w:r>
        <w:r>
          <w:tab/>
        </w:r>
        <w:r>
          <w:fldChar w:fldCharType="begin"/>
        </w:r>
        <w:r>
          <w:instrText xml:space="preserve"> PAGEREF _Toc256000567 \h </w:instrText>
        </w:r>
        <w:r>
          <w:fldChar w:fldCharType="separate"/>
        </w:r>
        <w:r>
          <w:t>118</w:t>
        </w:r>
        <w:r>
          <w:fldChar w:fldCharType="end"/>
        </w:r>
      </w:hyperlink>
    </w:p>
    <w:p>
      <w:pPr>
        <w:pStyle w:val="TOC2"/>
        <w:tabs>
          <w:tab w:val="right" w:leader="dot" w:pos="9950"/>
        </w:tabs>
        <w:rPr>
          <w:rFonts w:asciiTheme="minorHAnsi" w:hAnsiTheme="minorHAnsi"/>
          <w:noProof/>
          <w:sz w:val="22"/>
        </w:rPr>
      </w:pPr>
      <w:hyperlink w:anchor="_Toc256000568" w:history="1">
        <w:r>
          <w:rPr>
            <w:rStyle w:val="Hyperlink"/>
          </w:rPr>
          <w:t>Authentication Flow</w:t>
        </w:r>
        <w:r>
          <w:tab/>
        </w:r>
        <w:r>
          <w:fldChar w:fldCharType="begin"/>
        </w:r>
        <w:r>
          <w:instrText xml:space="preserve"> PAGEREF _Toc256000568 \h </w:instrText>
        </w:r>
        <w:r>
          <w:fldChar w:fldCharType="separate"/>
        </w:r>
        <w:r>
          <w:t>118</w:t>
        </w:r>
        <w:r>
          <w:fldChar w:fldCharType="end"/>
        </w:r>
      </w:hyperlink>
    </w:p>
    <w:p>
      <w:pPr>
        <w:pStyle w:val="TOC2"/>
        <w:tabs>
          <w:tab w:val="right" w:leader="dot" w:pos="9950"/>
        </w:tabs>
        <w:rPr>
          <w:rFonts w:asciiTheme="minorHAnsi" w:hAnsiTheme="minorHAnsi"/>
          <w:noProof/>
          <w:sz w:val="22"/>
        </w:rPr>
      </w:pPr>
      <w:hyperlink w:anchor="_Toc256000569" w:history="1">
        <w:r>
          <w:rPr>
            <w:rStyle w:val="Hyperlink"/>
          </w:rPr>
          <w:t>Token Exchange Access to VCF Automation Identity Provider Proxy</w:t>
        </w:r>
        <w:r>
          <w:tab/>
        </w:r>
        <w:r>
          <w:fldChar w:fldCharType="begin"/>
        </w:r>
        <w:r>
          <w:instrText xml:space="preserve"> PAGEREF _Toc256000569 \h </w:instrText>
        </w:r>
        <w:r>
          <w:fldChar w:fldCharType="separate"/>
        </w:r>
        <w:r>
          <w:t>120</w:t>
        </w:r>
        <w:r>
          <w:fldChar w:fldCharType="end"/>
        </w:r>
      </w:hyperlink>
    </w:p>
    <w:p>
      <w:pPr>
        <w:pStyle w:val="TOC2"/>
        <w:tabs>
          <w:tab w:val="right" w:leader="dot" w:pos="9950"/>
        </w:tabs>
        <w:rPr>
          <w:rFonts w:asciiTheme="minorHAnsi" w:hAnsiTheme="minorHAnsi"/>
          <w:noProof/>
          <w:sz w:val="22"/>
        </w:rPr>
      </w:pPr>
      <w:hyperlink w:anchor="_Toc256000570" w:history="1">
        <w:r>
          <w:rPr>
            <w:rStyle w:val="Hyperlink"/>
          </w:rPr>
          <w:t>Configure VCF Automation as an OpenID Provider Proxy Server</w:t>
        </w:r>
        <w:r>
          <w:tab/>
        </w:r>
        <w:r>
          <w:fldChar w:fldCharType="begin"/>
        </w:r>
        <w:r>
          <w:instrText xml:space="preserve"> PAGEREF _Toc256000570 \h </w:instrText>
        </w:r>
        <w:r>
          <w:fldChar w:fldCharType="separate"/>
        </w:r>
        <w:r>
          <w:t>121</w:t>
        </w:r>
        <w:r>
          <w:fldChar w:fldCharType="end"/>
        </w:r>
      </w:hyperlink>
    </w:p>
    <w:p>
      <w:pPr>
        <w:pStyle w:val="TOC2"/>
        <w:tabs>
          <w:tab w:val="right" w:leader="dot" w:pos="9950"/>
        </w:tabs>
        <w:rPr>
          <w:rFonts w:asciiTheme="minorHAnsi" w:hAnsiTheme="minorHAnsi"/>
          <w:noProof/>
          <w:sz w:val="22"/>
        </w:rPr>
      </w:pPr>
      <w:hyperlink w:anchor="_Toc256000571" w:history="1">
        <w:r>
          <w:rPr>
            <w:rStyle w:val="Hyperlink"/>
          </w:rPr>
          <w:t>View and Edit the OIDC Proxy General Settings in Your VCF Automation</w:t>
        </w:r>
        <w:r>
          <w:tab/>
        </w:r>
        <w:r>
          <w:fldChar w:fldCharType="begin"/>
        </w:r>
        <w:r>
          <w:instrText xml:space="preserve"> PAGEREF _Toc256000571 \h </w:instrText>
        </w:r>
        <w:r>
          <w:fldChar w:fldCharType="separate"/>
        </w:r>
        <w:r>
          <w:t>122</w:t>
        </w:r>
        <w:r>
          <w:fldChar w:fldCharType="end"/>
        </w:r>
      </w:hyperlink>
    </w:p>
    <w:p>
      <w:pPr>
        <w:pStyle w:val="TOC2"/>
        <w:tabs>
          <w:tab w:val="right" w:leader="dot" w:pos="9950"/>
        </w:tabs>
        <w:rPr>
          <w:rFonts w:asciiTheme="minorHAnsi" w:hAnsiTheme="minorHAnsi"/>
          <w:noProof/>
          <w:sz w:val="22"/>
        </w:rPr>
      </w:pPr>
      <w:hyperlink w:anchor="_Toc256000572" w:history="1">
        <w:r>
          <w:rPr>
            <w:rStyle w:val="Hyperlink"/>
          </w:rPr>
          <w:t>Managing OIDC Proxy Keys in Your VCF Automation</w:t>
        </w:r>
        <w:r>
          <w:tab/>
        </w:r>
        <w:r>
          <w:fldChar w:fldCharType="begin"/>
        </w:r>
        <w:r>
          <w:instrText xml:space="preserve"> PAGEREF _Toc256000572 \h </w:instrText>
        </w:r>
        <w:r>
          <w:fldChar w:fldCharType="separate"/>
        </w:r>
        <w:r>
          <w:t>123</w:t>
        </w:r>
        <w:r>
          <w:fldChar w:fldCharType="end"/>
        </w:r>
      </w:hyperlink>
    </w:p>
    <w:p>
      <w:pPr>
        <w:pStyle w:val="TOC3"/>
        <w:tabs>
          <w:tab w:val="right" w:leader="dot" w:pos="9950"/>
        </w:tabs>
        <w:rPr>
          <w:rFonts w:asciiTheme="minorHAnsi" w:hAnsiTheme="minorHAnsi"/>
          <w:noProof/>
          <w:sz w:val="22"/>
        </w:rPr>
      </w:pPr>
      <w:hyperlink w:anchor="_Toc256000573" w:history="1">
        <w:r>
          <w:rPr>
            <w:rStyle w:val="Hyperlink"/>
          </w:rPr>
          <w:t>Add an OIDC Proxy Key Set Using Your VCF Automation</w:t>
        </w:r>
        <w:r>
          <w:tab/>
        </w:r>
        <w:r>
          <w:fldChar w:fldCharType="begin"/>
        </w:r>
        <w:r>
          <w:instrText xml:space="preserve"> PAGEREF _Toc256000573 \h </w:instrText>
        </w:r>
        <w:r>
          <w:fldChar w:fldCharType="separate"/>
        </w:r>
        <w:r>
          <w:t>123</w:t>
        </w:r>
        <w:r>
          <w:fldChar w:fldCharType="end"/>
        </w:r>
      </w:hyperlink>
    </w:p>
    <w:p>
      <w:pPr>
        <w:pStyle w:val="TOC3"/>
        <w:tabs>
          <w:tab w:val="right" w:leader="dot" w:pos="9950"/>
        </w:tabs>
        <w:rPr>
          <w:rFonts w:asciiTheme="minorHAnsi" w:hAnsiTheme="minorHAnsi"/>
          <w:noProof/>
          <w:sz w:val="22"/>
        </w:rPr>
      </w:pPr>
      <w:hyperlink w:anchor="_Toc256000574" w:history="1">
        <w:r>
          <w:rPr>
            <w:rStyle w:val="Hyperlink"/>
          </w:rPr>
          <w:t>Activate a New OIDC Proxy Key Set Using Your VCF Automation</w:t>
        </w:r>
        <w:r>
          <w:tab/>
        </w:r>
        <w:r>
          <w:fldChar w:fldCharType="begin"/>
        </w:r>
        <w:r>
          <w:instrText xml:space="preserve"> PAGEREF _Toc256000574 \h </w:instrText>
        </w:r>
        <w:r>
          <w:fldChar w:fldCharType="separate"/>
        </w:r>
        <w:r>
          <w:t>124</w:t>
        </w:r>
        <w:r>
          <w:fldChar w:fldCharType="end"/>
        </w:r>
      </w:hyperlink>
    </w:p>
    <w:p>
      <w:pPr>
        <w:pStyle w:val="TOC3"/>
        <w:tabs>
          <w:tab w:val="right" w:leader="dot" w:pos="9950"/>
        </w:tabs>
        <w:rPr>
          <w:rFonts w:asciiTheme="minorHAnsi" w:hAnsiTheme="minorHAnsi"/>
          <w:noProof/>
          <w:sz w:val="22"/>
        </w:rPr>
      </w:pPr>
      <w:hyperlink w:anchor="_Toc256000575" w:history="1">
        <w:r>
          <w:rPr>
            <w:rStyle w:val="Hyperlink"/>
          </w:rPr>
          <w:t>Delete an OIDC Proxy Key Set From Your VCF Automation</w:t>
        </w:r>
        <w:r>
          <w:tab/>
        </w:r>
        <w:r>
          <w:fldChar w:fldCharType="begin"/>
        </w:r>
        <w:r>
          <w:instrText xml:space="preserve"> PAGEREF _Toc256000575 \h </w:instrText>
        </w:r>
        <w:r>
          <w:fldChar w:fldCharType="separate"/>
        </w:r>
        <w:r>
          <w:t>124</w:t>
        </w:r>
        <w:r>
          <w:fldChar w:fldCharType="end"/>
        </w:r>
      </w:hyperlink>
    </w:p>
    <w:p>
      <w:pPr>
        <w:pStyle w:val="TOC2"/>
        <w:tabs>
          <w:tab w:val="right" w:leader="dot" w:pos="9950"/>
        </w:tabs>
        <w:rPr>
          <w:rFonts w:asciiTheme="minorHAnsi" w:hAnsiTheme="minorHAnsi"/>
          <w:noProof/>
          <w:sz w:val="22"/>
        </w:rPr>
      </w:pPr>
      <w:hyperlink w:anchor="_Toc256000576" w:history="1">
        <w:r>
          <w:rPr>
            <w:rStyle w:val="Hyperlink"/>
          </w:rPr>
          <w:t>Configure CORS for VCF Automation</w:t>
        </w:r>
        <w:r>
          <w:tab/>
        </w:r>
        <w:r>
          <w:fldChar w:fldCharType="begin"/>
        </w:r>
        <w:r>
          <w:instrText xml:space="preserve"> PAGEREF _Toc256000576 \h </w:instrText>
        </w:r>
        <w:r>
          <w:fldChar w:fldCharType="separate"/>
        </w:r>
        <w:r>
          <w:t>124</w:t>
        </w:r>
        <w:r>
          <w:fldChar w:fldCharType="end"/>
        </w:r>
      </w:hyperlink>
    </w:p>
    <w:p>
      <w:pPr>
        <w:pStyle w:val="TOC1"/>
        <w:tabs>
          <w:tab w:val="left" w:pos="660"/>
          <w:tab w:val="right" w:leader="dot" w:pos="9950"/>
        </w:tabs>
        <w:rPr>
          <w:rFonts w:asciiTheme="minorHAnsi" w:hAnsiTheme="minorHAnsi"/>
          <w:noProof/>
          <w:sz w:val="22"/>
        </w:rPr>
      </w:pPr>
      <w:hyperlink w:anchor="_Toc256000577" w:history="1">
        <w:r>
          <w:rPr>
            <w:rStyle w:val="Hyperlink"/>
          </w:rPr>
          <w:t>10.</w:t>
        </w:r>
        <w:r>
          <w:rPr>
            <w:rFonts w:asciiTheme="minorHAnsi" w:hAnsiTheme="minorHAnsi"/>
            <w:noProof/>
            <w:sz w:val="22"/>
          </w:rPr>
          <w:tab/>
        </w:r>
        <w:r>
          <w:rPr>
            <w:rStyle w:val="Hyperlink"/>
          </w:rPr>
          <w:t>Managing Certificates Using Your VCF Automation</w:t>
        </w:r>
        <w:r>
          <w:tab/>
        </w:r>
        <w:r>
          <w:fldChar w:fldCharType="begin"/>
        </w:r>
        <w:r>
          <w:instrText xml:space="preserve"> PAGEREF _Toc256000577 \h </w:instrText>
        </w:r>
        <w:r>
          <w:fldChar w:fldCharType="separate"/>
        </w:r>
        <w:r>
          <w:t>126</w:t>
        </w:r>
        <w:r>
          <w:fldChar w:fldCharType="end"/>
        </w:r>
      </w:hyperlink>
    </w:p>
    <w:p>
      <w:pPr>
        <w:pStyle w:val="TOC2"/>
        <w:tabs>
          <w:tab w:val="right" w:leader="dot" w:pos="9950"/>
        </w:tabs>
        <w:rPr>
          <w:rFonts w:asciiTheme="minorHAnsi" w:hAnsiTheme="minorHAnsi"/>
          <w:noProof/>
          <w:sz w:val="22"/>
        </w:rPr>
      </w:pPr>
      <w:hyperlink w:anchor="_Toc256000578" w:history="1">
        <w:r>
          <w:rPr>
            <w:rStyle w:val="Hyperlink"/>
          </w:rPr>
          <w:t>Test the VCF Automation Connection to a Remote Server and Establish a Trust Relationship Using the Provider Management Portal</w:t>
        </w:r>
        <w:r>
          <w:tab/>
        </w:r>
        <w:r>
          <w:fldChar w:fldCharType="begin"/>
        </w:r>
        <w:r>
          <w:instrText xml:space="preserve"> PAGEREF _Toc256000578 \h </w:instrText>
        </w:r>
        <w:r>
          <w:fldChar w:fldCharType="separate"/>
        </w:r>
        <w:r>
          <w:t>126</w:t>
        </w:r>
        <w:r>
          <w:fldChar w:fldCharType="end"/>
        </w:r>
      </w:hyperlink>
    </w:p>
    <w:p>
      <w:pPr>
        <w:pStyle w:val="TOC2"/>
        <w:tabs>
          <w:tab w:val="right" w:leader="dot" w:pos="9950"/>
        </w:tabs>
        <w:rPr>
          <w:rFonts w:asciiTheme="minorHAnsi" w:hAnsiTheme="minorHAnsi"/>
          <w:noProof/>
          <w:sz w:val="22"/>
        </w:rPr>
      </w:pPr>
      <w:hyperlink w:anchor="_Toc256000579" w:history="1">
        <w:r>
          <w:rPr>
            <w:rStyle w:val="Hyperlink"/>
          </w:rPr>
          <w:t>Import Trusted Certificates Using Your VCF Automation Provider Management Portal</w:t>
        </w:r>
        <w:r>
          <w:tab/>
        </w:r>
        <w:r>
          <w:fldChar w:fldCharType="begin"/>
        </w:r>
        <w:r>
          <w:instrText xml:space="preserve"> PAGEREF _Toc256000579 \h </w:instrText>
        </w:r>
        <w:r>
          <w:fldChar w:fldCharType="separate"/>
        </w:r>
        <w:r>
          <w:t>127</w:t>
        </w:r>
        <w:r>
          <w:fldChar w:fldCharType="end"/>
        </w:r>
      </w:hyperlink>
    </w:p>
    <w:p>
      <w:pPr>
        <w:pStyle w:val="TOC2"/>
        <w:tabs>
          <w:tab w:val="right" w:leader="dot" w:pos="9950"/>
        </w:tabs>
        <w:rPr>
          <w:rFonts w:asciiTheme="minorHAnsi" w:hAnsiTheme="minorHAnsi"/>
          <w:noProof/>
          <w:sz w:val="22"/>
        </w:rPr>
      </w:pPr>
      <w:hyperlink w:anchor="_Toc256000580" w:history="1">
        <w:r>
          <w:rPr>
            <w:rStyle w:val="Hyperlink"/>
          </w:rPr>
          <w:t>Import Certificates to the Certificates Library Using Your VCF Automation Provider Management Portal</w:t>
        </w:r>
        <w:r>
          <w:tab/>
        </w:r>
        <w:r>
          <w:fldChar w:fldCharType="begin"/>
        </w:r>
        <w:r>
          <w:instrText xml:space="preserve"> PAGEREF _Toc256000580 \h </w:instrText>
        </w:r>
        <w:r>
          <w:fldChar w:fldCharType="separate"/>
        </w:r>
        <w:r>
          <w:t>128</w:t>
        </w:r>
        <w:r>
          <w:fldChar w:fldCharType="end"/>
        </w:r>
      </w:hyperlink>
    </w:p>
    <w:p>
      <w:pPr>
        <w:pStyle w:val="TOC1"/>
        <w:tabs>
          <w:tab w:val="left" w:pos="660"/>
          <w:tab w:val="right" w:leader="dot" w:pos="9950"/>
        </w:tabs>
        <w:rPr>
          <w:rFonts w:asciiTheme="minorHAnsi" w:hAnsiTheme="minorHAnsi"/>
          <w:noProof/>
          <w:sz w:val="22"/>
        </w:rPr>
      </w:pPr>
      <w:hyperlink w:anchor="_Toc256000581" w:history="1">
        <w:r>
          <w:rPr>
            <w:rStyle w:val="Hyperlink"/>
          </w:rPr>
          <w:t>11.</w:t>
        </w:r>
        <w:r>
          <w:rPr>
            <w:rFonts w:asciiTheme="minorHAnsi" w:hAnsiTheme="minorHAnsi"/>
            <w:noProof/>
            <w:sz w:val="22"/>
          </w:rPr>
          <w:tab/>
        </w:r>
        <w:r>
          <w:rPr>
            <w:rStyle w:val="Hyperlink"/>
          </w:rPr>
          <w:t>Using Services with VCF Automation</w:t>
        </w:r>
        <w:r>
          <w:tab/>
        </w:r>
        <w:r>
          <w:fldChar w:fldCharType="begin"/>
        </w:r>
        <w:r>
          <w:instrText xml:space="preserve"> PAGEREF _Toc256000581 \h </w:instrText>
        </w:r>
        <w:r>
          <w:fldChar w:fldCharType="separate"/>
        </w:r>
        <w:r>
          <w:t>130</w:t>
        </w:r>
        <w:r>
          <w:fldChar w:fldCharType="end"/>
        </w:r>
      </w:hyperlink>
    </w:p>
    <w:p>
      <w:pPr>
        <w:pStyle w:val="TOC2"/>
        <w:tabs>
          <w:tab w:val="right" w:leader="dot" w:pos="9950"/>
        </w:tabs>
        <w:rPr>
          <w:rFonts w:asciiTheme="minorHAnsi" w:hAnsiTheme="minorHAnsi"/>
          <w:noProof/>
          <w:sz w:val="22"/>
        </w:rPr>
      </w:pPr>
      <w:hyperlink w:anchor="_Toc256000582" w:history="1">
        <w:r>
          <w:rPr>
            <w:rStyle w:val="Hyperlink"/>
          </w:rPr>
          <w:t>Upload a Service to Your VCF Automation</w:t>
        </w:r>
        <w:r>
          <w:tab/>
        </w:r>
        <w:r>
          <w:fldChar w:fldCharType="begin"/>
        </w:r>
        <w:r>
          <w:instrText xml:space="preserve"> PAGEREF _Toc256000582 \h </w:instrText>
        </w:r>
        <w:r>
          <w:fldChar w:fldCharType="separate"/>
        </w:r>
        <w:r>
          <w:t>130</w:t>
        </w:r>
        <w:r>
          <w:fldChar w:fldCharType="end"/>
        </w:r>
      </w:hyperlink>
    </w:p>
    <w:p>
      <w:pPr>
        <w:pStyle w:val="TOC2"/>
        <w:tabs>
          <w:tab w:val="right" w:leader="dot" w:pos="9950"/>
        </w:tabs>
        <w:rPr>
          <w:rFonts w:asciiTheme="minorHAnsi" w:hAnsiTheme="minorHAnsi"/>
          <w:noProof/>
          <w:sz w:val="22"/>
        </w:rPr>
      </w:pPr>
      <w:hyperlink w:anchor="_Toc256000583" w:history="1">
        <w:r>
          <w:rPr>
            <w:rStyle w:val="Hyperlink"/>
          </w:rPr>
          <w:t>Install an Instance of a Service to Your VCF Automation</w:t>
        </w:r>
        <w:r>
          <w:tab/>
        </w:r>
        <w:r>
          <w:fldChar w:fldCharType="begin"/>
        </w:r>
        <w:r>
          <w:instrText xml:space="preserve"> PAGEREF _Toc256000583 \h </w:instrText>
        </w:r>
        <w:r>
          <w:fldChar w:fldCharType="separate"/>
        </w:r>
        <w:r>
          <w:t>131</w:t>
        </w:r>
        <w:r>
          <w:fldChar w:fldCharType="end"/>
        </w:r>
      </w:hyperlink>
    </w:p>
    <w:p>
      <w:pPr>
        <w:pStyle w:val="TOC2"/>
        <w:tabs>
          <w:tab w:val="right" w:leader="dot" w:pos="9950"/>
        </w:tabs>
        <w:rPr>
          <w:rFonts w:asciiTheme="minorHAnsi" w:hAnsiTheme="minorHAnsi"/>
          <w:noProof/>
          <w:sz w:val="22"/>
        </w:rPr>
      </w:pPr>
      <w:hyperlink w:anchor="_Toc256000584" w:history="1">
        <w:r>
          <w:rPr>
            <w:rStyle w:val="Hyperlink"/>
          </w:rPr>
          <w:t>Upgrade a Service Instance in VCF Automation</w:t>
        </w:r>
        <w:r>
          <w:tab/>
        </w:r>
        <w:r>
          <w:fldChar w:fldCharType="begin"/>
        </w:r>
        <w:r>
          <w:instrText xml:space="preserve"> PAGEREF _Toc256000584 \h </w:instrText>
        </w:r>
        <w:r>
          <w:fldChar w:fldCharType="separate"/>
        </w:r>
        <w:r>
          <w:t>132</w:t>
        </w:r>
        <w:r>
          <w:fldChar w:fldCharType="end"/>
        </w:r>
      </w:hyperlink>
    </w:p>
    <w:p>
      <w:pPr>
        <w:pStyle w:val="TOC3"/>
        <w:tabs>
          <w:tab w:val="right" w:leader="dot" w:pos="9950"/>
        </w:tabs>
        <w:rPr>
          <w:rFonts w:asciiTheme="minorHAnsi" w:hAnsiTheme="minorHAnsi"/>
          <w:noProof/>
          <w:sz w:val="22"/>
        </w:rPr>
      </w:pPr>
      <w:hyperlink w:anchor="_Toc256000585" w:history="1">
        <w:r>
          <w:rPr>
            <w:rStyle w:val="Hyperlink"/>
          </w:rPr>
          <w:t>Roll Back a Failed Upgrade of a Service Instance in VCF Automation</w:t>
        </w:r>
        <w:r>
          <w:tab/>
        </w:r>
        <w:r>
          <w:fldChar w:fldCharType="begin"/>
        </w:r>
        <w:r>
          <w:instrText xml:space="preserve"> PAGEREF _Toc256000585 \h </w:instrText>
        </w:r>
        <w:r>
          <w:fldChar w:fldCharType="separate"/>
        </w:r>
        <w:r>
          <w:t>133</w:t>
        </w:r>
        <w:r>
          <w:fldChar w:fldCharType="end"/>
        </w:r>
      </w:hyperlink>
    </w:p>
    <w:p>
      <w:pPr>
        <w:pStyle w:val="TOC2"/>
        <w:tabs>
          <w:tab w:val="right" w:leader="dot" w:pos="9950"/>
        </w:tabs>
        <w:rPr>
          <w:rFonts w:asciiTheme="minorHAnsi" w:hAnsiTheme="minorHAnsi"/>
          <w:noProof/>
          <w:sz w:val="22"/>
        </w:rPr>
      </w:pPr>
      <w:hyperlink w:anchor="_Toc256000586" w:history="1">
        <w:r>
          <w:rPr>
            <w:rStyle w:val="Hyperlink"/>
          </w:rPr>
          <w:t>Publish a Service Instance To a VCF Automation Organization</w:t>
        </w:r>
        <w:r>
          <w:tab/>
        </w:r>
        <w:r>
          <w:fldChar w:fldCharType="begin"/>
        </w:r>
        <w:r>
          <w:instrText xml:space="preserve"> PAGEREF _Toc256000586 \h </w:instrText>
        </w:r>
        <w:r>
          <w:fldChar w:fldCharType="separate"/>
        </w:r>
        <w:r>
          <w:t>133</w:t>
        </w:r>
        <w:r>
          <w:fldChar w:fldCharType="end"/>
        </w:r>
      </w:hyperlink>
    </w:p>
    <w:p>
      <w:pPr>
        <w:pStyle w:val="TOC2"/>
        <w:tabs>
          <w:tab w:val="right" w:leader="dot" w:pos="9950"/>
        </w:tabs>
        <w:rPr>
          <w:rFonts w:asciiTheme="minorHAnsi" w:hAnsiTheme="minorHAnsi"/>
          <w:noProof/>
          <w:sz w:val="22"/>
        </w:rPr>
      </w:pPr>
      <w:hyperlink w:anchor="_Toc256000587" w:history="1">
        <w:r>
          <w:rPr>
            <w:rStyle w:val="Hyperlink"/>
          </w:rPr>
          <w:t>Unpublish a Service Instance from a VCF Automation Organization</w:t>
        </w:r>
        <w:r>
          <w:tab/>
        </w:r>
        <w:r>
          <w:fldChar w:fldCharType="begin"/>
        </w:r>
        <w:r>
          <w:instrText xml:space="preserve"> PAGEREF _Toc256000587 \h </w:instrText>
        </w:r>
        <w:r>
          <w:fldChar w:fldCharType="separate"/>
        </w:r>
        <w:r>
          <w:t>134</w:t>
        </w:r>
        <w:r>
          <w:fldChar w:fldCharType="end"/>
        </w:r>
      </w:hyperlink>
    </w:p>
    <w:p>
      <w:pPr>
        <w:pStyle w:val="TOC1"/>
        <w:tabs>
          <w:tab w:val="left" w:pos="660"/>
          <w:tab w:val="right" w:leader="dot" w:pos="9950"/>
        </w:tabs>
        <w:rPr>
          <w:rFonts w:asciiTheme="minorHAnsi" w:hAnsiTheme="minorHAnsi"/>
          <w:noProof/>
          <w:sz w:val="22"/>
        </w:rPr>
      </w:pPr>
      <w:hyperlink w:anchor="_Toc256000588" w:history="1">
        <w:r>
          <w:rPr>
            <w:rStyle w:val="Hyperlink"/>
          </w:rPr>
          <w:t>12.</w:t>
        </w:r>
        <w:r>
          <w:rPr>
            <w:rFonts w:asciiTheme="minorHAnsi" w:hAnsiTheme="minorHAnsi"/>
            <w:noProof/>
            <w:sz w:val="22"/>
          </w:rPr>
          <w:tab/>
        </w:r>
        <w:r>
          <w:rPr>
            <w:rStyle w:val="Hyperlink"/>
          </w:rPr>
          <w:t>Managing Defined Entities in VCF Automation</w:t>
        </w:r>
        <w:r>
          <w:tab/>
        </w:r>
        <w:r>
          <w:fldChar w:fldCharType="begin"/>
        </w:r>
        <w:r>
          <w:instrText xml:space="preserve"> PAGEREF _Toc256000588 \h </w:instrText>
        </w:r>
        <w:r>
          <w:fldChar w:fldCharType="separate"/>
        </w:r>
        <w:r>
          <w:t>135</w:t>
        </w:r>
        <w:r>
          <w:fldChar w:fldCharType="end"/>
        </w:r>
      </w:hyperlink>
    </w:p>
    <w:p>
      <w:pPr>
        <w:pStyle w:val="TOC2"/>
        <w:tabs>
          <w:tab w:val="right" w:leader="dot" w:pos="9950"/>
        </w:tabs>
        <w:rPr>
          <w:rFonts w:asciiTheme="minorHAnsi" w:hAnsiTheme="minorHAnsi"/>
          <w:noProof/>
          <w:sz w:val="22"/>
        </w:rPr>
      </w:pPr>
      <w:hyperlink w:anchor="_Toc256000589" w:history="1">
        <w:r>
          <w:rPr>
            <w:rStyle w:val="Hyperlink"/>
          </w:rPr>
          <w:t>Defined Entity Type</w:t>
        </w:r>
        <w:r>
          <w:tab/>
        </w:r>
        <w:r>
          <w:fldChar w:fldCharType="begin"/>
        </w:r>
        <w:r>
          <w:instrText xml:space="preserve"> PAGEREF _Toc256000589 \h </w:instrText>
        </w:r>
        <w:r>
          <w:fldChar w:fldCharType="separate"/>
        </w:r>
        <w:r>
          <w:t>135</w:t>
        </w:r>
        <w:r>
          <w:fldChar w:fldCharType="end"/>
        </w:r>
      </w:hyperlink>
    </w:p>
    <w:p>
      <w:pPr>
        <w:pStyle w:val="TOC2"/>
        <w:tabs>
          <w:tab w:val="right" w:leader="dot" w:pos="9950"/>
        </w:tabs>
        <w:rPr>
          <w:rFonts w:asciiTheme="minorHAnsi" w:hAnsiTheme="minorHAnsi"/>
          <w:noProof/>
          <w:sz w:val="22"/>
        </w:rPr>
      </w:pPr>
      <w:hyperlink w:anchor="_Toc256000590" w:history="1">
        <w:r>
          <w:rPr>
            <w:rStyle w:val="Hyperlink"/>
          </w:rPr>
          <w:t>Interfaces and Behaviors</w:t>
        </w:r>
        <w:r>
          <w:tab/>
        </w:r>
        <w:r>
          <w:fldChar w:fldCharType="begin"/>
        </w:r>
        <w:r>
          <w:instrText xml:space="preserve"> PAGEREF _Toc256000590 \h </w:instrText>
        </w:r>
        <w:r>
          <w:fldChar w:fldCharType="separate"/>
        </w:r>
        <w:r>
          <w:t>136</w:t>
        </w:r>
        <w:r>
          <w:fldChar w:fldCharType="end"/>
        </w:r>
      </w:hyperlink>
    </w:p>
    <w:p>
      <w:pPr>
        <w:pStyle w:val="TOC2"/>
        <w:tabs>
          <w:tab w:val="right" w:leader="dot" w:pos="9950"/>
        </w:tabs>
        <w:rPr>
          <w:rFonts w:asciiTheme="minorHAnsi" w:hAnsiTheme="minorHAnsi"/>
          <w:noProof/>
          <w:sz w:val="22"/>
        </w:rPr>
      </w:pPr>
      <w:hyperlink w:anchor="_Toc256000591" w:history="1">
        <w:r>
          <w:rPr>
            <w:rStyle w:val="Hyperlink"/>
          </w:rPr>
          <w:t>Creating a Runtime Defined Entity</w:t>
        </w:r>
        <w:r>
          <w:tab/>
        </w:r>
        <w:r>
          <w:fldChar w:fldCharType="begin"/>
        </w:r>
        <w:r>
          <w:instrText xml:space="preserve"> PAGEREF _Toc256000591 \h </w:instrText>
        </w:r>
        <w:r>
          <w:fldChar w:fldCharType="separate"/>
        </w:r>
        <w:r>
          <w:t>136</w:t>
        </w:r>
        <w:r>
          <w:fldChar w:fldCharType="end"/>
        </w:r>
      </w:hyperlink>
    </w:p>
    <w:p>
      <w:pPr>
        <w:pStyle w:val="TOC2"/>
        <w:tabs>
          <w:tab w:val="right" w:leader="dot" w:pos="9950"/>
        </w:tabs>
        <w:rPr>
          <w:rFonts w:asciiTheme="minorHAnsi" w:hAnsiTheme="minorHAnsi"/>
          <w:noProof/>
          <w:sz w:val="22"/>
        </w:rPr>
      </w:pPr>
      <w:hyperlink w:anchor="_Toc256000592" w:history="1">
        <w:r>
          <w:rPr>
            <w:rStyle w:val="Hyperlink"/>
          </w:rPr>
          <w:t>Sample API Call to Create a Defined Entity</w:t>
        </w:r>
        <w:r>
          <w:tab/>
        </w:r>
        <w:r>
          <w:fldChar w:fldCharType="begin"/>
        </w:r>
        <w:r>
          <w:instrText xml:space="preserve"> PAGEREF _Toc256000592 \h </w:instrText>
        </w:r>
        <w:r>
          <w:fldChar w:fldCharType="separate"/>
        </w:r>
        <w:r>
          <w:t>137</w:t>
        </w:r>
        <w:r>
          <w:fldChar w:fldCharType="end"/>
        </w:r>
      </w:hyperlink>
    </w:p>
    <w:p>
      <w:pPr>
        <w:pStyle w:val="TOC2"/>
        <w:tabs>
          <w:tab w:val="right" w:leader="dot" w:pos="9950"/>
        </w:tabs>
        <w:rPr>
          <w:rFonts w:asciiTheme="minorHAnsi" w:hAnsiTheme="minorHAnsi"/>
          <w:noProof/>
          <w:sz w:val="22"/>
        </w:rPr>
      </w:pPr>
      <w:hyperlink w:anchor="_Toc256000593" w:history="1">
        <w:r>
          <w:rPr>
            <w:rStyle w:val="Hyperlink"/>
          </w:rPr>
          <w:t>Access to Defined Entity Instances</w:t>
        </w:r>
        <w:r>
          <w:tab/>
        </w:r>
        <w:r>
          <w:fldChar w:fldCharType="begin"/>
        </w:r>
        <w:r>
          <w:instrText xml:space="preserve"> PAGEREF _Toc256000593 \h </w:instrText>
        </w:r>
        <w:r>
          <w:fldChar w:fldCharType="separate"/>
        </w:r>
        <w:r>
          <w:t>137</w:t>
        </w:r>
        <w:r>
          <w:fldChar w:fldCharType="end"/>
        </w:r>
      </w:hyperlink>
    </w:p>
    <w:p>
      <w:pPr>
        <w:pStyle w:val="TOC2"/>
        <w:tabs>
          <w:tab w:val="right" w:leader="dot" w:pos="9950"/>
        </w:tabs>
        <w:rPr>
          <w:rFonts w:asciiTheme="minorHAnsi" w:hAnsiTheme="minorHAnsi"/>
          <w:noProof/>
          <w:sz w:val="22"/>
        </w:rPr>
      </w:pPr>
      <w:hyperlink w:anchor="_Toc256000594" w:history="1">
        <w:r>
          <w:rPr>
            <w:rStyle w:val="Hyperlink"/>
          </w:rPr>
          <w:t>Access to Defined Entity Interface and Type Operations</w:t>
        </w:r>
        <w:r>
          <w:tab/>
        </w:r>
        <w:r>
          <w:fldChar w:fldCharType="begin"/>
        </w:r>
        <w:r>
          <w:instrText xml:space="preserve"> PAGEREF _Toc256000594 \h </w:instrText>
        </w:r>
        <w:r>
          <w:fldChar w:fldCharType="separate"/>
        </w:r>
        <w:r>
          <w:t>138</w:t>
        </w:r>
        <w:r>
          <w:fldChar w:fldCharType="end"/>
        </w:r>
      </w:hyperlink>
    </w:p>
    <w:p>
      <w:pPr>
        <w:pStyle w:val="TOC2"/>
        <w:tabs>
          <w:tab w:val="right" w:leader="dot" w:pos="9950"/>
        </w:tabs>
        <w:rPr>
          <w:rFonts w:asciiTheme="minorHAnsi" w:hAnsiTheme="minorHAnsi"/>
          <w:noProof/>
          <w:sz w:val="22"/>
        </w:rPr>
      </w:pPr>
      <w:hyperlink w:anchor="_Toc256000595" w:history="1">
        <w:r>
          <w:rPr>
            <w:rStyle w:val="Hyperlink"/>
          </w:rPr>
          <w:t>Working with Runtime Defined Entities</w:t>
        </w:r>
        <w:r>
          <w:tab/>
        </w:r>
        <w:r>
          <w:fldChar w:fldCharType="begin"/>
        </w:r>
        <w:r>
          <w:instrText xml:space="preserve"> PAGEREF _Toc256000595 \h </w:instrText>
        </w:r>
        <w:r>
          <w:fldChar w:fldCharType="separate"/>
        </w:r>
        <w:r>
          <w:t>138</w:t>
        </w:r>
        <w:r>
          <w:fldChar w:fldCharType="end"/>
        </w:r>
      </w:hyperlink>
    </w:p>
    <w:p>
      <w:pPr>
        <w:pStyle w:val="TOC2"/>
        <w:tabs>
          <w:tab w:val="right" w:leader="dot" w:pos="9950"/>
        </w:tabs>
        <w:rPr>
          <w:rFonts w:asciiTheme="minorHAnsi" w:hAnsiTheme="minorHAnsi"/>
          <w:noProof/>
          <w:sz w:val="22"/>
        </w:rPr>
      </w:pPr>
      <w:hyperlink w:anchor="_Toc256000596" w:history="1">
        <w:r>
          <w:rPr>
            <w:rStyle w:val="Hyperlink"/>
          </w:rPr>
          <w:t>Sharing Defined Entities in VCF Automation</w:t>
        </w:r>
        <w:r>
          <w:tab/>
        </w:r>
        <w:r>
          <w:fldChar w:fldCharType="begin"/>
        </w:r>
        <w:r>
          <w:instrText xml:space="preserve"> PAGEREF _Toc256000596 \h </w:instrText>
        </w:r>
        <w:r>
          <w:fldChar w:fldCharType="separate"/>
        </w:r>
        <w:r>
          <w:t>139</w:t>
        </w:r>
        <w:r>
          <w:fldChar w:fldCharType="end"/>
        </w:r>
      </w:hyperlink>
    </w:p>
    <w:p>
      <w:pPr>
        <w:pStyle w:val="TOC3"/>
        <w:tabs>
          <w:tab w:val="right" w:leader="dot" w:pos="9950"/>
        </w:tabs>
        <w:rPr>
          <w:rFonts w:asciiTheme="minorHAnsi" w:hAnsiTheme="minorHAnsi"/>
          <w:noProof/>
          <w:sz w:val="22"/>
        </w:rPr>
      </w:pPr>
      <w:hyperlink w:anchor="_Toc256000597" w:history="1">
        <w:r>
          <w:rPr>
            <w:rStyle w:val="Hyperlink"/>
          </w:rPr>
          <w:t>Sharing Defined Entities with Another User</w:t>
        </w:r>
        <w:r>
          <w:tab/>
        </w:r>
        <w:r>
          <w:fldChar w:fldCharType="begin"/>
        </w:r>
        <w:r>
          <w:instrText xml:space="preserve"> PAGEREF _Toc256000597 \h </w:instrText>
        </w:r>
        <w:r>
          <w:fldChar w:fldCharType="separate"/>
        </w:r>
        <w:r>
          <w:t>139</w:t>
        </w:r>
        <w:r>
          <w:fldChar w:fldCharType="end"/>
        </w:r>
      </w:hyperlink>
    </w:p>
    <w:p>
      <w:pPr>
        <w:pStyle w:val="TOC3"/>
        <w:tabs>
          <w:tab w:val="right" w:leader="dot" w:pos="9950"/>
        </w:tabs>
        <w:rPr>
          <w:rFonts w:asciiTheme="minorHAnsi" w:hAnsiTheme="minorHAnsi"/>
          <w:noProof/>
          <w:sz w:val="22"/>
        </w:rPr>
      </w:pPr>
      <w:hyperlink w:anchor="_Toc256000598" w:history="1">
        <w:r>
          <w:rPr>
            <w:rStyle w:val="Hyperlink"/>
          </w:rPr>
          <w:t>Sharing Administrator Rights to Defined Entities</w:t>
        </w:r>
        <w:r>
          <w:tab/>
        </w:r>
        <w:r>
          <w:fldChar w:fldCharType="begin"/>
        </w:r>
        <w:r>
          <w:instrText xml:space="preserve"> PAGEREF _Toc256000598 \h </w:instrText>
        </w:r>
        <w:r>
          <w:fldChar w:fldCharType="separate"/>
        </w:r>
        <w:r>
          <w:t>139</w:t>
        </w:r>
        <w:r>
          <w:fldChar w:fldCharType="end"/>
        </w:r>
      </w:hyperlink>
    </w:p>
    <w:p>
      <w:pPr>
        <w:pStyle w:val="TOC3"/>
        <w:tabs>
          <w:tab w:val="right" w:leader="dot" w:pos="9950"/>
        </w:tabs>
        <w:rPr>
          <w:rFonts w:asciiTheme="minorHAnsi" w:hAnsiTheme="minorHAnsi"/>
          <w:noProof/>
          <w:sz w:val="22"/>
        </w:rPr>
      </w:pPr>
      <w:hyperlink w:anchor="_Toc256000599" w:history="1">
        <w:r>
          <w:rPr>
            <w:rStyle w:val="Hyperlink"/>
          </w:rPr>
          <w:t>Changing the Owner of a Defined Entity</w:t>
        </w:r>
        <w:r>
          <w:tab/>
        </w:r>
        <w:r>
          <w:fldChar w:fldCharType="begin"/>
        </w:r>
        <w:r>
          <w:instrText xml:space="preserve"> PAGEREF _Toc256000599 \h </w:instrText>
        </w:r>
        <w:r>
          <w:fldChar w:fldCharType="separate"/>
        </w:r>
        <w:r>
          <w:t>140</w:t>
        </w:r>
        <w:r>
          <w:fldChar w:fldCharType="end"/>
        </w:r>
      </w:hyperlink>
    </w:p>
    <w:p>
      <w:pPr>
        <w:pStyle w:val="TOC2"/>
        <w:tabs>
          <w:tab w:val="right" w:leader="dot" w:pos="9950"/>
        </w:tabs>
        <w:rPr>
          <w:rFonts w:asciiTheme="minorHAnsi" w:hAnsiTheme="minorHAnsi"/>
          <w:noProof/>
          <w:sz w:val="22"/>
        </w:rPr>
      </w:pPr>
      <w:hyperlink w:anchor="_Toc256000600" w:history="1">
        <w:r>
          <w:rPr>
            <w:rStyle w:val="Hyperlink"/>
          </w:rPr>
          <w:t>VCF Automation Webhook Behaviors</w:t>
        </w:r>
        <w:r>
          <w:tab/>
        </w:r>
        <w:r>
          <w:fldChar w:fldCharType="begin"/>
        </w:r>
        <w:r>
          <w:instrText xml:space="preserve"> PAGEREF _Toc256000600 \h </w:instrText>
        </w:r>
        <w:r>
          <w:fldChar w:fldCharType="separate"/>
        </w:r>
        <w:r>
          <w:t>140</w:t>
        </w:r>
        <w:r>
          <w:fldChar w:fldCharType="end"/>
        </w:r>
      </w:hyperlink>
    </w:p>
    <w:p>
      <w:pPr>
        <w:pStyle w:val="TOC3"/>
        <w:tabs>
          <w:tab w:val="right" w:leader="dot" w:pos="9950"/>
        </w:tabs>
        <w:rPr>
          <w:rFonts w:asciiTheme="minorHAnsi" w:hAnsiTheme="minorHAnsi"/>
          <w:noProof/>
          <w:sz w:val="22"/>
        </w:rPr>
      </w:pPr>
      <w:hyperlink w:anchor="_Toc256000601" w:history="1">
        <w:r>
          <w:rPr>
            <w:rStyle w:val="Hyperlink"/>
          </w:rPr>
          <w:t>Creating Webhook Behaviors</w:t>
        </w:r>
        <w:r>
          <w:tab/>
        </w:r>
        <w:r>
          <w:fldChar w:fldCharType="begin"/>
        </w:r>
        <w:r>
          <w:instrText xml:space="preserve"> PAGEREF _Toc256000601 \h </w:instrText>
        </w:r>
        <w:r>
          <w:fldChar w:fldCharType="separate"/>
        </w:r>
        <w:r>
          <w:t>141</w:t>
        </w:r>
        <w:r>
          <w:fldChar w:fldCharType="end"/>
        </w:r>
      </w:hyperlink>
    </w:p>
    <w:p>
      <w:pPr>
        <w:pStyle w:val="TOC3"/>
        <w:tabs>
          <w:tab w:val="right" w:leader="dot" w:pos="9950"/>
        </w:tabs>
        <w:rPr>
          <w:rFonts w:asciiTheme="minorHAnsi" w:hAnsiTheme="minorHAnsi"/>
          <w:noProof/>
          <w:sz w:val="22"/>
        </w:rPr>
      </w:pPr>
      <w:hyperlink w:anchor="_Toc256000602" w:history="1">
        <w:r>
          <w:rPr>
            <w:rStyle w:val="Hyperlink"/>
          </w:rPr>
          <w:t>Payload From VCF Automation to the Webhook Server</w:t>
        </w:r>
        <w:r>
          <w:tab/>
        </w:r>
        <w:r>
          <w:fldChar w:fldCharType="begin"/>
        </w:r>
        <w:r>
          <w:instrText xml:space="preserve"> PAGEREF _Toc256000602 \h </w:instrText>
        </w:r>
        <w:r>
          <w:fldChar w:fldCharType="separate"/>
        </w:r>
        <w:r>
          <w:t>141</w:t>
        </w:r>
        <w:r>
          <w:fldChar w:fldCharType="end"/>
        </w:r>
      </w:hyperlink>
    </w:p>
    <w:p>
      <w:pPr>
        <w:pStyle w:val="TOC3"/>
        <w:tabs>
          <w:tab w:val="right" w:leader="dot" w:pos="9950"/>
        </w:tabs>
        <w:rPr>
          <w:rFonts w:asciiTheme="minorHAnsi" w:hAnsiTheme="minorHAnsi"/>
          <w:noProof/>
          <w:sz w:val="22"/>
        </w:rPr>
      </w:pPr>
      <w:hyperlink w:anchor="_Toc256000603" w:history="1">
        <w:r>
          <w:rPr>
            <w:rStyle w:val="Hyperlink"/>
          </w:rPr>
          <w:t>Payload From the Webhook Server to VCF Automation</w:t>
        </w:r>
        <w:r>
          <w:tab/>
        </w:r>
        <w:r>
          <w:fldChar w:fldCharType="begin"/>
        </w:r>
        <w:r>
          <w:instrText xml:space="preserve"> PAGEREF _Toc256000603 \h </w:instrText>
        </w:r>
        <w:r>
          <w:fldChar w:fldCharType="separate"/>
        </w:r>
        <w:r>
          <w:t>143</w:t>
        </w:r>
        <w:r>
          <w:fldChar w:fldCharType="end"/>
        </w:r>
      </w:hyperlink>
    </w:p>
    <w:p>
      <w:pPr>
        <w:pStyle w:val="TOC3"/>
        <w:tabs>
          <w:tab w:val="right" w:leader="dot" w:pos="9950"/>
        </w:tabs>
        <w:rPr>
          <w:rFonts w:asciiTheme="minorHAnsi" w:hAnsiTheme="minorHAnsi"/>
          <w:noProof/>
          <w:sz w:val="22"/>
        </w:rPr>
      </w:pPr>
      <w:hyperlink w:anchor="_Toc256000604" w:history="1">
        <w:r>
          <w:rPr>
            <w:rStyle w:val="Hyperlink"/>
          </w:rPr>
          <w:t>Authentication of the Webhook Behavior Requests</w:t>
        </w:r>
        <w:r>
          <w:tab/>
        </w:r>
        <w:r>
          <w:fldChar w:fldCharType="begin"/>
        </w:r>
        <w:r>
          <w:instrText xml:space="preserve"> PAGEREF _Toc256000604 \h </w:instrText>
        </w:r>
        <w:r>
          <w:fldChar w:fldCharType="separate"/>
        </w:r>
        <w:r>
          <w:t>144</w:t>
        </w:r>
        <w:r>
          <w:fldChar w:fldCharType="end"/>
        </w:r>
      </w:hyperlink>
    </w:p>
    <w:p>
      <w:pPr>
        <w:pStyle w:val="TOC3"/>
        <w:tabs>
          <w:tab w:val="right" w:leader="dot" w:pos="9950"/>
        </w:tabs>
        <w:rPr>
          <w:rFonts w:asciiTheme="minorHAnsi" w:hAnsiTheme="minorHAnsi"/>
          <w:noProof/>
          <w:sz w:val="22"/>
        </w:rPr>
      </w:pPr>
      <w:hyperlink w:anchor="_Toc256000605" w:history="1">
        <w:r>
          <w:rPr>
            <w:rStyle w:val="Hyperlink"/>
          </w:rPr>
          <w:t>Invoking Webhook Behaviors</w:t>
        </w:r>
        <w:r>
          <w:tab/>
        </w:r>
        <w:r>
          <w:fldChar w:fldCharType="begin"/>
        </w:r>
        <w:r>
          <w:instrText xml:space="preserve"> PAGEREF _Toc256000605 \h </w:instrText>
        </w:r>
        <w:r>
          <w:fldChar w:fldCharType="separate"/>
        </w:r>
        <w:r>
          <w:t>145</w:t>
        </w:r>
        <w:r>
          <w:fldChar w:fldCharType="end"/>
        </w:r>
      </w:hyperlink>
    </w:p>
    <w:p>
      <w:pPr>
        <w:pStyle w:val="TOC2"/>
        <w:tabs>
          <w:tab w:val="right" w:leader="dot" w:pos="9950"/>
        </w:tabs>
        <w:rPr>
          <w:rFonts w:asciiTheme="minorHAnsi" w:hAnsiTheme="minorHAnsi"/>
          <w:noProof/>
          <w:sz w:val="22"/>
        </w:rPr>
      </w:pPr>
      <w:hyperlink w:anchor="_Toc256000606" w:history="1">
        <w:r>
          <w:rPr>
            <w:rStyle w:val="Hyperlink"/>
          </w:rPr>
          <w:t>Change a Service Category Using Your VCF Automation</w:t>
        </w:r>
        <w:r>
          <w:tab/>
        </w:r>
        <w:r>
          <w:fldChar w:fldCharType="begin"/>
        </w:r>
        <w:r>
          <w:instrText xml:space="preserve"> PAGEREF _Toc256000606 \h </w:instrText>
        </w:r>
        <w:r>
          <w:fldChar w:fldCharType="separate"/>
        </w:r>
        <w:r>
          <w:t>145</w:t>
        </w:r>
        <w:r>
          <w:fldChar w:fldCharType="end"/>
        </w:r>
      </w:hyperlink>
    </w:p>
    <w:p>
      <w:pPr>
        <w:pStyle w:val="TOC2"/>
        <w:tabs>
          <w:tab w:val="right" w:leader="dot" w:pos="9950"/>
        </w:tabs>
        <w:rPr>
          <w:rFonts w:asciiTheme="minorHAnsi" w:hAnsiTheme="minorHAnsi"/>
          <w:noProof/>
          <w:sz w:val="22"/>
        </w:rPr>
      </w:pPr>
      <w:hyperlink w:anchor="_Toc256000607" w:history="1">
        <w:r>
          <w:rPr>
            <w:rStyle w:val="Hyperlink"/>
          </w:rPr>
          <w:t>Unregister a Service From VCF Automation</w:t>
        </w:r>
        <w:r>
          <w:tab/>
        </w:r>
        <w:r>
          <w:fldChar w:fldCharType="begin"/>
        </w:r>
        <w:r>
          <w:instrText xml:space="preserve"> PAGEREF _Toc256000607 \h </w:instrText>
        </w:r>
        <w:r>
          <w:fldChar w:fldCharType="separate"/>
        </w:r>
        <w:r>
          <w:t>145</w:t>
        </w:r>
        <w:r>
          <w:fldChar w:fldCharType="end"/>
        </w:r>
      </w:hyperlink>
    </w:p>
    <w:p>
      <w:pPr>
        <w:pStyle w:val="TOC2"/>
        <w:tabs>
          <w:tab w:val="right" w:leader="dot" w:pos="9950"/>
        </w:tabs>
        <w:rPr>
          <w:rFonts w:asciiTheme="minorHAnsi" w:hAnsiTheme="minorHAnsi"/>
          <w:noProof/>
          <w:sz w:val="22"/>
        </w:rPr>
      </w:pPr>
      <w:hyperlink w:anchor="_Toc256000608" w:history="1">
        <w:r>
          <w:rPr>
            <w:rStyle w:val="Hyperlink"/>
          </w:rPr>
          <w:t>Publish a Service to Your VCF Automation</w:t>
        </w:r>
        <w:r>
          <w:tab/>
        </w:r>
        <w:r>
          <w:fldChar w:fldCharType="begin"/>
        </w:r>
        <w:r>
          <w:instrText xml:space="preserve"> PAGEREF _Toc256000608 \h </w:instrText>
        </w:r>
        <w:r>
          <w:fldChar w:fldCharType="separate"/>
        </w:r>
        <w:r>
          <w:t>145</w:t>
        </w:r>
        <w:r>
          <w:fldChar w:fldCharType="end"/>
        </w:r>
      </w:hyperlink>
    </w:p>
    <w:p>
      <w:pPr>
        <w:pStyle w:val="TOC1"/>
        <w:tabs>
          <w:tab w:val="left" w:pos="660"/>
          <w:tab w:val="right" w:leader="dot" w:pos="9950"/>
        </w:tabs>
        <w:rPr>
          <w:rFonts w:asciiTheme="minorHAnsi" w:hAnsiTheme="minorHAnsi"/>
          <w:noProof/>
          <w:sz w:val="22"/>
        </w:rPr>
      </w:pPr>
      <w:hyperlink w:anchor="_Toc256000609" w:history="1">
        <w:r>
          <w:rPr>
            <w:rStyle w:val="Hyperlink"/>
          </w:rPr>
          <w:t>13.</w:t>
        </w:r>
        <w:r>
          <w:rPr>
            <w:rFonts w:asciiTheme="minorHAnsi" w:hAnsiTheme="minorHAnsi"/>
            <w:noProof/>
            <w:sz w:val="22"/>
          </w:rPr>
          <w:tab/>
        </w:r>
        <w:r>
          <w:rPr>
            <w:rStyle w:val="Hyperlink"/>
          </w:rPr>
          <w:t>Managing Networking Resources in the VCF Automation Provider Management Portal</w:t>
        </w:r>
        <w:r>
          <w:tab/>
        </w:r>
        <w:r>
          <w:fldChar w:fldCharType="begin"/>
        </w:r>
        <w:r>
          <w:instrText xml:space="preserve"> PAGEREF _Toc256000609 \h </w:instrText>
        </w:r>
        <w:r>
          <w:fldChar w:fldCharType="separate"/>
        </w:r>
        <w:r>
          <w:t>147</w:t>
        </w:r>
        <w:r>
          <w:fldChar w:fldCharType="end"/>
        </w:r>
      </w:hyperlink>
    </w:p>
    <w:p>
      <w:pPr>
        <w:pStyle w:val="TOC2"/>
        <w:tabs>
          <w:tab w:val="right" w:leader="dot" w:pos="9950"/>
        </w:tabs>
        <w:rPr>
          <w:rFonts w:asciiTheme="minorHAnsi" w:hAnsiTheme="minorHAnsi"/>
          <w:noProof/>
          <w:sz w:val="22"/>
        </w:rPr>
      </w:pPr>
      <w:hyperlink w:anchor="_Toc256000610" w:history="1">
        <w:r>
          <w:rPr>
            <w:rStyle w:val="Hyperlink"/>
          </w:rPr>
          <w:t>Managing Provider Gateways in Your VCF Automation</w:t>
        </w:r>
        <w:r>
          <w:tab/>
        </w:r>
        <w:r>
          <w:fldChar w:fldCharType="begin"/>
        </w:r>
        <w:r>
          <w:instrText xml:space="preserve"> PAGEREF _Toc256000610 \h </w:instrText>
        </w:r>
        <w:r>
          <w:fldChar w:fldCharType="separate"/>
        </w:r>
        <w:r>
          <w:t>147</w:t>
        </w:r>
        <w:r>
          <w:fldChar w:fldCharType="end"/>
        </w:r>
      </w:hyperlink>
    </w:p>
    <w:p>
      <w:pPr>
        <w:pStyle w:val="TOC3"/>
        <w:tabs>
          <w:tab w:val="right" w:leader="dot" w:pos="9950"/>
        </w:tabs>
        <w:rPr>
          <w:rFonts w:asciiTheme="minorHAnsi" w:hAnsiTheme="minorHAnsi"/>
          <w:noProof/>
          <w:sz w:val="22"/>
        </w:rPr>
      </w:pPr>
      <w:hyperlink w:anchor="_Toc256000611" w:history="1">
        <w:r>
          <w:rPr>
            <w:rStyle w:val="Hyperlink"/>
          </w:rPr>
          <w:t>Add a Provider Gateway to Your VCF Automation</w:t>
        </w:r>
        <w:r>
          <w:tab/>
        </w:r>
        <w:r>
          <w:fldChar w:fldCharType="begin"/>
        </w:r>
        <w:r>
          <w:instrText xml:space="preserve"> PAGEREF _Toc256000611 \h </w:instrText>
        </w:r>
        <w:r>
          <w:fldChar w:fldCharType="separate"/>
        </w:r>
        <w:r>
          <w:t>147</w:t>
        </w:r>
        <w:r>
          <w:fldChar w:fldCharType="end"/>
        </w:r>
      </w:hyperlink>
    </w:p>
    <w:p>
      <w:pPr>
        <w:pStyle w:val="TOC3"/>
        <w:tabs>
          <w:tab w:val="right" w:leader="dot" w:pos="9950"/>
        </w:tabs>
        <w:rPr>
          <w:rFonts w:asciiTheme="minorHAnsi" w:hAnsiTheme="minorHAnsi"/>
          <w:noProof/>
          <w:sz w:val="22"/>
        </w:rPr>
      </w:pPr>
      <w:hyperlink w:anchor="_Toc256000612" w:history="1">
        <w:r>
          <w:rPr>
            <w:rStyle w:val="Hyperlink"/>
          </w:rPr>
          <w:t>Add an IP Space Uplink To a Provider Gateway in Your VCF Automation</w:t>
        </w:r>
        <w:r>
          <w:tab/>
        </w:r>
        <w:r>
          <w:fldChar w:fldCharType="begin"/>
        </w:r>
        <w:r>
          <w:instrText xml:space="preserve"> PAGEREF _Toc256000612 \h </w:instrText>
        </w:r>
        <w:r>
          <w:fldChar w:fldCharType="separate"/>
        </w:r>
        <w:r>
          <w:t>149</w:t>
        </w:r>
        <w:r>
          <w:fldChar w:fldCharType="end"/>
        </w:r>
      </w:hyperlink>
    </w:p>
    <w:p>
      <w:pPr>
        <w:pStyle w:val="TOC3"/>
        <w:tabs>
          <w:tab w:val="right" w:leader="dot" w:pos="9950"/>
        </w:tabs>
        <w:rPr>
          <w:rFonts w:asciiTheme="minorHAnsi" w:hAnsiTheme="minorHAnsi"/>
          <w:noProof/>
          <w:sz w:val="22"/>
        </w:rPr>
      </w:pPr>
      <w:hyperlink w:anchor="_Toc256000613" w:history="1">
        <w:r>
          <w:rPr>
            <w:rStyle w:val="Hyperlink"/>
          </w:rPr>
          <w:t>Migrate a Provider Gateway to Using IP Spaces in Your VCF Automation</w:t>
        </w:r>
        <w:r>
          <w:tab/>
        </w:r>
        <w:r>
          <w:fldChar w:fldCharType="begin"/>
        </w:r>
        <w:r>
          <w:instrText xml:space="preserve"> PAGEREF _Toc256000613 \h </w:instrText>
        </w:r>
        <w:r>
          <w:fldChar w:fldCharType="separate"/>
        </w:r>
        <w:r>
          <w:t>149</w:t>
        </w:r>
        <w:r>
          <w:fldChar w:fldCharType="end"/>
        </w:r>
      </w:hyperlink>
    </w:p>
    <w:p>
      <w:pPr>
        <w:pStyle w:val="TOC4"/>
        <w:tabs>
          <w:tab w:val="right" w:leader="dot" w:pos="9950"/>
        </w:tabs>
        <w:rPr>
          <w:rFonts w:asciiTheme="minorHAnsi" w:hAnsiTheme="minorHAnsi"/>
          <w:noProof/>
          <w:sz w:val="22"/>
        </w:rPr>
      </w:pPr>
      <w:hyperlink w:anchor="_Toc256000614" w:history="1">
        <w:r>
          <w:rPr>
            <w:rStyle w:val="Hyperlink"/>
          </w:rPr>
          <w:t xml:space="preserve">Example: </w:t>
        </w:r>
        <w:r>
          <w:rPr>
            <w:rStyle w:val="Hyperlink"/>
          </w:rPr>
          <w:t>Mapping IP Blocks and Static IP Pools to IP Spaces</w:t>
        </w:r>
        <w:r>
          <w:tab/>
        </w:r>
        <w:r>
          <w:fldChar w:fldCharType="begin"/>
        </w:r>
        <w:r>
          <w:instrText xml:space="preserve"> PAGEREF _Toc256000614 \h </w:instrText>
        </w:r>
        <w:r>
          <w:fldChar w:fldCharType="separate"/>
        </w:r>
        <w:r>
          <w:t>151</w:t>
        </w:r>
        <w:r>
          <w:fldChar w:fldCharType="end"/>
        </w:r>
      </w:hyperlink>
    </w:p>
    <w:p>
      <w:pPr>
        <w:pStyle w:val="TOC3"/>
        <w:tabs>
          <w:tab w:val="right" w:leader="dot" w:pos="9950"/>
        </w:tabs>
        <w:rPr>
          <w:rFonts w:asciiTheme="minorHAnsi" w:hAnsiTheme="minorHAnsi"/>
          <w:noProof/>
          <w:sz w:val="22"/>
        </w:rPr>
      </w:pPr>
      <w:hyperlink w:anchor="_Toc256000615" w:history="1">
        <w:r>
          <w:rPr>
            <w:rStyle w:val="Hyperlink"/>
          </w:rPr>
          <w:t>Autoconfigure BGP on a Provider Gateway in the VCF Automation Provider Management Portal</w:t>
        </w:r>
        <w:r>
          <w:tab/>
        </w:r>
        <w:r>
          <w:fldChar w:fldCharType="begin"/>
        </w:r>
        <w:r>
          <w:instrText xml:space="preserve"> PAGEREF _Toc256000615 \h </w:instrText>
        </w:r>
        <w:r>
          <w:fldChar w:fldCharType="separate"/>
        </w:r>
        <w:r>
          <w:t>152</w:t>
        </w:r>
        <w:r>
          <w:fldChar w:fldCharType="end"/>
        </w:r>
      </w:hyperlink>
    </w:p>
    <w:p>
      <w:pPr>
        <w:pStyle w:val="TOC3"/>
        <w:tabs>
          <w:tab w:val="right" w:leader="dot" w:pos="9950"/>
        </w:tabs>
        <w:rPr>
          <w:rFonts w:asciiTheme="minorHAnsi" w:hAnsiTheme="minorHAnsi"/>
          <w:noProof/>
          <w:sz w:val="22"/>
        </w:rPr>
      </w:pPr>
      <w:hyperlink w:anchor="_Toc256000616" w:history="1">
        <w:r>
          <w:rPr>
            <w:rStyle w:val="Hyperlink"/>
          </w:rPr>
          <w:t>Autoconfigure Default NAT and Firewall Rules on a Provider Gateway in Your VCF Automation</w:t>
        </w:r>
        <w:r>
          <w:tab/>
        </w:r>
        <w:r>
          <w:fldChar w:fldCharType="begin"/>
        </w:r>
        <w:r>
          <w:instrText xml:space="preserve"> PAGEREF _Toc256000616 \h </w:instrText>
        </w:r>
        <w:r>
          <w:fldChar w:fldCharType="separate"/>
        </w:r>
        <w:r>
          <w:t>152</w:t>
        </w:r>
        <w:r>
          <w:fldChar w:fldCharType="end"/>
        </w:r>
      </w:hyperlink>
    </w:p>
    <w:p>
      <w:pPr>
        <w:pStyle w:val="TOC3"/>
        <w:tabs>
          <w:tab w:val="right" w:leader="dot" w:pos="9950"/>
        </w:tabs>
        <w:rPr>
          <w:rFonts w:asciiTheme="minorHAnsi" w:hAnsiTheme="minorHAnsi"/>
          <w:noProof/>
          <w:sz w:val="22"/>
        </w:rPr>
      </w:pPr>
      <w:hyperlink w:anchor="_Toc256000617" w:history="1">
        <w:r>
          <w:rPr>
            <w:rStyle w:val="Hyperlink"/>
          </w:rPr>
          <w:t>Configure Route Advertisement Topology Intentions on a Provider Gateway in the VCF Automation Provider Management Portal</w:t>
        </w:r>
        <w:r>
          <w:tab/>
        </w:r>
        <w:r>
          <w:fldChar w:fldCharType="begin"/>
        </w:r>
        <w:r>
          <w:instrText xml:space="preserve"> PAGEREF _Toc256000617 \h </w:instrText>
        </w:r>
        <w:r>
          <w:fldChar w:fldCharType="separate"/>
        </w:r>
        <w:r>
          <w:t>154</w:t>
        </w:r>
        <w:r>
          <w:fldChar w:fldCharType="end"/>
        </w:r>
      </w:hyperlink>
    </w:p>
    <w:p>
      <w:pPr>
        <w:pStyle w:val="TOC3"/>
        <w:tabs>
          <w:tab w:val="right" w:leader="dot" w:pos="9950"/>
        </w:tabs>
        <w:rPr>
          <w:rFonts w:asciiTheme="minorHAnsi" w:hAnsiTheme="minorHAnsi"/>
          <w:noProof/>
          <w:sz w:val="22"/>
        </w:rPr>
      </w:pPr>
      <w:hyperlink w:anchor="_Toc256000618" w:history="1">
        <w:r>
          <w:rPr>
            <w:rStyle w:val="Hyperlink"/>
          </w:rPr>
          <w:t>Configure NAT and Firewall Service Intentions on a Provider Gateway in the VCF Automation Provider Management Portal</w:t>
        </w:r>
        <w:r>
          <w:tab/>
        </w:r>
        <w:r>
          <w:fldChar w:fldCharType="begin"/>
        </w:r>
        <w:r>
          <w:instrText xml:space="preserve"> PAGEREF _Toc256000618 \h </w:instrText>
        </w:r>
        <w:r>
          <w:fldChar w:fldCharType="separate"/>
        </w:r>
        <w:r>
          <w:t>155</w:t>
        </w:r>
        <w:r>
          <w:fldChar w:fldCharType="end"/>
        </w:r>
      </w:hyperlink>
    </w:p>
    <w:p>
      <w:pPr>
        <w:pStyle w:val="TOC3"/>
        <w:tabs>
          <w:tab w:val="right" w:leader="dot" w:pos="9950"/>
        </w:tabs>
        <w:rPr>
          <w:rFonts w:asciiTheme="minorHAnsi" w:hAnsiTheme="minorHAnsi"/>
          <w:noProof/>
          <w:sz w:val="22"/>
        </w:rPr>
      </w:pPr>
      <w:hyperlink w:anchor="_Toc256000619" w:history="1">
        <w:r>
          <w:rPr>
            <w:rStyle w:val="Hyperlink"/>
          </w:rPr>
          <w:t>Configure Firewall Rules on a Provider Gateway in the VCF Automation Provider Management Portal VMware Cloud Director Tenant Portal</w:t>
        </w:r>
        <w:r>
          <w:tab/>
        </w:r>
        <w:r>
          <w:fldChar w:fldCharType="begin"/>
        </w:r>
        <w:r>
          <w:instrText xml:space="preserve"> PAGEREF _Toc256000619 \h </w:instrText>
        </w:r>
        <w:r>
          <w:fldChar w:fldCharType="separate"/>
        </w:r>
        <w:r>
          <w:t>156</w:t>
        </w:r>
        <w:r>
          <w:fldChar w:fldCharType="end"/>
        </w:r>
      </w:hyperlink>
    </w:p>
    <w:p>
      <w:pPr>
        <w:pStyle w:val="TOC3"/>
        <w:tabs>
          <w:tab w:val="right" w:leader="dot" w:pos="9950"/>
        </w:tabs>
        <w:rPr>
          <w:rFonts w:asciiTheme="minorHAnsi" w:hAnsiTheme="minorHAnsi"/>
          <w:noProof/>
          <w:sz w:val="22"/>
        </w:rPr>
      </w:pPr>
      <w:hyperlink w:anchor="_Toc256000620" w:history="1">
        <w:r>
          <w:rPr>
            <w:rStyle w:val="Hyperlink"/>
          </w:rPr>
          <w:t>View the Provider Gateway Firewall Logs in the VCF Automation Provider Management Portal VMware Cloud Director Tenant Portal</w:t>
        </w:r>
        <w:r>
          <w:tab/>
        </w:r>
        <w:r>
          <w:fldChar w:fldCharType="begin"/>
        </w:r>
        <w:r>
          <w:instrText xml:space="preserve"> PAGEREF _Toc256000620 \h </w:instrText>
        </w:r>
        <w:r>
          <w:fldChar w:fldCharType="separate"/>
        </w:r>
        <w:r>
          <w:t>158</w:t>
        </w:r>
        <w:r>
          <w:fldChar w:fldCharType="end"/>
        </w:r>
      </w:hyperlink>
    </w:p>
    <w:p>
      <w:pPr>
        <w:pStyle w:val="TOC3"/>
        <w:tabs>
          <w:tab w:val="right" w:leader="dot" w:pos="9950"/>
        </w:tabs>
        <w:rPr>
          <w:rFonts w:asciiTheme="minorHAnsi" w:hAnsiTheme="minorHAnsi"/>
          <w:noProof/>
          <w:sz w:val="22"/>
        </w:rPr>
      </w:pPr>
      <w:hyperlink w:anchor="_Toc256000621" w:history="1">
        <w:r>
          <w:rPr>
            <w:rStyle w:val="Hyperlink"/>
          </w:rPr>
          <w:t>Configure NAT Rules on a Provider Gateway in the VCF Automation Provider Management Portal VMware Cloud Director Tenant Portal</w:t>
        </w:r>
        <w:r>
          <w:tab/>
        </w:r>
        <w:r>
          <w:fldChar w:fldCharType="begin"/>
        </w:r>
        <w:r>
          <w:instrText xml:space="preserve"> PAGEREF _Toc256000621 \h </w:instrText>
        </w:r>
        <w:r>
          <w:fldChar w:fldCharType="separate"/>
        </w:r>
        <w:r>
          <w:t>159</w:t>
        </w:r>
        <w:r>
          <w:fldChar w:fldCharType="end"/>
        </w:r>
      </w:hyperlink>
    </w:p>
    <w:p>
      <w:pPr>
        <w:pStyle w:val="TOC3"/>
        <w:tabs>
          <w:tab w:val="right" w:leader="dot" w:pos="9950"/>
        </w:tabs>
        <w:rPr>
          <w:rFonts w:asciiTheme="minorHAnsi" w:hAnsiTheme="minorHAnsi"/>
          <w:noProof/>
          <w:sz w:val="22"/>
        </w:rPr>
      </w:pPr>
      <w:hyperlink w:anchor="_Toc256000622" w:history="1">
        <w:r>
          <w:rPr>
            <w:rStyle w:val="Hyperlink"/>
          </w:rPr>
          <w:t>Configure BGP on a Provider Gateway That Uses IP Spaces in the VCF Automation Provider Management Portal</w:t>
        </w:r>
        <w:r>
          <w:tab/>
        </w:r>
        <w:r>
          <w:fldChar w:fldCharType="begin"/>
        </w:r>
        <w:r>
          <w:instrText xml:space="preserve"> PAGEREF _Toc256000622 \h </w:instrText>
        </w:r>
        <w:r>
          <w:fldChar w:fldCharType="separate"/>
        </w:r>
        <w:r>
          <w:t>162</w:t>
        </w:r>
        <w:r>
          <w:fldChar w:fldCharType="end"/>
        </w:r>
      </w:hyperlink>
    </w:p>
    <w:p>
      <w:pPr>
        <w:pStyle w:val="TOC4"/>
        <w:tabs>
          <w:tab w:val="right" w:leader="dot" w:pos="9950"/>
        </w:tabs>
        <w:rPr>
          <w:rFonts w:asciiTheme="minorHAnsi" w:hAnsiTheme="minorHAnsi"/>
          <w:noProof/>
          <w:sz w:val="22"/>
        </w:rPr>
      </w:pPr>
      <w:hyperlink w:anchor="_Toc256000623" w:history="1">
        <w:r>
          <w:rPr>
            <w:rStyle w:val="Hyperlink"/>
          </w:rPr>
          <w:t>Add a BGP Neighbor On Your Provider Gateway in the VCF Automation Provider Management Portal VMware Cloud Director Tenant Portal</w:t>
        </w:r>
        <w:r>
          <w:tab/>
        </w:r>
        <w:r>
          <w:fldChar w:fldCharType="begin"/>
        </w:r>
        <w:r>
          <w:instrText xml:space="preserve"> PAGEREF _Toc256000623 \h </w:instrText>
        </w:r>
        <w:r>
          <w:fldChar w:fldCharType="separate"/>
        </w:r>
        <w:r>
          <w:t>163</w:t>
        </w:r>
        <w:r>
          <w:fldChar w:fldCharType="end"/>
        </w:r>
      </w:hyperlink>
    </w:p>
    <w:p>
      <w:pPr>
        <w:pStyle w:val="TOC4"/>
        <w:tabs>
          <w:tab w:val="right" w:leader="dot" w:pos="9950"/>
        </w:tabs>
        <w:rPr>
          <w:rFonts w:asciiTheme="minorHAnsi" w:hAnsiTheme="minorHAnsi"/>
          <w:noProof/>
          <w:sz w:val="22"/>
        </w:rPr>
      </w:pPr>
      <w:hyperlink w:anchor="_Toc256000624" w:history="1">
        <w:r>
          <w:rPr>
            <w:rStyle w:val="Hyperlink"/>
          </w:rPr>
          <w:t>Configure an IP Prefix List on Your Provider Gateway in the VCF Automation Provider Management Portal VMware Cloud Director Tenant Portal</w:t>
        </w:r>
        <w:r>
          <w:tab/>
        </w:r>
        <w:r>
          <w:fldChar w:fldCharType="begin"/>
        </w:r>
        <w:r>
          <w:instrText xml:space="preserve"> PAGEREF _Toc256000624 \h </w:instrText>
        </w:r>
        <w:r>
          <w:fldChar w:fldCharType="separate"/>
        </w:r>
        <w:r>
          <w:t>165</w:t>
        </w:r>
        <w:r>
          <w:fldChar w:fldCharType="end"/>
        </w:r>
      </w:hyperlink>
    </w:p>
    <w:p>
      <w:pPr>
        <w:pStyle w:val="TOC4"/>
        <w:tabs>
          <w:tab w:val="right" w:leader="dot" w:pos="9950"/>
        </w:tabs>
        <w:rPr>
          <w:rFonts w:asciiTheme="minorHAnsi" w:hAnsiTheme="minorHAnsi"/>
          <w:noProof/>
          <w:sz w:val="22"/>
        </w:rPr>
      </w:pPr>
      <w:hyperlink w:anchor="_Toc256000625" w:history="1">
        <w:r>
          <w:rPr>
            <w:rStyle w:val="Hyperlink"/>
          </w:rPr>
          <w:t>Configure Community Lists on Your Provider Gateway in the VCF Automation Provider Management Portal VMware Cloud Director Tenant Portal</w:t>
        </w:r>
        <w:r>
          <w:tab/>
        </w:r>
        <w:r>
          <w:fldChar w:fldCharType="begin"/>
        </w:r>
        <w:r>
          <w:instrText xml:space="preserve"> PAGEREF _Toc256000625 \h </w:instrText>
        </w:r>
        <w:r>
          <w:fldChar w:fldCharType="separate"/>
        </w:r>
        <w:r>
          <w:t>166</w:t>
        </w:r>
        <w:r>
          <w:fldChar w:fldCharType="end"/>
        </w:r>
      </w:hyperlink>
    </w:p>
    <w:p>
      <w:pPr>
        <w:pStyle w:val="TOC4"/>
        <w:tabs>
          <w:tab w:val="right" w:leader="dot" w:pos="9950"/>
        </w:tabs>
        <w:rPr>
          <w:rFonts w:asciiTheme="minorHAnsi" w:hAnsiTheme="minorHAnsi"/>
          <w:noProof/>
          <w:sz w:val="22"/>
        </w:rPr>
      </w:pPr>
      <w:hyperlink w:anchor="_Toc256000626" w:history="1">
        <w:r>
          <w:rPr>
            <w:rStyle w:val="Hyperlink"/>
          </w:rPr>
          <w:t>Configure BGP Route Maps on Your Provider Gateway in the VCF Automation Provider Management Portal VMware Cloud Director Tenant Portal</w:t>
        </w:r>
        <w:r>
          <w:tab/>
        </w:r>
        <w:r>
          <w:fldChar w:fldCharType="begin"/>
        </w:r>
        <w:r>
          <w:instrText xml:space="preserve"> PAGEREF _Toc256000626 \h </w:instrText>
        </w:r>
        <w:r>
          <w:fldChar w:fldCharType="separate"/>
        </w:r>
        <w:r>
          <w:t>167</w:t>
        </w:r>
        <w:r>
          <w:fldChar w:fldCharType="end"/>
        </w:r>
      </w:hyperlink>
    </w:p>
    <w:p>
      <w:pPr>
        <w:pStyle w:val="TOC4"/>
        <w:tabs>
          <w:tab w:val="right" w:leader="dot" w:pos="9950"/>
        </w:tabs>
        <w:rPr>
          <w:rFonts w:asciiTheme="minorHAnsi" w:hAnsiTheme="minorHAnsi"/>
          <w:noProof/>
          <w:sz w:val="22"/>
        </w:rPr>
      </w:pPr>
      <w:hyperlink w:anchor="_Toc256000627" w:history="1">
        <w:r>
          <w:rPr>
            <w:rStyle w:val="Hyperlink"/>
          </w:rPr>
          <w:t>Configure A BGP Permission Group on a Provider Gateway in the VCF Automation Provider Management Portal</w:t>
        </w:r>
        <w:r>
          <w:tab/>
        </w:r>
        <w:r>
          <w:fldChar w:fldCharType="begin"/>
        </w:r>
        <w:r>
          <w:instrText xml:space="preserve"> PAGEREF _Toc256000627 \h </w:instrText>
        </w:r>
        <w:r>
          <w:fldChar w:fldCharType="separate"/>
        </w:r>
        <w:r>
          <w:t>170</w:t>
        </w:r>
        <w:r>
          <w:fldChar w:fldCharType="end"/>
        </w:r>
      </w:hyperlink>
    </w:p>
    <w:p>
      <w:pPr>
        <w:pStyle w:val="TOC2"/>
        <w:tabs>
          <w:tab w:val="right" w:leader="dot" w:pos="9950"/>
        </w:tabs>
        <w:rPr>
          <w:rFonts w:asciiTheme="minorHAnsi" w:hAnsiTheme="minorHAnsi"/>
          <w:noProof/>
          <w:sz w:val="22"/>
        </w:rPr>
      </w:pPr>
      <w:hyperlink w:anchor="_Toc256000628" w:history="1">
        <w:r>
          <w:rPr>
            <w:rStyle w:val="Hyperlink"/>
          </w:rPr>
          <w:t>Managing IP Spaces in your VCF Automation Provider Management Portal</w:t>
        </w:r>
        <w:r>
          <w:tab/>
        </w:r>
        <w:r>
          <w:fldChar w:fldCharType="begin"/>
        </w:r>
        <w:r>
          <w:instrText xml:space="preserve"> PAGEREF _Toc256000628 \h </w:instrText>
        </w:r>
        <w:r>
          <w:fldChar w:fldCharType="separate"/>
        </w:r>
        <w:r>
          <w:t>171</w:t>
        </w:r>
        <w:r>
          <w:fldChar w:fldCharType="end"/>
        </w:r>
      </w:hyperlink>
    </w:p>
    <w:p>
      <w:pPr>
        <w:pStyle w:val="TOC3"/>
        <w:tabs>
          <w:tab w:val="right" w:leader="dot" w:pos="9950"/>
        </w:tabs>
        <w:rPr>
          <w:rFonts w:asciiTheme="minorHAnsi" w:hAnsiTheme="minorHAnsi"/>
          <w:noProof/>
          <w:sz w:val="22"/>
        </w:rPr>
      </w:pPr>
      <w:hyperlink w:anchor="_Toc256000629" w:history="1">
        <w:r>
          <w:rPr>
            <w:rStyle w:val="Hyperlink"/>
          </w:rPr>
          <w:t>Add an IP Space to Your VCF Automation</w:t>
        </w:r>
        <w:r>
          <w:tab/>
        </w:r>
        <w:r>
          <w:fldChar w:fldCharType="begin"/>
        </w:r>
        <w:r>
          <w:instrText xml:space="preserve"> PAGEREF _Toc256000629 \h </w:instrText>
        </w:r>
        <w:r>
          <w:fldChar w:fldCharType="separate"/>
        </w:r>
        <w:r>
          <w:t>171</w:t>
        </w:r>
        <w:r>
          <w:fldChar w:fldCharType="end"/>
        </w:r>
      </w:hyperlink>
    </w:p>
    <w:p>
      <w:pPr>
        <w:pStyle w:val="TOC3"/>
        <w:tabs>
          <w:tab w:val="right" w:leader="dot" w:pos="9950"/>
        </w:tabs>
        <w:rPr>
          <w:rFonts w:asciiTheme="minorHAnsi" w:hAnsiTheme="minorHAnsi"/>
          <w:noProof/>
          <w:sz w:val="22"/>
        </w:rPr>
      </w:pPr>
      <w:hyperlink w:anchor="_Toc256000630" w:history="1">
        <w:r>
          <w:rPr>
            <w:rStyle w:val="Hyperlink"/>
          </w:rPr>
          <w:t>Add a Shared IP Space to Your VCF Automation</w:t>
        </w:r>
        <w:r>
          <w:tab/>
        </w:r>
        <w:r>
          <w:fldChar w:fldCharType="begin"/>
        </w:r>
        <w:r>
          <w:instrText xml:space="preserve"> PAGEREF _Toc256000630 \h </w:instrText>
        </w:r>
        <w:r>
          <w:fldChar w:fldCharType="separate"/>
        </w:r>
        <w:r>
          <w:t>172</w:t>
        </w:r>
        <w:r>
          <w:fldChar w:fldCharType="end"/>
        </w:r>
      </w:hyperlink>
    </w:p>
    <w:p>
      <w:pPr>
        <w:pStyle w:val="TOC3"/>
        <w:tabs>
          <w:tab w:val="right" w:leader="dot" w:pos="9950"/>
        </w:tabs>
        <w:rPr>
          <w:rFonts w:asciiTheme="minorHAnsi" w:hAnsiTheme="minorHAnsi"/>
          <w:noProof/>
          <w:sz w:val="22"/>
        </w:rPr>
      </w:pPr>
      <w:hyperlink w:anchor="_Toc256000631" w:history="1">
        <w:r>
          <w:rPr>
            <w:rStyle w:val="Hyperlink"/>
          </w:rPr>
          <w:t>Add a Private IP Space to Your VCF Automation</w:t>
        </w:r>
        <w:r>
          <w:tab/>
        </w:r>
        <w:r>
          <w:fldChar w:fldCharType="begin"/>
        </w:r>
        <w:r>
          <w:instrText xml:space="preserve"> PAGEREF _Toc256000631 \h </w:instrText>
        </w:r>
        <w:r>
          <w:fldChar w:fldCharType="separate"/>
        </w:r>
        <w:r>
          <w:t>173</w:t>
        </w:r>
        <w:r>
          <w:fldChar w:fldCharType="end"/>
        </w:r>
      </w:hyperlink>
    </w:p>
    <w:p>
      <w:pPr>
        <w:pStyle w:val="TOC3"/>
        <w:tabs>
          <w:tab w:val="right" w:leader="dot" w:pos="9950"/>
        </w:tabs>
        <w:rPr>
          <w:rFonts w:asciiTheme="minorHAnsi" w:hAnsiTheme="minorHAnsi"/>
          <w:noProof/>
          <w:sz w:val="22"/>
        </w:rPr>
      </w:pPr>
      <w:hyperlink w:anchor="_Toc256000632" w:history="1">
        <w:r>
          <w:rPr>
            <w:rStyle w:val="Hyperlink"/>
          </w:rPr>
          <w:t>Edit an IP Space in Your VCF Automation</w:t>
        </w:r>
        <w:r>
          <w:tab/>
        </w:r>
        <w:r>
          <w:fldChar w:fldCharType="begin"/>
        </w:r>
        <w:r>
          <w:instrText xml:space="preserve"> PAGEREF _Toc256000632 \h </w:instrText>
        </w:r>
        <w:r>
          <w:fldChar w:fldCharType="separate"/>
        </w:r>
        <w:r>
          <w:t>174</w:t>
        </w:r>
        <w:r>
          <w:fldChar w:fldCharType="end"/>
        </w:r>
      </w:hyperlink>
    </w:p>
    <w:p>
      <w:pPr>
        <w:pStyle w:val="TOC3"/>
        <w:tabs>
          <w:tab w:val="right" w:leader="dot" w:pos="9950"/>
        </w:tabs>
        <w:rPr>
          <w:rFonts w:asciiTheme="minorHAnsi" w:hAnsiTheme="minorHAnsi"/>
          <w:noProof/>
          <w:sz w:val="22"/>
        </w:rPr>
      </w:pPr>
      <w:hyperlink w:anchor="_Toc256000633" w:history="1">
        <w:r>
          <w:rPr>
            <w:rStyle w:val="Hyperlink"/>
          </w:rPr>
          <w:t>Enable Route Advertisement For an IP Space in VCF Automation</w:t>
        </w:r>
        <w:r>
          <w:tab/>
        </w:r>
        <w:r>
          <w:fldChar w:fldCharType="begin"/>
        </w:r>
        <w:r>
          <w:instrText xml:space="preserve"> PAGEREF _Toc256000633 \h </w:instrText>
        </w:r>
        <w:r>
          <w:fldChar w:fldCharType="separate"/>
        </w:r>
        <w:r>
          <w:t>175</w:t>
        </w:r>
        <w:r>
          <w:fldChar w:fldCharType="end"/>
        </w:r>
      </w:hyperlink>
    </w:p>
    <w:p>
      <w:pPr>
        <w:pStyle w:val="TOC3"/>
        <w:tabs>
          <w:tab w:val="right" w:leader="dot" w:pos="9950"/>
        </w:tabs>
        <w:rPr>
          <w:rFonts w:asciiTheme="minorHAnsi" w:hAnsiTheme="minorHAnsi"/>
          <w:noProof/>
          <w:sz w:val="22"/>
        </w:rPr>
      </w:pPr>
      <w:hyperlink w:anchor="_Toc256000634" w:history="1">
        <w:r>
          <w:rPr>
            <w:rStyle w:val="Hyperlink"/>
          </w:rPr>
          <w:t>Allocate Floating IP Addresses To an IP Space in Your VCF Automation</w:t>
        </w:r>
        <w:r>
          <w:tab/>
        </w:r>
        <w:r>
          <w:fldChar w:fldCharType="begin"/>
        </w:r>
        <w:r>
          <w:instrText xml:space="preserve"> PAGEREF _Toc256000634 \h </w:instrText>
        </w:r>
        <w:r>
          <w:fldChar w:fldCharType="separate"/>
        </w:r>
        <w:r>
          <w:t>176</w:t>
        </w:r>
        <w:r>
          <w:fldChar w:fldCharType="end"/>
        </w:r>
      </w:hyperlink>
    </w:p>
    <w:p>
      <w:pPr>
        <w:pStyle w:val="TOC3"/>
        <w:tabs>
          <w:tab w:val="right" w:leader="dot" w:pos="9950"/>
        </w:tabs>
        <w:rPr>
          <w:rFonts w:asciiTheme="minorHAnsi" w:hAnsiTheme="minorHAnsi"/>
          <w:noProof/>
          <w:sz w:val="22"/>
        </w:rPr>
      </w:pPr>
      <w:hyperlink w:anchor="_Toc256000635" w:history="1">
        <w:r>
          <w:rPr>
            <w:rStyle w:val="Hyperlink"/>
          </w:rPr>
          <w:t>Allocate IP Prefixes To an IP Space in Your VCF Automation</w:t>
        </w:r>
        <w:r>
          <w:tab/>
        </w:r>
        <w:r>
          <w:fldChar w:fldCharType="begin"/>
        </w:r>
        <w:r>
          <w:instrText xml:space="preserve"> PAGEREF _Toc256000635 \h </w:instrText>
        </w:r>
        <w:r>
          <w:fldChar w:fldCharType="separate"/>
        </w:r>
        <w:r>
          <w:t>176</w:t>
        </w:r>
        <w:r>
          <w:fldChar w:fldCharType="end"/>
        </w:r>
      </w:hyperlink>
    </w:p>
    <w:p>
      <w:pPr>
        <w:pStyle w:val="TOC3"/>
        <w:tabs>
          <w:tab w:val="right" w:leader="dot" w:pos="9950"/>
        </w:tabs>
        <w:rPr>
          <w:rFonts w:asciiTheme="minorHAnsi" w:hAnsiTheme="minorHAnsi"/>
          <w:noProof/>
          <w:sz w:val="22"/>
        </w:rPr>
      </w:pPr>
      <w:hyperlink w:anchor="_Toc256000636" w:history="1">
        <w:r>
          <w:rPr>
            <w:rStyle w:val="Hyperlink"/>
          </w:rPr>
          <w:t>Configure the Network Topology For an IP Space in Your VCF Automation</w:t>
        </w:r>
        <w:r>
          <w:tab/>
        </w:r>
        <w:r>
          <w:fldChar w:fldCharType="begin"/>
        </w:r>
        <w:r>
          <w:instrText xml:space="preserve"> PAGEREF _Toc256000636 \h </w:instrText>
        </w:r>
        <w:r>
          <w:fldChar w:fldCharType="separate"/>
        </w:r>
        <w:r>
          <w:t>177</w:t>
        </w:r>
        <w:r>
          <w:fldChar w:fldCharType="end"/>
        </w:r>
      </w:hyperlink>
    </w:p>
    <w:p>
      <w:pPr>
        <w:pStyle w:val="TOC2"/>
        <w:tabs>
          <w:tab w:val="right" w:leader="dot" w:pos="9950"/>
        </w:tabs>
        <w:rPr>
          <w:rFonts w:asciiTheme="minorHAnsi" w:hAnsiTheme="minorHAnsi"/>
          <w:noProof/>
          <w:sz w:val="22"/>
        </w:rPr>
      </w:pPr>
      <w:hyperlink w:anchor="_Toc256000637" w:history="1">
        <w:r>
          <w:rPr>
            <w:rStyle w:val="Hyperlink"/>
          </w:rPr>
          <w:t>Managing NSX Tenancy in VCF Automation Provider Management PortalNeeds update. Please provide info on how to change it.</w:t>
        </w:r>
        <w:r>
          <w:tab/>
        </w:r>
        <w:r>
          <w:fldChar w:fldCharType="begin"/>
        </w:r>
        <w:r>
          <w:instrText xml:space="preserve"> PAGEREF _Toc256000637 \h </w:instrText>
        </w:r>
        <w:r>
          <w:fldChar w:fldCharType="separate"/>
        </w:r>
        <w:r>
          <w:t>178</w:t>
        </w:r>
        <w:r>
          <w:fldChar w:fldCharType="end"/>
        </w:r>
      </w:hyperlink>
    </w:p>
    <w:p>
      <w:pPr>
        <w:pStyle w:val="TOC3"/>
        <w:tabs>
          <w:tab w:val="right" w:leader="dot" w:pos="9950"/>
        </w:tabs>
        <w:rPr>
          <w:rFonts w:asciiTheme="minorHAnsi" w:hAnsiTheme="minorHAnsi"/>
          <w:noProof/>
          <w:sz w:val="22"/>
        </w:rPr>
      </w:pPr>
      <w:hyperlink w:anchor="_Toc256000638" w:history="1">
        <w:r>
          <w:rPr>
            <w:rStyle w:val="Hyperlink"/>
          </w:rPr>
          <w:t>Activate NSX Tenancy for an Organization in VCF Automation Provider Management Portal</w:t>
        </w:r>
        <w:r>
          <w:tab/>
        </w:r>
        <w:r>
          <w:fldChar w:fldCharType="begin"/>
        </w:r>
        <w:r>
          <w:instrText xml:space="preserve"> PAGEREF _Toc256000638 \h </w:instrText>
        </w:r>
        <w:r>
          <w:fldChar w:fldCharType="separate"/>
        </w:r>
        <w:r>
          <w:t>179</w:t>
        </w:r>
        <w:r>
          <w:fldChar w:fldCharType="end"/>
        </w:r>
      </w:hyperlink>
    </w:p>
    <w:p w:rsidR="00317810" w:rsidRPr="00FF1CA0" w:rsidP="00317810">
      <w:pPr>
        <w:rPr>
          <w:rFonts w:cs="Arial"/>
          <w:b/>
          <w:bCs/>
          <w:noProof/>
        </w:rPr>
      </w:pPr>
      <w:r>
        <w:rPr>
          <w:rFonts w:cs="Arial"/>
        </w:rPr>
        <w:fldChar w:fldCharType="end"/>
      </w:r>
    </w:p>
    <w:p>
      <w:pPr>
        <w:pStyle w:val="Heading1"/>
      </w:pPr>
      <w:bookmarkStart w:id="2" w:name="_Toc256000426"/>
      <w:r>
        <w:t>Version History</w:t>
      </w:r>
      <w:bookmarkEnd w:id="2"/>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21"/>
        <w:gridCol w:w="1039"/>
        <w:gridCol w:w="1452"/>
        <w:gridCol w:w="2281"/>
        <w:gridCol w:w="2116"/>
        <w:gridCol w:w="19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Date</w:t>
            </w:r>
          </w:p>
        </w:tc>
        <w:tc>
          <w:tcPr>
            <w:tcBorders>
              <w:left w:val="nil"/>
              <w:right w:val="nil"/>
            </w:tcBorders>
            <w:shd w:val="clear" w:color="auto" w:fill="E1E1E1"/>
            <w:tcMar>
              <w:top w:w="60" w:type="dxa"/>
              <w:bottom w:w="60" w:type="dxa"/>
            </w:tcMar>
          </w:tcPr>
          <w:p>
            <w:pPr>
              <w:pStyle w:val="TableHeaderText"/>
            </w:pPr>
            <w:r>
              <w:t>Ver.</w:t>
            </w:r>
          </w:p>
        </w:tc>
        <w:tc>
          <w:tcPr>
            <w:tcBorders>
              <w:left w:val="nil"/>
              <w:right w:val="nil"/>
            </w:tcBorders>
            <w:shd w:val="clear" w:color="auto" w:fill="E1E1E1"/>
            <w:tcMar>
              <w:top w:w="60" w:type="dxa"/>
              <w:bottom w:w="60" w:type="dxa"/>
            </w:tcMar>
          </w:tcPr>
          <w:p>
            <w:pPr>
              <w:pStyle w:val="TableHeaderText"/>
            </w:pPr>
            <w:r>
              <w:t>Author</w:t>
            </w:r>
          </w:p>
        </w:tc>
        <w:tc>
          <w:tcPr>
            <w:tcBorders>
              <w:left w:val="nil"/>
              <w:right w:val="nil"/>
            </w:tcBorders>
            <w:shd w:val="clear" w:color="auto" w:fill="E1E1E1"/>
            <w:tcMar>
              <w:top w:w="60" w:type="dxa"/>
              <w:bottom w:w="60" w:type="dxa"/>
            </w:tcMar>
          </w:tcPr>
          <w:p>
            <w:pPr>
              <w:pStyle w:val="TableHeaderText"/>
            </w:pPr>
            <w:r>
              <w:t>Contributors</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Reviewers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pPr>
        <w:pStyle w:val="Heading2"/>
      </w:pPr>
      <w:bookmarkStart w:id="3" w:name="_Toc256000427"/>
      <w:r>
        <w:t>Overview</w:t>
      </w:r>
      <w:bookmarkEnd w:id="3"/>
    </w:p>
    <w:p>
      <w:pPr>
        <w:pStyle w:val="BodyText"/>
      </w:pPr>
      <w:r>
        <w:t xml:space="preserve">This High-level solution design document is created by VCF Professional Services to support the deployment of the Solution for </w:t>
      </w:r>
      <w:r>
        <w:t>.</w:t>
      </w:r>
    </w:p>
    <w:p>
      <w:pPr>
        <w:pStyle w:val="BodyText"/>
      </w:pPr>
      <w:r>
        <w:t>This document may be accompanied by other documents that focus on the low-level design, as well as the implementation and operation aspects of the engagement. This includes documents such as installation guides, solution specification and verification workbooks if applicable for the solution.</w:t>
      </w:r>
    </w:p>
    <w:p>
      <w:pPr>
        <w:pStyle w:val="Heading3"/>
      </w:pPr>
      <w:bookmarkStart w:id="4" w:name="_Toc256000428"/>
      <w:r>
        <w:t>Executive Summary</w:t>
      </w:r>
      <w:bookmarkEnd w:id="4"/>
    </w:p>
    <w:p>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pPr>
        <w:pStyle w:val="BodyText"/>
        <w:pBdr>
          <w:top w:val="single" w:sz="8" w:space="2" w:color="D3D3D3"/>
          <w:bottom w:val="single" w:sz="8" w:space="2" w:color="D3D3D3"/>
        </w:pBdr>
      </w:pPr>
      <w:r>
        <w:t>architect</w:t>
        <w:tab/>
      </w:r>
      <w:r>
        <w:t>Fill out this with the high-level business language in the below for the customer environment.</w:t>
      </w:r>
    </w:p>
    <w:p>
      <w:pPr>
        <w:pStyle w:val="BodyText"/>
      </w:pPr>
      <w:r>
        <w:t xml:space="preserve">This design document outlines the plan for </w:t>
      </w:r>
      <w:r>
        <w:t xml:space="preserve"> &lt;purpose of the engagement&gt; by VCF Professional Services. The aim is to improve scalability, operational efficiency, and cost-effectiveness while ensuring a high level of security and compliance. The scope of this engagement includes &lt;list main scope items&gt;.</w:t>
      </w:r>
    </w:p>
    <w:p>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pPr>
        <w:pStyle w:val="BodyText"/>
      </w:pPr>
      <w:r>
        <w:t>Upon approval, the next steps include extending the design to the implementation teams, initiating the integrations, and providing the teams with the necessary operational support as part of the handover.</w:t>
      </w:r>
    </w:p>
    <w:p>
      <w:pPr>
        <w:pStyle w:val="Heading3"/>
      </w:pPr>
      <w:bookmarkStart w:id="5" w:name="_Toc256000429"/>
      <w:r>
        <w:t>Document Focus</w:t>
      </w:r>
      <w:bookmarkEnd w:id="5"/>
    </w:p>
    <w:p>
      <w:pPr>
        <w:pStyle w:val="BodyText"/>
      </w:pPr>
      <w:r>
        <w:t>This document, the Low-Level Design Document, is one of five main documents that which will collectively form the Low-Level design documents for the solution.</w:t>
      </w:r>
    </w:p>
    <w:p>
      <w:pPr>
        <w:pStyle w:val="BodyText"/>
      </w:pPr>
      <w:r>
        <w:t>This includes the following content, which may be presented as one or more technical documents as required by the solution.</w:t>
      </w:r>
    </w:p>
    <w:p>
      <w:pPr>
        <w:pStyle w:val="Heading4"/>
      </w:pPr>
      <w:bookmarkStart w:id="6" w:name="_Toc256000430"/>
      <w:r>
        <w:t>Physical Design</w:t>
      </w:r>
      <w:bookmarkEnd w:id="6"/>
    </w:p>
    <w:p>
      <w:pPr>
        <w:pStyle w:val="BodyText"/>
      </w:pPr>
      <w: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pPr>
        <w:pStyle w:val="BodyText"/>
      </w:pPr>
      <w:r>
        <w:t>It provides intricate network topologies, complete with IP schemes and VLAN settings, specifies storage layouts down to RAID levels and disk types, and outlines concrete security mechanisms such as firewall configurations and encryption protocols. The physical design also covers specifics on availability and disaster recovery solutions like failover clusters and backup schedules.</w:t>
      </w:r>
    </w:p>
    <w:p>
      <w:pPr>
        <w:pStyle w:val="BodyText"/>
      </w:pPr>
      <w:r>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pPr>
        <w:pStyle w:val="Heading4"/>
      </w:pPr>
      <w:bookmarkStart w:id="7" w:name="_Toc256000431"/>
      <w:r>
        <w:t>Sizing Workbook</w:t>
      </w:r>
      <w:bookmarkEnd w:id="7"/>
    </w:p>
    <w:p>
      <w:pPr>
        <w:pStyle w:val="BodyText"/>
      </w:pPr>
      <w:r>
        <w:t>The sizing workbook is a vital tool that systematically outlines the resource requirements such as CPU, memory, storage, and networking that are needed for a specific architecture.</w:t>
      </w:r>
    </w:p>
    <w:p>
      <w:pPr>
        <w:pStyle w:val="BodyText"/>
      </w:pPr>
      <w: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pPr>
        <w:pStyle w:val="BodyText"/>
      </w:pPr>
      <w:r>
        <w:t>The sizing document incorporates the licensing which will be consumed by the solution and if any design decision violates the licensing constraints or if additional licenses need to be procured part the scalability exercise.</w:t>
      </w:r>
    </w:p>
    <w:p>
      <w:pPr>
        <w:pStyle w:val="Heading4"/>
      </w:pPr>
      <w:bookmarkStart w:id="8" w:name="_Toc256000432"/>
      <w:r>
        <w:t>Naming Convention Document</w:t>
      </w:r>
      <w:bookmarkEnd w:id="8"/>
    </w:p>
    <w:p>
      <w:pPr>
        <w:pStyle w:val="BodyText"/>
      </w:pPr>
      <w: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pPr>
        <w:pStyle w:val="BodyText"/>
      </w:pPr>
      <w:r>
        <w:t>The naming convention outlines specific syntax rules including permitted characters, name length, and capitalization guidelines, as well as semantic conventions to imbue names with functional, environmental, or locational significance.</w:t>
      </w:r>
    </w:p>
    <w:p>
      <w:pPr>
        <w:pStyle w:val="BodyText"/>
      </w:pPr>
      <w: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pPr>
        <w:pStyle w:val="Heading4"/>
      </w:pPr>
      <w:bookmarkStart w:id="9" w:name="_Toc256000433"/>
      <w:r>
        <w:t>Solution Specification Workbook(s)</w:t>
      </w:r>
      <w:bookmarkEnd w:id="9"/>
    </w:p>
    <w:p>
      <w:pPr>
        <w:pStyle w:val="BodyText"/>
      </w:pPr>
      <w: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pPr>
        <w:pStyle w:val="BodyText"/>
      </w:pPr>
      <w: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pPr>
        <w:pStyle w:val="BodyText"/>
      </w:pPr>
      <w:r>
        <w:t>The solution specification workbooks ensures that deployment consultants and cloud administrators have a consistent, accurate roadmap for successfully realizing the architectural design and meeting business objectives.</w:t>
      </w:r>
    </w:p>
    <w:p>
      <w:pPr>
        <w:pStyle w:val="Heading4"/>
      </w:pPr>
      <w:bookmarkStart w:id="10" w:name="_Toc256000434"/>
      <w:r>
        <w:t>Solution Verification Workbook(s)</w:t>
      </w:r>
      <w:bookmarkEnd w:id="10"/>
    </w:p>
    <w:p>
      <w:pPr>
        <w:pStyle w:val="BodyText"/>
      </w:pPr>
      <w:r>
        <w:t>The solution verification workbook(s) act as structured guides for the comprehensive testing and validation of the VMware by Broadcom solution prescribed within the architecture. These workbooks are pivotal for quality assurance, defining test objectives aligned with the solution's functional and non-functional requirements, outlining specific test scenarios and procedures.</w:t>
      </w:r>
    </w:p>
    <w:p>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pPr>
        <w:pStyle w:val="BodyText"/>
      </w:pPr>
      <w:r>
        <w:t>The solution verification workbooks are an anchor for ensuring the implemented VMware solution is ready for production, meeting both technical specifications and organizational goals.</w:t>
      </w:r>
    </w:p>
    <w:p>
      <w:pPr>
        <w:pStyle w:val="Heading1"/>
      </w:pPr>
      <w:bookmarkStart w:id="11" w:name="Bdefdaded555a407385fba74c254d99ea"/>
      <w:bookmarkStart w:id="12" w:name="_Toc256000435"/>
      <w:r>
        <w:t>Overview of VCF Automation Provider Management</w:t>
      </w:r>
      <w:bookmarkEnd w:id="12"/>
      <w:bookmarkEnd w:id="11"/>
    </w:p>
    <w:p>
      <w:pPr>
        <w:pStyle w:val="BodyText"/>
      </w:pPr>
      <w:r>
        <w:t xml:space="preserve">With </w:t>
      </w:r>
      <w:r>
        <w:t>VCF Automation</w:t>
      </w:r>
      <w:r>
        <w:t xml:space="preserve">, as a provider administrator, you can build secure, multi-tenant clouds by pooling virtual infrastructure resources, which are an abstraction of their underlying </w:t>
      </w:r>
      <w:r>
        <w:t>vSphere</w:t>
      </w:r>
      <w:r>
        <w:t xml:space="preserve"> and </w:t>
      </w:r>
      <w:r>
        <w:t>NSX</w:t>
      </w:r>
      <w:r>
        <w:t xml:space="preserve"> resources, into regions and exposing them to users through Web-based portals and programmatic interfaces.</w:t>
      </w:r>
    </w:p>
    <w:p>
      <w:pPr>
        <w:pStyle w:val="BodyText"/>
      </w:pPr>
      <w:r>
        <w:t xml:space="preserve">The </w:t>
      </w:r>
      <w:r>
        <w:t>VCF Automation</w:t>
      </w:r>
      <w:r>
        <w:t xml:space="preserve"> Provider Management Guide provides information about adding resources to the system, creating and provisioning organizations, and managing resources and organizations. This guide is intended for provider administrators responsible for managing the overall infrastructure, services, and tenancy model across multiple organizations or tenants. The provider administrator role can either be an Enterprise IT Administrator in an enterprise environment or a Provider Administrator in a service provider context. Within this guide, provider administrator and system administrator are used interchangeably.</w:t>
      </w:r>
    </w:p>
    <w:p>
      <w:pPr>
        <w:pStyle w:val="BodyText"/>
      </w:pPr>
      <w:r>
        <w:t xml:space="preserve">The </w:t>
      </w:r>
      <w:r>
        <w:t>VCF Automation</w:t>
      </w:r>
      <w:r>
        <w:t xml:space="preserve"> Provider Management Guide uses the following terms.</w:t>
      </w:r>
    </w:p>
    <w:p>
      <w:pPr>
        <w:pStyle w:val="SectionHeading2"/>
      </w:pPr>
      <w:bookmarkStart w:id="13" w:name="_Toc256000436"/>
      <w:r>
        <w:t>vSphere and NSX Resources</w:t>
      </w:r>
      <w:bookmarkEnd w:id="13"/>
    </w:p>
    <w:p>
      <w:pPr>
        <w:pStyle w:val="BodyText"/>
      </w:pPr>
      <w:r>
        <w:t>VCF Automation</w:t>
      </w:r>
      <w:r>
        <w:t xml:space="preserve"> relies on </w:t>
      </w:r>
      <w:r>
        <w:t>vSphere</w:t>
      </w:r>
      <w:r>
        <w:t xml:space="preserve"> resources to provide CPU and memory, and on </w:t>
      </w:r>
      <w:r>
        <w:t>NSX</w:t>
      </w:r>
      <w:r>
        <w:t xml:space="preserve"> to support the </w:t>
      </w:r>
      <w:r>
        <w:t>VCF Automation</w:t>
      </w:r>
      <w:r>
        <w:t xml:space="preserve"> networking capabilities. Adding storage is provided through </w:t>
      </w:r>
      <w:r>
        <w:t>vSphere</w:t>
      </w:r>
      <w:r>
        <w:t xml:space="preserve">, whether </w:t>
      </w:r>
      <w:r>
        <w:t>vSAN</w:t>
      </w:r>
      <w:r>
        <w:t xml:space="preserve"> or external storage.</w:t>
      </w:r>
    </w:p>
    <w:p>
      <w:pPr>
        <w:pStyle w:val="BodyText"/>
      </w:pPr>
      <w:r>
        <w:t xml:space="preserve">You can use the underlying </w:t>
      </w:r>
      <w:r>
        <w:t>vSphere</w:t>
      </w:r>
      <w:r>
        <w:t xml:space="preserve"> and </w:t>
      </w:r>
      <w:r>
        <w:t>NSX</w:t>
      </w:r>
      <w:r>
        <w:t xml:space="preserve"> resources to create cloud resources. For </w:t>
      </w:r>
      <w:r>
        <w:t xml:space="preserve"> enablement information, see </w:t>
      </w:r>
      <w:r>
        <w:t>Kubernetes Workloads Platform</w:t>
      </w:r>
      <w:r>
        <w:t>.</w:t>
      </w:r>
    </w:p>
    <w:p>
      <w:pPr>
        <w:pStyle w:val="SectionHeading2"/>
      </w:pPr>
      <w:bookmarkStart w:id="14" w:name="_Toc256000437"/>
      <w:r>
        <w:t>Infrastructure Resources</w:t>
      </w:r>
      <w:bookmarkEnd w:id="14"/>
    </w:p>
    <w:p>
      <w:pPr>
        <w:pStyle w:val="BodyText"/>
      </w:pPr>
      <w:r>
        <w:t xml:space="preserve">Infrastructure resources are an abstraction of their underlying </w:t>
      </w:r>
      <w:r>
        <w:t>vSphere</w:t>
      </w:r>
      <w:r>
        <w:t xml:space="preserve"> and </w:t>
      </w:r>
      <w:r>
        <w:t>NSX</w:t>
      </w:r>
      <w:r>
        <w:t xml:space="preserve"> resources. They provide the compute, storage, memory and networking resources for </w:t>
      </w:r>
      <w:r>
        <w:t>VCF Automation</w:t>
      </w:r>
      <w:r>
        <w:t xml:space="preserve">. The infrastructure resources provide access to storage and network connectivity. </w:t>
      </w:r>
      <w:r>
        <w:t>VCF Automation</w:t>
      </w:r>
      <w:r>
        <w:t xml:space="preserve"> automatically discovers all </w:t>
      </w:r>
      <w:r>
        <w:t>vCenter</w:t>
      </w:r>
      <w:r>
        <w:t xml:space="preserve"> and </w:t>
      </w:r>
      <w:r>
        <w:t>NSX</w:t>
      </w:r>
      <w:r>
        <w:t xml:space="preserve"> instances registered in </w:t>
      </w:r>
      <w:r>
        <w:t>VCF Operations</w:t>
      </w:r>
      <w:r>
        <w:t xml:space="preserve">. See </w:t>
      </w:r>
      <w:r>
        <w:t>Integrating Data Sources with</w:t>
      </w:r>
      <w:r>
        <w:t xml:space="preserve">. Using the </w:t>
      </w:r>
      <w:r>
        <w:t>VCF Automation Provider Management Portal</w:t>
      </w:r>
      <w:r>
        <w:t>, you can view them and their current connection status.</w:t>
      </w:r>
    </w:p>
    <w:p>
      <w:pPr>
        <w:pStyle w:val="BodyText"/>
      </w:pPr>
      <w:r>
        <w:t xml:space="preserve">The infrastructure includes </w:t>
      </w:r>
      <w:r>
        <w:t>Supervisor</w:t>
      </w:r>
      <w:r>
        <w:t>s, regions, provider gateways, and region quotas and networking configurations for each organization.</w:t>
      </w:r>
    </w:p>
    <w:p>
      <w:pPr>
        <w:pStyle w:val="SectionHeading2"/>
      </w:pPr>
      <w:bookmarkStart w:id="15" w:name="_Toc256000438"/>
      <w:r>
        <w:t>Supervisor</w:t>
      </w:r>
      <w:bookmarkEnd w:id="15"/>
    </w:p>
    <w:p>
      <w:pPr>
        <w:pStyle w:val="BodyText"/>
      </w:pPr>
      <w:r>
        <w:t xml:space="preserve">A </w:t>
      </w:r>
      <w:r>
        <w:t xml:space="preserve"> is a collection of one or more clusters on a </w:t>
      </w:r>
      <w:r>
        <w:t xml:space="preserve"> instance that provide and manage Kubernetes resources. The </w:t>
      </w:r>
      <w:r>
        <w:t>Supervisor</w:t>
      </w:r>
      <w:r>
        <w:t xml:space="preserve"> is the component that owns the physical infrastructure resources and runs organization workloads on those resources. Each </w:t>
      </w:r>
      <w:r>
        <w:t>Supervisor</w:t>
      </w:r>
      <w:r>
        <w:t xml:space="preserve"> can only be associated with one region.</w:t>
      </w:r>
    </w:p>
    <w:p>
      <w:pPr>
        <w:pStyle w:val="BodyText"/>
        <w:pBdr>
          <w:top w:val="single" w:sz="8" w:space="2" w:color="D3D3D3"/>
          <w:bottom w:val="single" w:sz="8" w:space="2" w:color="D3D3D3"/>
        </w:pBdr>
      </w:pPr>
      <w:r>
        <w:rPr>
          <w:rStyle w:val="NoteLeadernote"/>
        </w:rPr>
        <w:t>Note</w:t>
        <w:tab/>
      </w:r>
      <w:r>
        <w:t>VCF Automation</w:t>
      </w:r>
      <w:r>
        <w:t xml:space="preserve"> supports only </w:t>
      </w:r>
      <w:r>
        <w:t>Supervisor</w:t>
      </w:r>
      <w:r>
        <w:t xml:space="preserve"> deployed with </w:t>
      </w:r>
      <w:r>
        <w:t>NSX</w:t>
      </w:r>
      <w:r>
        <w:t xml:space="preserve"> Virtual Private Cloud (VPC) networking. See </w:t>
      </w:r>
      <w:r>
        <w:t>Deploying with Networking</w:t>
      </w:r>
      <w:r>
        <w:t>.</w:t>
      </w:r>
    </w:p>
    <w:p>
      <w:pPr>
        <w:pStyle w:val="SectionHeading2"/>
      </w:pPr>
      <w:bookmarkStart w:id="16" w:name="_Toc256000439"/>
      <w:r>
        <w:t>Zone</w:t>
      </w:r>
      <w:bookmarkEnd w:id="16"/>
    </w:p>
    <w:p>
      <w:pPr>
        <w:pStyle w:val="BodyText"/>
      </w:pPr>
      <w:r>
        <w:t xml:space="preserve">Zones represent </w:t>
      </w:r>
      <w:r>
        <w:t xml:space="preserve"> clusters that provide compute resources for </w:t>
      </w:r>
      <w:r>
        <w:t>Supervisor</w:t>
      </w:r>
      <w:r>
        <w:t xml:space="preserve">s. A </w:t>
      </w:r>
      <w:r>
        <w:t>Supervisor</w:t>
      </w:r>
      <w:r>
        <w:t xml:space="preserve"> can span across multiple zones. Zones are created and managed in </w:t>
      </w:r>
      <w:r>
        <w:t xml:space="preserve">. See </w:t>
      </w:r>
      <w:r>
        <w:t>#unique_14</w:t>
      </w:r>
      <w:r>
        <w:t xml:space="preserve">. It is important to use meaningful, user-friendly names because the names assigned to zones in </w:t>
      </w:r>
      <w:r>
        <w:t xml:space="preserve"> are visible to end users.</w:t>
      </w:r>
    </w:p>
    <w:p>
      <w:pPr>
        <w:pStyle w:val="BodyText"/>
      </w:pPr>
      <w:r>
        <w:t xml:space="preserve">In </w:t>
      </w:r>
      <w:r>
        <w:t xml:space="preserve"> 9.0, a zone can consist of only a single </w:t>
      </w:r>
      <w:r>
        <w:t xml:space="preserve"> cluster. When enabling a </w:t>
      </w:r>
      <w:r>
        <w:t>Supervisor</w:t>
      </w:r>
      <w:r>
        <w:t>, you must choose between two configuration types:</w:t>
      </w:r>
    </w:p>
    <w:p>
      <w:pPr>
        <w:pStyle w:val="BodyText"/>
        <w:numPr>
          <w:numId w:val="8"/>
        </w:numPr>
      </w:pPr>
      <w:r>
        <w:t>HA mode: Controller nodes are distributed across three zones, offering high availability. This mode requires exactly three zones.</w:t>
      </w:r>
    </w:p>
    <w:p>
      <w:pPr>
        <w:pStyle w:val="BodyText"/>
        <w:numPr>
          <w:numId w:val="8"/>
        </w:numPr>
      </w:pPr>
      <w:r>
        <w:t>Default mode: All controller nodes are placed in the first zone. You can add additional zones to isolate workloads and management functions. This mode provides flexibility for physical separation while maintaining simplicity.</w:t>
      </w:r>
    </w:p>
    <w:p>
      <w:pPr>
        <w:pStyle w:val="BodyText"/>
      </w:pPr>
      <w:r>
        <w:t xml:space="preserve">While it is technically possible to add many zones to a </w:t>
      </w:r>
      <w:r>
        <w:t>Supervisor</w:t>
      </w:r>
      <w:r>
        <w:t xml:space="preserve">, consider limiting the number to 1 or 3 zones per </w:t>
      </w:r>
      <w:r>
        <w:t>Supervisor</w:t>
      </w:r>
      <w:r>
        <w:t>. Each zone is exposed to the end user as a selectable compute location, and too many options can degrade the user experience.</w:t>
      </w:r>
    </w:p>
    <w:p>
      <w:pPr>
        <w:pStyle w:val="SectionHeading2"/>
      </w:pPr>
      <w:bookmarkStart w:id="17" w:name="_Toc256000440"/>
      <w:r>
        <w:t>Region</w:t>
      </w:r>
      <w:bookmarkEnd w:id="17"/>
    </w:p>
    <w:p>
      <w:pPr>
        <w:pStyle w:val="BodyText"/>
      </w:pPr>
      <w:r>
        <w:t xml:space="preserve">In </w:t>
      </w:r>
      <w:r>
        <w:t>VCF Automation</w:t>
      </w:r>
      <w:r>
        <w:t xml:space="preserve">, a region combines compute, storage, memory, and networking resources from one or more </w:t>
      </w:r>
      <w:r>
        <w:t>Supervisor</w:t>
      </w:r>
      <w:r>
        <w:t xml:space="preserve">s across one or more </w:t>
      </w:r>
      <w:r>
        <w:t>vCenter</w:t>
      </w:r>
      <w:r>
        <w:t xml:space="preserve"> instances that are managed by the same </w:t>
      </w:r>
      <w:r>
        <w:t xml:space="preserve"> instance.</w:t>
      </w:r>
    </w:p>
    <w:p>
      <w:pPr>
        <w:pStyle w:val="BodyText"/>
      </w:pPr>
      <w:r>
        <w:t xml:space="preserve">You can create regions for different geographies, business units, or performance needs, but all </w:t>
      </w:r>
      <w:r>
        <w:t>Supervisor</w:t>
      </w:r>
      <w:r>
        <w:t>s within a region must have homogeneous configurations:</w:t>
      </w:r>
    </w:p>
    <w:p>
      <w:pPr>
        <w:pStyle w:val="BodyText"/>
        <w:numPr>
          <w:numId w:val="9"/>
        </w:numPr>
      </w:pPr>
      <w:r>
        <w:t>Identical names and definitions for storage classes</w:t>
      </w:r>
    </w:p>
    <w:p>
      <w:pPr>
        <w:pStyle w:val="BodyText"/>
        <w:numPr>
          <w:numId w:val="9"/>
        </w:numPr>
      </w:pPr>
      <w:r>
        <w:t>Matching Kubernetes versions</w:t>
      </w:r>
    </w:p>
    <w:p>
      <w:pPr>
        <w:pStyle w:val="BodyText"/>
        <w:numPr>
          <w:numId w:val="9"/>
        </w:numPr>
      </w:pPr>
      <w:r>
        <w:t>A consistent set of IaaS services</w:t>
      </w:r>
    </w:p>
    <w:p>
      <w:pPr>
        <w:pStyle w:val="BodyText"/>
      </w:pPr>
      <w:r>
        <w:t>VCF Automation</w:t>
      </w:r>
      <w:r>
        <w:t xml:space="preserve"> does not support heterogeneous configurations within a region. Resources in a region can be dedicated to a single organization or shared across multiple organizations.</w:t>
      </w:r>
    </w:p>
    <w:p>
      <w:pPr>
        <w:pStyle w:val="BodyText"/>
      </w:pPr>
      <w:r>
        <w:t xml:space="preserve">If multiple </w:t>
      </w:r>
      <w:r>
        <w:t>Supervisor</w:t>
      </w:r>
      <w:r>
        <w:t xml:space="preserve">s are part of the same region and have zones with identical names, such as Zone A, B, C, those zones are combined and presented as a single set of zones to users. For example, if </w:t>
      </w:r>
      <w:r>
        <w:t>Supervisor</w:t>
      </w:r>
      <w:r>
        <w:t xml:space="preserve"> 1 and 2 each have Zone A, B, and C, the system presents three zones instead of six. To avoid merging, assign unique zone names across </w:t>
      </w:r>
      <w:r>
        <w:t>Supervisor</w:t>
      </w:r>
      <w:r>
        <w:t>s.</w:t>
      </w:r>
    </w:p>
    <w:p>
      <w:pPr>
        <w:pStyle w:val="SectionHeading2"/>
      </w:pPr>
      <w:bookmarkStart w:id="18" w:name="_Toc256000441"/>
      <w:r>
        <w:t>Region Quota of an Organization</w:t>
      </w:r>
      <w:bookmarkEnd w:id="18"/>
    </w:p>
    <w:p>
      <w:pPr>
        <w:pStyle w:val="BodyText"/>
      </w:pPr>
      <w:r>
        <w:t>A region quota defines the compute and storage resources allocated to an organization for a given region. The key aspects of a region quota are:</w:t>
      </w:r>
    </w:p>
    <w:p>
      <w:pPr>
        <w:pStyle w:val="BodyText"/>
        <w:numPr>
          <w:numId w:val="10"/>
        </w:numPr>
      </w:pPr>
      <w:r>
        <w:t>CPU and memory utilization limits which represent the upper bound of quota in a region</w:t>
      </w:r>
    </w:p>
    <w:p>
      <w:pPr>
        <w:pStyle w:val="BodyText"/>
        <w:numPr>
          <w:numId w:val="10"/>
        </w:numPr>
      </w:pPr>
      <w:r>
        <w:t>CPU and memory reservations which represent the guaranteed capacity that is allocated in a region</w:t>
      </w:r>
    </w:p>
    <w:p>
      <w:pPr>
        <w:pStyle w:val="BodyText"/>
        <w:numPr>
          <w:numId w:val="10"/>
        </w:numPr>
      </w:pPr>
      <w:r>
        <w:t>VM classes which represent the t-shirt-sized classes of compute that an organization has access to</w:t>
      </w:r>
    </w:p>
    <w:p>
      <w:pPr>
        <w:pStyle w:val="BodyText"/>
        <w:numPr>
          <w:numId w:val="10"/>
        </w:numPr>
      </w:pPr>
      <w:r>
        <w:t>Storage classes which represent the storage classes and the quota assigned in a region</w:t>
      </w:r>
    </w:p>
    <w:p>
      <w:pPr>
        <w:pStyle w:val="BodyText"/>
      </w:pPr>
      <w:r>
        <w:t>Key constraints for the region quota are:</w:t>
      </w:r>
    </w:p>
    <w:p>
      <w:pPr>
        <w:pStyle w:val="BodyText"/>
        <w:numPr>
          <w:numId w:val="11"/>
        </w:numPr>
      </w:pPr>
      <w:r>
        <w:t>An organization can receive region quotas from multiple regions, but there can be only one quota per region.</w:t>
      </w:r>
    </w:p>
    <w:p>
      <w:pPr>
        <w:pStyle w:val="BodyText"/>
        <w:numPr>
          <w:numId w:val="11"/>
        </w:numPr>
      </w:pPr>
      <w:r>
        <w:t>In multi-zone regions, you can assign quotas to all or a subset of the zones</w:t>
      </w:r>
    </w:p>
    <w:p>
      <w:pPr>
        <w:pStyle w:val="BodyText"/>
        <w:numPr>
          <w:numId w:val="11"/>
        </w:numPr>
      </w:pPr>
      <w:r>
        <w:t xml:space="preserve">Each zone must be backed by a single cluster and each region quota must be associated with only one </w:t>
      </w:r>
      <w:r>
        <w:t>Supervisor</w:t>
      </w:r>
      <w:r>
        <w:t>.</w:t>
      </w:r>
    </w:p>
    <w:p>
      <w:pPr>
        <w:pStyle w:val="BodyText"/>
        <w:numPr>
          <w:numId w:val="11"/>
        </w:numPr>
      </w:pPr>
      <w:r>
        <w:t>To avoid overwhelming end users with too many options, you can use the UI to set up a maximum of 3 zones per region quota.</w:t>
      </w:r>
    </w:p>
    <w:p>
      <w:pPr>
        <w:pStyle w:val="BodyText"/>
      </w:pPr>
      <w:r>
        <w:t>When assigning a region quota:</w:t>
      </w:r>
    </w:p>
    <w:p>
      <w:pPr>
        <w:pStyle w:val="BodyText"/>
        <w:numPr>
          <w:numId w:val="12"/>
        </w:numPr>
      </w:pPr>
      <w:r>
        <w:t>You must specify the CPU and memory capacity per zone.</w:t>
      </w:r>
    </w:p>
    <w:p>
      <w:pPr>
        <w:pStyle w:val="BodyText"/>
        <w:numPr>
          <w:numId w:val="12"/>
        </w:numPr>
      </w:pPr>
      <w:r>
        <w:t>VM classes and storage classes are defined at the region quota level and apply to all zones in that quota.</w:t>
      </w:r>
    </w:p>
    <w:p>
      <w:pPr>
        <w:pStyle w:val="SectionHeading2"/>
      </w:pPr>
      <w:bookmarkStart w:id="19" w:name="_Toc256000442"/>
      <w:r>
        <w:t>VCF Automation Networking</w:t>
      </w:r>
      <w:bookmarkEnd w:id="19"/>
    </w:p>
    <w:p>
      <w:pPr>
        <w:pStyle w:val="BodyText"/>
      </w:pPr>
      <w:r>
        <w:t xml:space="preserve">To leverage the networking capabilities of </w:t>
      </w:r>
      <w:r>
        <w:t>VCF Automation</w:t>
      </w:r>
      <w:r>
        <w:t xml:space="preserve"> for organizations for all applications, you can add and manage your infrastructure and cloud networking resources through the </w:t>
      </w:r>
      <w:r>
        <w:t>Provider Management Portal</w:t>
      </w:r>
      <w:r>
        <w:t>.</w:t>
      </w:r>
    </w:p>
    <w:p>
      <w:pPr>
        <w:pStyle w:val="BodyText"/>
      </w:pPr>
      <w:r>
        <w:t>The networking capabilities of organizations for all applications are defined in two categories:</w:t>
      </w:r>
    </w:p>
    <w:p>
      <w:pPr>
        <w:pStyle w:val="BodyText"/>
        <w:numPr>
          <w:numId w:val="13"/>
        </w:numPr>
      </w:pPr>
      <w:r>
        <w:t>Tenancy to support overall tenancy story with organizations for all applications</w:t>
      </w:r>
    </w:p>
    <w:p>
      <w:pPr>
        <w:pStyle w:val="BodyText"/>
        <w:numPr>
          <w:numId w:val="13"/>
        </w:numPr>
      </w:pPr>
      <w:r>
        <w:t>Self-service networking for organization administrators and users</w:t>
      </w:r>
    </w:p>
    <w:p>
      <w:pPr>
        <w:pStyle w:val="BodyText"/>
      </w:pPr>
      <w:r>
        <w:t xml:space="preserve">After creating a tier-0 gateway in </w:t>
      </w:r>
      <w:r>
        <w:t>NSX Manager</w:t>
      </w:r>
      <w:r>
        <w:t xml:space="preserve">, you define networking configurations for regions in the </w:t>
      </w:r>
      <w:r>
        <w:t>VCF Automation Provider Management Portal</w:t>
      </w:r>
      <w:r>
        <w:t xml:space="preserve">. See </w:t>
      </w:r>
      <w:r>
        <w:t>Add an Tier-0 Gateway</w:t>
      </w:r>
      <w:r>
        <w:t>.</w:t>
      </w:r>
    </w:p>
    <w:p>
      <w:pPr>
        <w:pStyle w:val="BodyText"/>
        <w:numPr>
          <w:numId w:val="14"/>
        </w:numPr>
      </w:pPr>
      <w:r>
        <w:t>Determine the set of IPs that organizations have access to and define IP spaces for these IPs. At least one IP space is required per region.</w:t>
      </w:r>
    </w:p>
    <w:p>
      <w:pPr>
        <w:pStyle w:val="BodyText"/>
        <w:ind w:left="480"/>
      </w:pPr>
      <w:r>
        <w:t>The IP Spaces are used to define the routing for the provider gateway. You must define in NSX the external IP spaces that are being routed.</w:t>
      </w:r>
    </w:p>
    <w:p>
      <w:pPr>
        <w:pStyle w:val="BodyText"/>
        <w:numPr>
          <w:numId w:val="14"/>
        </w:numPr>
      </w:pPr>
      <w:r>
        <w:t xml:space="preserve">Define provider gateways that organizations can use for north-south connectivity. You define provider gateways by discovering your preexisting tier-0 gateways in </w:t>
      </w:r>
      <w:r>
        <w:rPr>
          <w:rStyle w:val="InlineCode"/>
        </w:rPr>
        <w:t>Active Standby</w:t>
      </w:r>
      <w:r>
        <w:t xml:space="preserve"> mode from </w:t>
      </w:r>
      <w:r>
        <w:t>NSX</w:t>
      </w:r>
      <w:r>
        <w:t xml:space="preserve"> . You must have at least one provider gateway per region.</w:t>
      </w:r>
    </w:p>
    <w:p>
      <w:pPr>
        <w:pStyle w:val="BodyText"/>
        <w:numPr>
          <w:numId w:val="14"/>
        </w:numPr>
      </w:pPr>
      <w:r>
        <w:t>Verify that all edge clusters are synchronized.</w:t>
      </w:r>
    </w:p>
    <w:p>
      <w:pPr>
        <w:pStyle w:val="BodyText"/>
        <w:numPr>
          <w:numId w:val="14"/>
        </w:numPr>
      </w:pPr>
      <w:r>
        <w:t>Assign resources to organizations.</w:t>
      </w:r>
    </w:p>
    <w:p>
      <w:pPr>
        <w:pStyle w:val="SectionHeading2"/>
      </w:pPr>
      <w:bookmarkStart w:id="20" w:name="_Toc256000443"/>
      <w:r>
        <w:t>Organizations</w:t>
      </w:r>
      <w:bookmarkEnd w:id="20"/>
    </w:p>
    <w:p>
      <w:pPr>
        <w:pStyle w:val="BodyText"/>
      </w:pPr>
      <w:r>
        <w:t>VCF Automation</w:t>
      </w:r>
      <w:r>
        <w:t xml:space="preserve"> supports multi-tenancy by using organizations. An organization is a top level entity that represents a line of business or a tenant. Each organization operates in a secure and isolated environment where users can access only allocated services and resources.</w:t>
      </w:r>
    </w:p>
    <w:p>
      <w:pPr>
        <w:pStyle w:val="BodyText"/>
      </w:pPr>
      <w:r>
        <w:t xml:space="preserve">You can create two types of organizations. The organizations for all applications are the primary multi-tenancy model within VCF Automation. Organizations for </w:t>
      </w:r>
      <w:r>
        <w:rPr>
          <w:rStyle w:val="InlineUI"/>
        </w:rPr>
        <w:t>All Apps</w:t>
      </w:r>
      <w:r>
        <w:t xml:space="preserve"> use the underlying </w:t>
      </w:r>
      <w:r>
        <w:t xml:space="preserve"> infrastructure. From the </w:t>
      </w:r>
      <w:r>
        <w:t>VCF Automation Provider Management Portal</w:t>
      </w:r>
      <w:r>
        <w:t xml:space="preserve">, you can create one organization using </w:t>
      </w:r>
      <w:r>
        <w:t>vSphere</w:t>
      </w:r>
      <w:r>
        <w:t xml:space="preserve"> cluster capabilities which do not require a </w:t>
      </w:r>
      <w:r>
        <w:t>Supervisor</w:t>
      </w:r>
      <w:r>
        <w:t xml:space="preserve">, shared infrastructure, or tenancy isolation. This option is most suitable for </w:t>
      </w:r>
      <w:r>
        <w:t>VMware Aria Automation</w:t>
      </w:r>
      <w:r>
        <w:t xml:space="preserve"> customers who want to continue leveraging the capabilities to provision VM-based applications without any disruptions to your business operations.</w:t>
      </w:r>
    </w:p>
    <w:p>
      <w:pPr>
        <w:pStyle w:val="BodyText"/>
      </w:pPr>
      <w:r>
        <w:t>Regardless of the type, each organization has its own organization portal where users log in to consume resources and services. Every organization has its own identity source that they connect to and can import users from.</w:t>
      </w:r>
    </w:p>
    <w:p>
      <w:pPr>
        <w:pStyle w:val="SectionHeading2"/>
      </w:pPr>
      <w:bookmarkStart w:id="21" w:name="_Toc256000444"/>
      <w:r>
        <w:t>Content Libraries</w:t>
      </w:r>
      <w:bookmarkEnd w:id="21"/>
    </w:p>
    <w:p>
      <w:pPr>
        <w:pStyle w:val="BodyText"/>
      </w:pPr>
      <w:r>
        <w:t xml:space="preserve">A </w:t>
      </w:r>
      <w:r>
        <w:t>VCF Automation</w:t>
      </w:r>
      <w:r>
        <w:t xml:space="preserve"> provider content library is an abstraction in </w:t>
      </w:r>
      <w:r>
        <w:t>VCF Automation</w:t>
      </w:r>
      <w:r>
        <w:t xml:space="preserve"> that provides a single interface for provider administrators to share content with organizations across regions and to manage their content across the regions. Content libraries contain VM images hosted in </w:t>
      </w:r>
      <w:r>
        <w:t>vCenter</w:t>
      </w:r>
      <w:r>
        <w:t xml:space="preserve"> that can be used in blueprints or IaaS services. The provider content libraries are read-only to the users of the organizations.</w:t>
      </w:r>
    </w:p>
    <w:p>
      <w:pPr>
        <w:pStyle w:val="BodyText"/>
      </w:pPr>
      <w:r>
        <w:t>Content libraries host VM images that application teams use when deploying resources. Organizations can either use content libraries that are provided by the provider administrator or create their own organization-specific content libraries.</w:t>
      </w:r>
    </w:p>
    <w:p>
      <w:pPr>
        <w:pStyle w:val="SectionHeading2"/>
      </w:pPr>
      <w:bookmarkStart w:id="22" w:name="_Toc256000445"/>
      <w:r>
        <w:t>Services</w:t>
      </w:r>
      <w:bookmarkEnd w:id="22"/>
    </w:p>
    <w:p>
      <w:pPr>
        <w:pStyle w:val="BodyText"/>
      </w:pPr>
      <w:r>
        <w:t xml:space="preserve">Services in </w:t>
      </w:r>
      <w:r>
        <w:t>VCF Automation</w:t>
      </w:r>
      <w:r>
        <w:t xml:space="preserve"> are value-added solutions provided by Broadcom and third-party vendors. The </w:t>
      </w:r>
      <w:r>
        <w:t>VCF Automation</w:t>
      </w:r>
      <w:r>
        <w:t xml:space="preserve"> services enhance and extend the functionality of the VCF platform. These services integrate natively with the VCF architecture enabling </w:t>
      </w:r>
      <w:r>
        <w:t>VCF Automation</w:t>
      </w:r>
      <w:r>
        <w:t xml:space="preserve"> organizations to leverage tailored solutions for automation, scalability, security, and application management. A service can encapsulate UI and API </w:t>
      </w:r>
      <w:r>
        <w:t>VCF Automation</w:t>
      </w:r>
      <w:r>
        <w:t xml:space="preserve"> extensions together with their backend services and lifecycle management.</w:t>
      </w:r>
    </w:p>
    <w:p>
      <w:pPr>
        <w:pStyle w:val="SectionHeading2"/>
      </w:pPr>
      <w:bookmarkStart w:id="23" w:name="_Toc256000446"/>
      <w:r>
        <w:t>Provider Administrator Workflow Example</w:t>
      </w:r>
      <w:bookmarkEnd w:id="23"/>
    </w:p>
    <w:p>
      <w:pPr>
        <w:pStyle w:val="BodyText"/>
      </w:pPr>
      <w:r>
        <w:t xml:space="preserve">As a </w:t>
      </w:r>
      <w:r>
        <w:rPr>
          <w:rStyle w:val="InlineUI"/>
        </w:rPr>
        <w:t>Provider Administrator</w:t>
      </w:r>
      <w:r>
        <w:t xml:space="preserve">, you manage the overall infrastructure in </w:t>
      </w:r>
      <w:r>
        <w:t>VCF Automation</w:t>
      </w:r>
      <w:r>
        <w:t xml:space="preserve">. You must create one or more organizations and assign resources to those organizations. You can use the following as a sample workflow of your primary tasks as a </w:t>
      </w:r>
      <w:r>
        <w:rPr>
          <w:rStyle w:val="InlineUI"/>
        </w:rPr>
        <w:t>Provider Administrator</w:t>
      </w:r>
      <w:r>
        <w:t>.</w:t>
      </w:r>
    </w:p>
    <w:p>
      <w:pPr>
        <w:pStyle w:val="BodyText"/>
        <w:numPr>
          <w:numId w:val="15"/>
        </w:numPr>
      </w:pPr>
      <w:r>
        <w:t xml:space="preserve">Configure an identity provider.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B5794acb336c44739a28221bf8424f6d8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Identity Providers in VCF Automation</w:t>
      </w:r>
      <w:r>
        <w:fldChar w:fldCharType="end"/>
      </w:r>
      <w:r>
        <w:t>.</w:t>
      </w:r>
    </w:p>
    <w:p>
      <w:pPr>
        <w:pStyle w:val="BodyText"/>
        <w:numPr>
          <w:numId w:val="15"/>
        </w:numPr>
      </w:pPr>
      <w:r>
        <w:t xml:space="preserve">Configure the </w:t>
      </w:r>
      <w:r>
        <w:t>VCF Automation</w:t>
      </w:r>
      <w:r>
        <w:t xml:space="preserve"> access control.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B0de95dc465e74bbaa05ab57d61b2bcc4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the VCF Automation Access Control</w:t>
      </w:r>
      <w:r>
        <w:fldChar w:fldCharType="end"/>
      </w:r>
      <w:r>
        <w:t>.</w:t>
      </w:r>
    </w:p>
    <w:p>
      <w:pPr>
        <w:pStyle w:val="BodyText"/>
        <w:numPr>
          <w:numId w:val="1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B7c1d1a37e6c84e0293e7ae90ce69964f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Region in Your VCF Automation</w:t>
      </w:r>
      <w:r>
        <w:fldChar w:fldCharType="end"/>
      </w:r>
      <w:r>
        <w:t>.</w:t>
      </w:r>
    </w:p>
    <w:p>
      <w:pPr>
        <w:pStyle w:val="BodyText"/>
        <w:numPr>
          <w:numId w:val="15"/>
        </w:numPr>
      </w:pPr>
      <w:r>
        <w:t xml:space="preserve">Create an organization for </w:t>
      </w:r>
      <w:r>
        <w:rPr>
          <w:rStyle w:val="InlineUI"/>
        </w:rPr>
        <w:t>All Apps</w:t>
      </w:r>
      <w:r>
        <w:t xml:space="preserve"> or </w:t>
      </w:r>
      <w:r>
        <w:rPr>
          <w:rStyle w:val="InlineUI"/>
        </w:rPr>
        <w:t>VM Apps</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B4c65419ecb4b4ed1b0e9876456304bf8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VCF Automation Organization for All Applications</w:t>
      </w:r>
      <w:r>
        <w:fldChar w:fldCharType="end"/>
      </w:r>
      <w:r>
        <w:t xml:space="preserve">, or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B9da89ecb90064504b004bf9265178e09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VCF Automation Organization for VM Applications</w:t>
      </w:r>
      <w:r>
        <w:fldChar w:fldCharType="end"/>
      </w:r>
      <w:r>
        <w:t>.</w:t>
      </w:r>
    </w:p>
    <w:p>
      <w:pPr>
        <w:pStyle w:val="BodyText"/>
        <w:numPr>
          <w:numId w:val="1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Befe02593e3a74ebb9c22f75da620371e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the Region Network Configurations of a VCF Automation Organization</w:t>
      </w:r>
      <w:r>
        <w:fldChar w:fldCharType="end"/>
      </w:r>
      <w:r>
        <w:t>.</w:t>
      </w:r>
    </w:p>
    <w:p>
      <w:pPr>
        <w:pStyle w:val="BodyText"/>
        <w:numPr>
          <w:numId w:val="1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Bdd33c188c1e24386ae109da1247d6d65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Region Quota to a VCF Automation Organization</w:t>
      </w:r>
      <w:r>
        <w:fldChar w:fldCharType="end"/>
      </w:r>
      <w:r>
        <w:t>.</w:t>
      </w:r>
    </w:p>
    <w:p>
      <w:pPr>
        <w:pStyle w:val="BodyText"/>
        <w:numPr>
          <w:numId w:val="15"/>
        </w:numPr>
      </w:pPr>
      <w:r>
        <w:t xml:space="preserve">Configure the networking resources.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Bdd72d356d4d64804804e0edc0cd89bc9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Networking Resources in the VCF Automation Provider Management Portal</w:t>
      </w:r>
      <w:r>
        <w:fldChar w:fldCharType="end"/>
      </w:r>
      <w:r>
        <w:t>.</w:t>
      </w:r>
    </w:p>
    <w:p>
      <w:pPr>
        <w:pStyle w:val="BodyText"/>
        <w:numPr>
          <w:numId w:val="1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Bbd80b42789fc4a79a887aea3dafbe1ac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Upload a Service to Your VCF Automation</w:t>
      </w:r>
      <w:r>
        <w:fldChar w:fldCharType="end"/>
      </w:r>
      <w:r>
        <w:t>.</w:t>
      </w:r>
    </w:p>
    <w:p>
      <w:pPr>
        <w:pStyle w:val="BodyText"/>
      </w:pPr>
      <w:r>
        <w:t xml:space="preserve">When you set up the necessary infrastructure, </w:t>
      </w:r>
      <w:r>
        <w:rPr>
          <w:rStyle w:val="InlineUI"/>
        </w:rPr>
        <w:t>Organization Administrators</w:t>
      </w:r>
      <w:r>
        <w:t xml:space="preserve"> can use the first user credentials, that you configure during the organization creation, to log in to their respective organizations by using the </w:t>
      </w:r>
      <w:r>
        <w:t>Organization Portal</w:t>
      </w:r>
      <w:r>
        <w:t xml:space="preserve">. See </w:t>
      </w:r>
      <w:r>
        <w:t>Managing Organizations in</w:t>
      </w:r>
      <w:r>
        <w:t xml:space="preserve"> and </w:t>
      </w:r>
      <w:r>
        <w:t>Managing Organizations for VM Apps in</w:t>
      </w:r>
      <w:r>
        <w:t>.</w:t>
      </w:r>
    </w:p>
    <w:p>
      <w:pPr>
        <w:pStyle w:val="Heading1"/>
      </w:pPr>
      <w:bookmarkStart w:id="24" w:name="_Toc256000447"/>
      <w:r>
        <w:t>Getting Started with the VCF Automation Provider Management Portal</w:t>
      </w:r>
      <w:bookmarkEnd w:id="24"/>
    </w:p>
    <w:p>
      <w:pPr>
        <w:pStyle w:val="BodyText"/>
      </w:pPr>
      <w:r>
        <w:t xml:space="preserve">The </w:t>
      </w:r>
      <w:r>
        <w:t>VCF Automation Provider Management Portal</w:t>
      </w:r>
      <w:r>
        <w:t xml:space="preserve"> is a dedicated interface for Provider Administrators.</w:t>
      </w:r>
    </w:p>
    <w:p>
      <w:pPr>
        <w:pStyle w:val="BodyText"/>
      </w:pPr>
      <w:r>
        <w:t xml:space="preserve">For more information about the terms and components of </w:t>
      </w:r>
      <w:r>
        <w:t>VCF Automation</w:t>
      </w:r>
      <w:r>
        <w:t xml:space="preserve"> Provider Management,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Bdefdaded555a407385fba74c254d99ea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Overview of VCF Automation Provider Management</w:t>
      </w:r>
      <w:r>
        <w:fldChar w:fldCharType="end"/>
      </w:r>
      <w:r>
        <w:t>.</w:t>
      </w:r>
    </w:p>
    <w:p>
      <w:pPr>
        <w:pStyle w:val="Heading2"/>
      </w:pPr>
      <w:bookmarkStart w:id="25" w:name="_Toc256000448"/>
      <w:r>
        <w:t>Quick Start Your VCF Automation Setup</w:t>
      </w:r>
      <w:bookmarkEnd w:id="25"/>
    </w:p>
    <w:p>
      <w:pPr>
        <w:pStyle w:val="BodyText"/>
      </w:pPr>
      <w:r>
        <w:t xml:space="preserve">You can go through a simplified wizard for the creation of an organization for all applications with certain predefined settings. </w:t>
      </w:r>
      <w:r>
        <w:rPr>
          <w:rStyle w:val="InlineUI"/>
        </w:rPr>
        <w:t>Quick Start</w:t>
      </w:r>
      <w:r>
        <w:t xml:space="preserve"> is an alternative to manually setting up all aspects of your first organization in </w:t>
      </w:r>
      <w:r>
        <w:t>VCF Automation</w:t>
      </w:r>
      <w:r>
        <w:t>.</w:t>
      </w:r>
    </w:p>
    <w:p>
      <w:pPr>
        <w:pStyle w:val="BodyText"/>
      </w:pPr>
      <w:r>
        <w:t>You have two primary options when setting up your tenant organization:</w:t>
      </w:r>
    </w:p>
    <w:p>
      <w:pPr>
        <w:pStyle w:val="BodyText"/>
        <w:numPr>
          <w:numId w:val="16"/>
        </w:numPr>
      </w:pPr>
      <w:r>
        <w:t xml:space="preserve">The </w:t>
      </w:r>
      <w:r>
        <w:rPr>
          <w:rStyle w:val="InlineUI"/>
        </w:rPr>
        <w:t>Quick Start</w:t>
      </w:r>
      <w:r>
        <w:t xml:space="preserve"> is designed for efficiency by automatically creating a fully functional tenant organization along with all the necessary resources. The </w:t>
      </w:r>
      <w:r>
        <w:rPr>
          <w:rStyle w:val="InlineUI"/>
        </w:rPr>
        <w:t>Quick Start</w:t>
      </w:r>
      <w:r>
        <w:t xml:space="preserve"> is the recommended choice for single-tenant setups or exploring and testing </w:t>
      </w:r>
      <w:r>
        <w:t>VCF Automation</w:t>
      </w:r>
      <w:r>
        <w:t>. You can modify the resulting organization for production use.</w:t>
      </w:r>
    </w:p>
    <w:p>
      <w:pPr>
        <w:pStyle w:val="BodyText"/>
        <w:numPr>
          <w:numId w:val="16"/>
        </w:numPr>
      </w:pPr>
      <w:r>
        <w:t xml:space="preserve">The </w:t>
      </w:r>
      <w:r>
        <w:rPr>
          <w:rStyle w:val="InlineUI"/>
        </w:rPr>
        <w:t>Manual Setup</w:t>
      </w:r>
      <w:r>
        <w:t xml:space="preserve"> appears as a check list of tasks in the UI and is intended to remind you of the tasks that you must carry out to realize the full capabilities of the </w:t>
      </w:r>
      <w:r>
        <w:t>Provider Management Portal</w:t>
      </w:r>
      <w:r>
        <w:t>. When you complete a task, it automatically turns into a check mark.</w:t>
      </w:r>
    </w:p>
    <w:p>
      <w:pPr>
        <w:pStyle w:val="BodyText"/>
      </w:pPr>
      <w:r>
        <w:t xml:space="preserve">Creating an organization by using the </w:t>
      </w:r>
      <w:r>
        <w:rPr>
          <w:rStyle w:val="InlineUI"/>
        </w:rPr>
        <w:t>Quick Start</w:t>
      </w:r>
      <w:r>
        <w:t xml:space="preserve"> option does not have any limitations compared to the </w:t>
      </w:r>
      <w:r>
        <w:rPr>
          <w:rStyle w:val="InlineUI"/>
        </w:rPr>
        <w:t>Manual Setup</w:t>
      </w:r>
      <w:r>
        <w:t xml:space="preserve"> and you can change the configuration of the organization after its creation.</w:t>
      </w:r>
    </w:p>
    <w:p>
      <w:pPr>
        <w:pStyle w:val="BodyText"/>
      </w:pPr>
      <w:r>
        <w:t xml:space="preserve">You can use the </w:t>
      </w:r>
      <w:r>
        <w:rPr>
          <w:rStyle w:val="InlineUI"/>
        </w:rPr>
        <w:t>Quick Start</w:t>
      </w:r>
      <w:r>
        <w:t xml:space="preserve"> option only once. The </w:t>
      </w:r>
      <w:r>
        <w:rPr>
          <w:rStyle w:val="InlineUI"/>
        </w:rPr>
        <w:t>Quick Start</w:t>
      </w:r>
      <w:r>
        <w:t xml:space="preserve"> option disappears after you set up the first organization and region either through the </w:t>
      </w:r>
      <w:r>
        <w:rPr>
          <w:rStyle w:val="InlineUI"/>
        </w:rPr>
        <w:t>Quick Start</w:t>
      </w:r>
      <w:r>
        <w:t xml:space="preserve"> or the </w:t>
      </w:r>
      <w:r>
        <w:rPr>
          <w:rStyle w:val="InlineUI"/>
        </w:rPr>
        <w:t>Manual Setup</w:t>
      </w:r>
      <w:r>
        <w:t xml:space="preserve"> options. The </w:t>
      </w:r>
      <w:r>
        <w:rPr>
          <w:rStyle w:val="InlineUI"/>
        </w:rPr>
        <w:t>Quick Start</w:t>
      </w:r>
      <w:r>
        <w:t xml:space="preserve"> uses the first available tier-0 gateway in </w:t>
      </w:r>
      <w:r>
        <w:t>NSX</w:t>
      </w:r>
      <w:r>
        <w:t xml:space="preserve">, and creates a provider gateway for that tier-0. To create an IP space, </w:t>
      </w:r>
      <w:r>
        <w:t>VCF Automation</w:t>
      </w:r>
      <w:r>
        <w:t xml:space="preserve"> uses an IPv4 block with external visibility in </w:t>
      </w:r>
      <w:r>
        <w:t>NSX</w:t>
      </w:r>
      <w:r>
        <w:t xml:space="preserve">. If you want to ensure that </w:t>
      </w:r>
      <w:r>
        <w:t>VCF Automation</w:t>
      </w:r>
      <w:r>
        <w:t xml:space="preserve"> uses the tier-0 gateway and IP blocks generated during the workload domain configuration, do not add any additional tier-0 gateways or IP blocks. When creating the organization, </w:t>
      </w:r>
      <w:r>
        <w:t>VCF Automation</w:t>
      </w:r>
      <w:r>
        <w:t xml:space="preserve"> automatically sets up the organization's quota and networking, including the transit gateway and VPC.</w:t>
      </w:r>
    </w:p>
    <w:p>
      <w:pPr>
        <w:pStyle w:val="BodyText"/>
      </w:pPr>
      <w:r>
        <w:rPr>
          <w:rStyle w:val="Strong"/>
        </w:rPr>
        <w:t>Prerequisites</w:t>
      </w:r>
    </w:p>
    <w:p>
      <w:pPr>
        <w:pStyle w:val="BodyText"/>
        <w:numPr>
          <w:numId w:val="17"/>
        </w:numPr>
      </w:pPr>
      <w:r>
        <w:t xml:space="preserve">Verify that you complete the </w:t>
      </w:r>
      <w:r>
        <w:t>VMware Cloud Foundation</w:t>
      </w:r>
      <w:r>
        <w:t xml:space="preserve"> wizard for setting up your </w:t>
      </w:r>
      <w:r>
        <w:t>vCenter</w:t>
      </w:r>
      <w:r>
        <w:t xml:space="preserve"> and </w:t>
      </w:r>
      <w:r>
        <w:t>NSX</w:t>
      </w:r>
      <w:r>
        <w:t xml:space="preserve"> infrastructure. See </w:t>
      </w:r>
      <w:r>
        <w:t>Getting Started with</w:t>
      </w:r>
      <w:r>
        <w:t>.</w:t>
      </w:r>
    </w:p>
    <w:p>
      <w:pPr>
        <w:pStyle w:val="BodyText"/>
        <w:numPr>
          <w:numId w:val="17"/>
        </w:numPr>
      </w:pPr>
      <w:r>
        <w:t xml:space="preserve">Verify that your </w:t>
      </w:r>
      <w:r>
        <w:t>vCenter</w:t>
      </w:r>
      <w:r>
        <w:t xml:space="preserve"> instance has a </w:t>
      </w:r>
      <w:r>
        <w:t>Supervisor</w:t>
      </w:r>
      <w:r>
        <w:t xml:space="preserve"> with VPS networking enabled. See </w:t>
      </w:r>
      <w:r>
        <w:t>Deploying with Networking</w:t>
      </w:r>
      <w:r>
        <w:t>.</w:t>
      </w:r>
    </w:p>
    <w:p>
      <w:pPr>
        <w:pStyle w:val="BodyText"/>
        <w:numPr>
          <w:numId w:val="17"/>
        </w:numPr>
      </w:pPr>
      <w:r>
        <w:t xml:space="preserve">Verify that the matching </w:t>
      </w:r>
      <w:r>
        <w:t>NSX Manager</w:t>
      </w:r>
      <w:r>
        <w:t xml:space="preserve"> for the </w:t>
      </w:r>
      <w:r>
        <w:t>Supervisor</w:t>
      </w:r>
      <w:r>
        <w:t xml:space="preserve"> is registered in your environment.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Bafcf42607f384998a2dd9b0d349811bf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View and Manage Your NSX Manager Instances</w:t>
      </w:r>
      <w:r>
        <w:fldChar w:fldCharType="end"/>
      </w:r>
      <w:r>
        <w:t>.</w:t>
      </w:r>
    </w:p>
    <w:p>
      <w:pPr>
        <w:pStyle w:val="BodyText"/>
        <w:numPr>
          <w:numId w:val="17"/>
        </w:numPr>
      </w:pPr>
      <w:r>
        <w:t xml:space="preserve">In </w:t>
      </w:r>
      <w:r>
        <w:t>NSX Manager</w:t>
      </w:r>
      <w:r>
        <w:t xml:space="preserve">, create an </w:t>
      </w:r>
      <w:r>
        <w:rPr>
          <w:rStyle w:val="InlineCode"/>
        </w:rPr>
        <w:t>Active Standby</w:t>
      </w:r>
      <w:r>
        <w:t xml:space="preserve"> tier-0 or tier-0 VRF gateway. You can create the tier-0 gateway in the </w:t>
      </w:r>
      <w:r>
        <w:t>NSX Manager</w:t>
      </w:r>
      <w:r>
        <w:t xml:space="preserve"> UI or by using the NSX Policy API.</w:t>
      </w:r>
    </w:p>
    <w:p>
      <w:pPr>
        <w:pStyle w:val="BodyText"/>
        <w:ind w:left="480"/>
      </w:pPr>
      <w:r>
        <w:t xml:space="preserve">If you want to add a tier-0 gateway that is backed by a VRF gateway in </w:t>
      </w:r>
      <w:r>
        <w:t>NSX</w:t>
      </w:r>
      <w:r>
        <w:t>, you must also create a VRF gateway that is linked to the tier-0 gateway.</w:t>
      </w:r>
    </w:p>
    <w:p>
      <w:pPr>
        <w:pStyle w:val="BodyText"/>
        <w:ind w:left="480"/>
      </w:pPr>
      <w:r>
        <w:t xml:space="preserve">Create a tier-0 gateway in the </w:t>
      </w:r>
      <w:r>
        <w:t>NSX Manager</w:t>
      </w:r>
      <w:r>
        <w:t xml:space="preserve"> UI.</w:t>
      </w:r>
    </w:p>
    <w:p>
      <w:pPr>
        <w:pStyle w:val="BodyText"/>
        <w:numPr>
          <w:ilvl w:val="1"/>
          <w:numId w:val="17"/>
        </w:numPr>
      </w:pPr>
      <w:r>
        <w:t xml:space="preserve">Log in with administrative privileges to the </w:t>
      </w:r>
      <w:r>
        <w:t>NSX Manager</w:t>
      </w:r>
      <w:r>
        <w:t xml:space="preserve"> instance.</w:t>
      </w:r>
    </w:p>
    <w:p>
      <w:pPr>
        <w:pStyle w:val="BodyText"/>
        <w:numPr>
          <w:ilvl w:val="1"/>
          <w:numId w:val="17"/>
        </w:numPr>
      </w:pPr>
      <w:r>
        <w:t xml:space="preserve">Click </w:t>
      </w:r>
      <w:r>
        <w:rPr>
          <w:rStyle w:val="InlineUI"/>
        </w:rPr>
        <w:t>Networking</w:t>
      </w:r>
      <w:r>
        <w:t xml:space="preserve">, click </w:t>
      </w:r>
      <w:r>
        <w:rPr>
          <w:rStyle w:val="InlineUI"/>
        </w:rPr>
        <w:t>Tier-0 Gateways</w:t>
      </w:r>
      <w:r>
        <w:t xml:space="preserve">, and click </w:t>
      </w:r>
      <w:r>
        <w:rPr>
          <w:rStyle w:val="InlineUI"/>
        </w:rPr>
        <w:t>Add Gateway</w:t>
      </w:r>
      <w:r>
        <w:rPr>
          <w:rStyle w:val="InlineUI"/>
        </w:rPr>
        <w:t xml:space="preserve"> &gt; </w:t>
      </w:r>
      <w:r>
        <w:rPr>
          <w:rStyle w:val="InlineUI"/>
        </w:rPr>
        <w:t>Tier-0</w:t>
      </w:r>
      <w:r>
        <w:t>.</w:t>
      </w:r>
    </w:p>
    <w:p>
      <w:pPr>
        <w:pStyle w:val="BodyText"/>
        <w:numPr>
          <w:ilvl w:val="1"/>
          <w:numId w:val="17"/>
        </w:numPr>
      </w:pPr>
      <w:r>
        <w:t>Enter a name for the tier-0 gateway.</w:t>
      </w:r>
    </w:p>
    <w:p>
      <w:pPr>
        <w:pStyle w:val="BodyText"/>
        <w:numPr>
          <w:ilvl w:val="1"/>
          <w:numId w:val="17"/>
        </w:numPr>
      </w:pPr>
      <w:r>
        <w:t xml:space="preserve">Select the </w:t>
      </w:r>
      <w:r>
        <w:rPr>
          <w:rStyle w:val="InlineCode"/>
        </w:rPr>
        <w:t>Active Standby</w:t>
      </w:r>
      <w:r>
        <w:t xml:space="preserve"> mode.</w:t>
      </w:r>
    </w:p>
    <w:p>
      <w:pPr>
        <w:pStyle w:val="BodyText"/>
        <w:pBdr>
          <w:top w:val="single" w:sz="8" w:space="2" w:color="D3D3D3"/>
          <w:bottom w:val="single" w:sz="8" w:space="2" w:color="D3D3D3"/>
        </w:pBdr>
        <w:ind w:left="960"/>
      </w:pPr>
      <w:r>
        <w:rPr>
          <w:rStyle w:val="NoteLeadernote"/>
        </w:rPr>
        <w:t>Note</w:t>
        <w:tab/>
      </w:r>
      <w:r>
        <w:t xml:space="preserve">For </w:t>
      </w:r>
      <w:r>
        <w:t>VCF Automation</w:t>
      </w:r>
      <w:r>
        <w:t xml:space="preserve"> 9.0, only active-standby mode is supported. In active-standby mode, an elected active member processes the traffic. If the active member fails, a new member becomes active.</w:t>
      </w:r>
    </w:p>
    <w:p>
      <w:pPr>
        <w:pStyle w:val="BodyText"/>
        <w:numPr>
          <w:ilvl w:val="1"/>
          <w:numId w:val="17"/>
        </w:numPr>
      </w:pPr>
      <w:r>
        <w:t xml:space="preserve">Select an existing </w:t>
      </w:r>
      <w:r>
        <w:t>NSX</w:t>
      </w:r>
      <w:r>
        <w:t xml:space="preserve"> Edge cluster from the drop-down menu to back this tier-0 gateway, and click </w:t>
      </w:r>
      <w:r>
        <w:rPr>
          <w:rStyle w:val="InlineUI"/>
        </w:rPr>
        <w:t>Save</w:t>
      </w:r>
      <w:r>
        <w:t>.</w:t>
      </w:r>
    </w:p>
    <w:p>
      <w:pPr>
        <w:pStyle w:val="BodyText"/>
        <w:numPr>
          <w:ilvl w:val="1"/>
          <w:numId w:val="17"/>
        </w:numPr>
      </w:pPr>
      <w:r>
        <w:t xml:space="preserve">To skip further configurations, click </w:t>
      </w:r>
      <w:r>
        <w:rPr>
          <w:rStyle w:val="InlineUI"/>
        </w:rPr>
        <w:t>No</w:t>
      </w:r>
      <w:r>
        <w:t>.</w:t>
      </w:r>
    </w:p>
    <w:p>
      <w:pPr>
        <w:pStyle w:val="BodyText"/>
        <w:ind w:left="480"/>
      </w:pPr>
      <w:r>
        <w:t xml:space="preserve">If you want to add a tier-0 gateway that is backed by a VRF gateway in </w:t>
      </w:r>
      <w:r>
        <w:t>NSX</w:t>
      </w:r>
      <w:r>
        <w:t>, create a VRF gateway that is linked to the tier-0 gateway.</w:t>
      </w:r>
    </w:p>
    <w:p>
      <w:pPr>
        <w:pStyle w:val="BodyText"/>
        <w:numPr>
          <w:ilvl w:val="1"/>
          <w:numId w:val="17"/>
        </w:numPr>
      </w:pPr>
      <w:r>
        <w:t xml:space="preserve">Log in with administrative privileges to the </w:t>
      </w:r>
      <w:r>
        <w:t>NSX Manager</w:t>
      </w:r>
      <w:r>
        <w:t xml:space="preserve"> instance.</w:t>
      </w:r>
    </w:p>
    <w:p>
      <w:pPr>
        <w:pStyle w:val="BodyText"/>
        <w:numPr>
          <w:ilvl w:val="1"/>
          <w:numId w:val="17"/>
        </w:numPr>
      </w:pPr>
      <w:r>
        <w:t xml:space="preserve">Click </w:t>
      </w:r>
      <w:r>
        <w:rPr>
          <w:rStyle w:val="InlineUI"/>
        </w:rPr>
        <w:t>Networking</w:t>
      </w:r>
      <w:r>
        <w:t xml:space="preserve">, click </w:t>
      </w:r>
      <w:r>
        <w:rPr>
          <w:rStyle w:val="InlineUI"/>
        </w:rPr>
        <w:t>Tier-0 Gateways</w:t>
      </w:r>
      <w:r>
        <w:t xml:space="preserve">, and click </w:t>
      </w:r>
      <w:r>
        <w:rPr>
          <w:rStyle w:val="InlineUI"/>
        </w:rPr>
        <w:t>Add Gateway</w:t>
      </w:r>
      <w:r>
        <w:rPr>
          <w:rStyle w:val="InlineUI"/>
        </w:rPr>
        <w:t xml:space="preserve"> &gt; </w:t>
      </w:r>
      <w:r>
        <w:rPr>
          <w:rStyle w:val="InlineUI"/>
        </w:rPr>
        <w:t>VRF</w:t>
      </w:r>
      <w:r>
        <w:t>.</w:t>
      </w:r>
    </w:p>
    <w:p>
      <w:pPr>
        <w:pStyle w:val="BodyText"/>
        <w:numPr>
          <w:ilvl w:val="1"/>
          <w:numId w:val="17"/>
        </w:numPr>
      </w:pPr>
      <w:r>
        <w:t>Enter a name for the VRF gateway.</w:t>
      </w:r>
    </w:p>
    <w:p>
      <w:pPr>
        <w:pStyle w:val="BodyText"/>
        <w:numPr>
          <w:ilvl w:val="1"/>
          <w:numId w:val="17"/>
        </w:numPr>
      </w:pPr>
      <w:r>
        <w:t>Select the tier-0 gateway to which to connect the VRF gateway.</w:t>
      </w:r>
    </w:p>
    <w:p>
      <w:pPr>
        <w:pStyle w:val="BodyText"/>
        <w:numPr>
          <w:ilvl w:val="1"/>
          <w:numId w:val="17"/>
        </w:numPr>
      </w:pPr>
      <w:r>
        <w:t xml:space="preserve">Click </w:t>
      </w:r>
      <w:r>
        <w:rPr>
          <w:rStyle w:val="InlineUI"/>
        </w:rPr>
        <w:t>Save</w:t>
      </w:r>
      <w:r>
        <w:t>.</w:t>
      </w:r>
    </w:p>
    <w:p>
      <w:pPr>
        <w:pStyle w:val="BodyText"/>
        <w:numPr>
          <w:ilvl w:val="1"/>
          <w:numId w:val="17"/>
        </w:numPr>
      </w:pPr>
      <w:r>
        <w:t xml:space="preserve">To skip further configurations, click </w:t>
      </w:r>
      <w:r>
        <w:rPr>
          <w:rStyle w:val="InlineUI"/>
        </w:rPr>
        <w:t>No</w:t>
      </w:r>
      <w:r>
        <w:t>.</w:t>
      </w:r>
    </w:p>
    <w:p>
      <w:pPr>
        <w:pStyle w:val="BodyText"/>
      </w:pPr>
      <w:r>
        <w:rPr>
          <w:rStyle w:val="Strong"/>
        </w:rPr>
        <w:t>Procedure</w:t>
      </w:r>
    </w:p>
    <w:p>
      <w:pPr>
        <w:pStyle w:val="BodyText"/>
        <w:numPr>
          <w:numId w:val="18"/>
        </w:numPr>
      </w:pPr>
      <w:r>
        <w:t xml:space="preserve">Log in to the </w:t>
      </w:r>
      <w:r>
        <w:t>.</w:t>
      </w:r>
    </w:p>
    <w:p>
      <w:pPr>
        <w:pStyle w:val="BodyText"/>
        <w:numPr>
          <w:numId w:val="18"/>
        </w:numPr>
      </w:pPr>
      <w:r>
        <w:t xml:space="preserve">Under </w:t>
      </w:r>
      <w:r>
        <w:rPr>
          <w:rStyle w:val="InlineUI"/>
        </w:rPr>
        <w:t>Quick Start</w:t>
      </w:r>
      <w:r>
        <w:t xml:space="preserve">, click </w:t>
      </w:r>
      <w:r>
        <w:rPr>
          <w:rStyle w:val="InlineUI"/>
        </w:rPr>
        <w:t>Get Started</w:t>
      </w:r>
      <w:r>
        <w:t>.</w:t>
      </w:r>
    </w:p>
    <w:p>
      <w:pPr>
        <w:pStyle w:val="BodyText"/>
        <w:numPr>
          <w:numId w:val="18"/>
        </w:numPr>
      </w:pPr>
      <w:r>
        <w:t xml:space="preserve">Enter a name for your first organization, and click </w:t>
      </w:r>
      <w:r>
        <w:rPr>
          <w:rStyle w:val="InlineUI"/>
        </w:rPr>
        <w:t>Next</w:t>
      </w:r>
      <w:r>
        <w:t>.</w:t>
      </w:r>
    </w:p>
    <w:p>
      <w:pPr>
        <w:pStyle w:val="BodyText"/>
        <w:numPr>
          <w:numId w:val="18"/>
        </w:numPr>
      </w:pPr>
      <w:r>
        <w:t xml:space="preserve">Enter a name for the region, and select a </w:t>
      </w:r>
      <w:r>
        <w:t>Supervisor</w:t>
      </w:r>
      <w:r>
        <w:t>.</w:t>
      </w:r>
    </w:p>
    <w:p>
      <w:pPr>
        <w:pStyle w:val="BodyText"/>
        <w:ind w:left="480"/>
      </w:pPr>
      <w:r>
        <w:t xml:space="preserve">The list shows all available </w:t>
      </w:r>
      <w:r>
        <w:t>Supervisor</w:t>
      </w:r>
      <w:r>
        <w:t xml:space="preserve">s for this </w:t>
      </w:r>
      <w:r>
        <w:t>NSX Manager</w:t>
      </w:r>
      <w:r>
        <w:t xml:space="preserve"> instance.</w:t>
      </w:r>
    </w:p>
    <w:p>
      <w:pPr>
        <w:pStyle w:val="BodyText"/>
        <w:numPr>
          <w:numId w:val="18"/>
        </w:numPr>
      </w:pPr>
      <w:r>
        <w:t xml:space="preserve">Click </w:t>
      </w:r>
      <w:r>
        <w:rPr>
          <w:rStyle w:val="InlineUI"/>
        </w:rPr>
        <w:t>Next</w:t>
      </w:r>
      <w:r>
        <w:t>.</w:t>
      </w:r>
    </w:p>
    <w:p>
      <w:pPr>
        <w:pStyle w:val="BodyText"/>
        <w:numPr>
          <w:numId w:val="18"/>
        </w:numPr>
      </w:pPr>
      <w:r>
        <w:t>Select one or more storage classes.</w:t>
      </w:r>
    </w:p>
    <w:p>
      <w:pPr>
        <w:pStyle w:val="BodyText"/>
        <w:ind w:left="480"/>
      </w:pPr>
      <w:r>
        <w:t xml:space="preserve">The list shows all storage classes across the selected </w:t>
      </w:r>
      <w:r>
        <w:t>Supervisor</w:t>
      </w:r>
      <w:r>
        <w:t>s.</w:t>
      </w:r>
    </w:p>
    <w:p>
      <w:pPr>
        <w:pStyle w:val="BodyText"/>
        <w:numPr>
          <w:numId w:val="18"/>
        </w:numPr>
      </w:pPr>
      <w:r>
        <w:t xml:space="preserve">Review the configuration of the organization, and click </w:t>
      </w:r>
      <w:r>
        <w:rPr>
          <w:rStyle w:val="InlineUI"/>
        </w:rPr>
        <w:t>Create and Provision Organization</w:t>
      </w:r>
      <w:r>
        <w:t>.</w:t>
      </w:r>
    </w:p>
    <w:p>
      <w:pPr>
        <w:pStyle w:val="BodyText"/>
        <w:ind w:left="480"/>
      </w:pPr>
      <w:r>
        <w:t xml:space="preserve">The </w:t>
      </w:r>
      <w:r>
        <w:rPr>
          <w:rStyle w:val="InlineUI"/>
        </w:rPr>
        <w:t>Organization Provisioning in Progress</w:t>
      </w:r>
      <w:r>
        <w:t xml:space="preserve"> dialog opens where you can view and follow the creation process.</w:t>
      </w:r>
    </w:p>
    <w:p>
      <w:pPr>
        <w:pStyle w:val="BodyText"/>
        <w:numPr>
          <w:numId w:val="18"/>
        </w:numPr>
      </w:pPr>
      <w:r>
        <w:t xml:space="preserve">When the task finishes, click </w:t>
      </w:r>
      <w:r>
        <w:rPr>
          <w:rStyle w:val="InlineUI"/>
        </w:rPr>
        <w:t>OK</w:t>
      </w:r>
      <w:r>
        <w:t>.</w:t>
      </w:r>
    </w:p>
    <w:p>
      <w:pPr>
        <w:pStyle w:val="BodyText"/>
      </w:pPr>
      <w:r>
        <w:rPr>
          <w:rStyle w:val="Strong"/>
        </w:rPr>
        <w:t>What to do next</w:t>
      </w:r>
    </w:p>
    <w:p>
      <w:pPr>
        <w:pStyle w:val="BodyText"/>
      </w:pPr>
      <w:r>
        <w:t xml:space="preserve">Use the </w:t>
      </w:r>
      <w:r>
        <w:t>VCF Automation Provider Management Portal</w:t>
      </w:r>
      <w:r>
        <w:t xml:space="preserve"> to make further changes to the configuration of your organization.</w:t>
      </w:r>
    </w:p>
    <w:p>
      <w:pPr>
        <w:pStyle w:val="BodyText"/>
        <w:numPr>
          <w:numId w:val="1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Bc48e0dd89e8b419d873509bf0f20ffac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Edit the First User Details for a VCF Automation Organization</w:t>
      </w:r>
      <w:r>
        <w:fldChar w:fldCharType="end"/>
      </w:r>
      <w:r>
        <w:t>.</w:t>
      </w:r>
    </w:p>
    <w:p>
      <w:pPr>
        <w:pStyle w:val="BodyText"/>
        <w:numPr>
          <w:numId w:val="19"/>
        </w:numPr>
      </w:pPr>
      <w:r>
        <w:t xml:space="preserve">To finish setting up the organization, you can use the first user details to log in to the </w:t>
      </w:r>
      <w:r>
        <w:t>Organization Portal</w:t>
      </w:r>
      <w:r>
        <w:t xml:space="preserve"> by navigating to </w:t>
      </w:r>
      <w:r>
        <w:rPr>
          <w:rStyle w:val="InlineCode"/>
        </w:rPr>
        <w:t>https://</w:t>
      </w:r>
      <w:r>
        <w:rPr>
          <w:rStyle w:val="InlineVar"/>
        </w:rPr>
        <w:t>FQDN_VCF_Automation</w:t>
      </w:r>
      <w:r>
        <w:t xml:space="preserve">. See </w:t>
      </w:r>
      <w:r>
        <w:t>Organization Management</w:t>
      </w:r>
      <w:r>
        <w:t>.</w:t>
      </w:r>
    </w:p>
    <w:p>
      <w:pPr>
        <w:pStyle w:val="BodyText"/>
        <w:numPr>
          <w:numId w:val="19"/>
        </w:numPr>
      </w:pPr>
      <w:r>
        <w:t xml:space="preserve">Configure one or more identity providers.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B5794acb336c44739a28221bf8424f6d8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Identity Providers in VCF Automation</w:t>
      </w:r>
      <w:r>
        <w:fldChar w:fldCharType="end"/>
      </w:r>
      <w:r>
        <w:t>.</w:t>
      </w:r>
    </w:p>
    <w:p>
      <w:pPr>
        <w:pStyle w:val="BodyText"/>
        <w:numPr>
          <w:numId w:val="19"/>
        </w:numPr>
      </w:pPr>
      <w:r>
        <w:t xml:space="preserve">The </w:t>
      </w:r>
      <w:r>
        <w:rPr>
          <w:rStyle w:val="InlineUI"/>
        </w:rPr>
        <w:t>Quick Start</w:t>
      </w:r>
      <w:r>
        <w:t xml:space="preserve"> does not create users for the organization it creates. You must configure the provider users and provider groups manually.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B0f93d9bf82954126a853fac06155b52d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VCF Automation Provider Users and Groups</w:t>
      </w:r>
      <w:r>
        <w:fldChar w:fldCharType="end"/>
      </w:r>
      <w:r>
        <w:t>.</w:t>
      </w:r>
    </w:p>
    <w:p>
      <w:pPr>
        <w:pStyle w:val="BodyText"/>
        <w:numPr>
          <w:numId w:val="1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Bbb42dca09f7c48d4bd1b2ce951ee6d41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Content Library</w:t>
      </w:r>
      <w:r>
        <w:fldChar w:fldCharType="end"/>
      </w:r>
      <w:r>
        <w:t>.</w:t>
      </w:r>
    </w:p>
    <w:p>
      <w:pPr>
        <w:pStyle w:val="BodyText"/>
        <w:numPr>
          <w:numId w:val="19"/>
        </w:numPr>
      </w:pPr>
      <w:r>
        <w:t xml:space="preserve">Review the default region quota.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Bb5246ff2597c4391872c337c2a365e73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Region Quota of a VCF Automation Organization</w:t>
      </w:r>
      <w:r>
        <w:fldChar w:fldCharType="end"/>
      </w:r>
      <w:r>
        <w:t>.</w:t>
      </w:r>
    </w:p>
    <w:p>
      <w:pPr>
        <w:pStyle w:val="BodyText"/>
        <w:numPr>
          <w:numId w:val="19"/>
        </w:numPr>
      </w:pPr>
      <w:r>
        <w:t xml:space="preserve">Review the default networking settings, including the provider gateway, IP space, Edge cluster.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Bdd72d356d4d64804804e0edc0cd89bc9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Networking Resources in the VCF Automation Provider Management Portal</w:t>
      </w:r>
      <w:r>
        <w:fldChar w:fldCharType="end"/>
      </w:r>
      <w:r>
        <w:t>.</w:t>
      </w:r>
    </w:p>
    <w:p>
      <w:pPr>
        <w:pStyle w:val="Heading2"/>
      </w:pPr>
      <w:bookmarkStart w:id="26" w:name="_Toc256000449"/>
      <w:r>
        <w:t>Log in to VCF Automation Provider Management Portal</w:t>
      </w:r>
      <w:bookmarkEnd w:id="26"/>
    </w:p>
    <w:p>
      <w:pPr>
        <w:pStyle w:val="BodyText"/>
      </w:pPr>
      <w:r>
        <w:t xml:space="preserve">You can access the </w:t>
      </w:r>
      <w:r>
        <w:t>VCF Automation Provider Management Portal</w:t>
      </w:r>
      <w:r>
        <w:t xml:space="preserve"> by using a web browser.</w:t>
      </w:r>
    </w:p>
    <w:p>
      <w:pPr>
        <w:pStyle w:val="BodyText"/>
      </w:pPr>
      <w:r>
        <w:rPr>
          <w:rStyle w:val="Strong"/>
        </w:rPr>
        <w:t>Prerequisites</w:t>
      </w:r>
    </w:p>
    <w:p>
      <w:pPr>
        <w:pStyle w:val="BodyText"/>
      </w:pPr>
      <w:r>
        <w:t xml:space="preserve">You must have the </w:t>
      </w:r>
      <w:r>
        <w:rPr>
          <w:rStyle w:val="InlineUI"/>
        </w:rPr>
        <w:t>System Administrator</w:t>
      </w:r>
      <w:r>
        <w:t xml:space="preserve"> rights to access the </w:t>
      </w:r>
      <w:r>
        <w:t>Provider Management Portal</w:t>
      </w:r>
      <w:r>
        <w:t>.</w:t>
      </w:r>
    </w:p>
    <w:p>
      <w:pPr>
        <w:pStyle w:val="BodyText"/>
      </w:pPr>
      <w:r>
        <w:rPr>
          <w:rStyle w:val="Strong"/>
        </w:rPr>
        <w:t>Procedure</w:t>
      </w:r>
    </w:p>
    <w:p>
      <w:pPr>
        <w:pStyle w:val="BodyText"/>
        <w:numPr>
          <w:numId w:val="20"/>
        </w:numPr>
      </w:pPr>
      <w:r>
        <w:t xml:space="preserve">In a browser, enter the </w:t>
      </w:r>
      <w:r>
        <w:t>Provider Management Portal</w:t>
      </w:r>
      <w:r>
        <w:t xml:space="preserve"> URL of your </w:t>
      </w:r>
      <w:r>
        <w:t>VCF Automation</w:t>
      </w:r>
      <w:r>
        <w:t xml:space="preserve"> site.</w:t>
      </w:r>
    </w:p>
    <w:p>
      <w:pPr>
        <w:pStyle w:val="BodyText"/>
        <w:ind w:left="480"/>
      </w:pPr>
      <w:r>
        <w:t xml:space="preserve">For example, enter </w:t>
      </w:r>
      <w:r>
        <w:t>https://vcfa.example.com/provider</w:t>
      </w:r>
      <w:r>
        <w:t>.</w:t>
      </w:r>
    </w:p>
    <w:p>
      <w:pPr>
        <w:pStyle w:val="BodyText"/>
        <w:numPr>
          <w:numId w:val="20"/>
        </w:numPr>
      </w:pPr>
      <w:r>
        <w:t>Depending on your environment settings, choose one of the following.</w:t>
      </w:r>
    </w:p>
    <w:p>
      <w:pPr>
        <w:pStyle w:val="BodyText"/>
        <w:numPr>
          <w:ilvl w:val="1"/>
          <w:numId w:val="20"/>
        </w:numPr>
      </w:pPr>
      <w:r>
        <w:t xml:space="preserve">If there is no interaction, after 5 seconds the </w:t>
      </w:r>
      <w:r>
        <w:t>Provider Management Portal</w:t>
      </w:r>
      <w:r>
        <w:t xml:space="preserve"> redirects you to the VCF SSO, if configured. If you click </w:t>
      </w:r>
      <w:r>
        <w:rPr>
          <w:rStyle w:val="InlineUI"/>
        </w:rPr>
        <w:t>Stop</w:t>
      </w:r>
      <w:r>
        <w:t xml:space="preserve"> or select another option from the drop-down menu, you can sign in with a local or SAML user.</w:t>
      </w:r>
    </w:p>
    <w:p>
      <w:pPr>
        <w:pStyle w:val="BodyText"/>
        <w:numPr>
          <w:ilvl w:val="1"/>
          <w:numId w:val="20"/>
        </w:numPr>
      </w:pPr>
      <w:r>
        <w:t xml:space="preserve">To sign as a local user, enter the system administrator user name and password, and click </w:t>
      </w:r>
      <w:r>
        <w:rPr>
          <w:rStyle w:val="InlineUI"/>
        </w:rPr>
        <w:t>Sign In</w:t>
      </w:r>
      <w:r>
        <w:t>.</w:t>
      </w:r>
    </w:p>
    <w:p>
      <w:pPr>
        <w:pStyle w:val="BodyText"/>
        <w:numPr>
          <w:ilvl w:val="1"/>
          <w:numId w:val="20"/>
        </w:numPr>
      </w:pPr>
      <w:r>
        <w:t xml:space="preserve">To log in for the first time, you must use the default administrator account with a local user. Enter username </w:t>
      </w:r>
      <w:r>
        <w:rPr>
          <w:rStyle w:val="InlineCode"/>
        </w:rPr>
        <w:t>admin</w:t>
      </w:r>
      <w:r>
        <w:t xml:space="preserve"> and the password which you set up during the installation.</w:t>
      </w:r>
    </w:p>
    <w:p>
      <w:pPr>
        <w:pStyle w:val="BodyText"/>
      </w:pPr>
      <w:r>
        <w:rPr>
          <w:rStyle w:val="Strong"/>
        </w:rPr>
        <w:t>What to do next</w:t>
      </w:r>
    </w:p>
    <w:p>
      <w:pPr>
        <w:pStyle w:val="BodyText"/>
        <w:numPr>
          <w:numId w:val="21"/>
        </w:numPr>
      </w:pPr>
      <w:r>
        <w:t xml:space="preserve">After you log in, if there are more than 25 minutes of inactivity, you are automatically logged out of the </w:t>
      </w:r>
      <w:r>
        <w:t>VCF Automation Provider Management Portal</w:t>
      </w:r>
      <w:r>
        <w:t>. The logout does not affect long-running operations, such as upload, for example.</w:t>
      </w:r>
    </w:p>
    <w:p>
      <w:pPr>
        <w:pStyle w:val="BodyText"/>
        <w:numPr>
          <w:numId w:val="21"/>
        </w:numPr>
      </w:pPr>
      <w:r>
        <w:t xml:space="preserve">Integrate your </w:t>
      </w:r>
      <w:r>
        <w:t>VCF Automation</w:t>
      </w:r>
      <w:r>
        <w:t xml:space="preserve"> with one or more external identity providers (IdPs), and import users and groups to your organizations.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B5794acb336c44739a28221bf8424f6d8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Identity Providers in VCF Automation</w:t>
      </w:r>
      <w:r>
        <w:fldChar w:fldCharType="end"/>
      </w:r>
      <w:r>
        <w:t>.</w:t>
      </w:r>
    </w:p>
    <w:p>
      <w:pPr>
        <w:pStyle w:val="BodyText"/>
        <w:numPr>
          <w:numId w:val="21"/>
        </w:numPr>
      </w:pPr>
      <w:r>
        <w:t xml:space="preserve">Configure access for other users and groups.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Bb4f8b09c9c824821a6280bb3bfabb846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Provider Users in Your VCF Automation</w:t>
      </w:r>
      <w:r>
        <w:fldChar w:fldCharType="end"/>
      </w:r>
      <w:r>
        <w:t xml:space="preserve"> and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B525933ef78004889b3ae0bb839d64685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Managing VCF Automation Provider Groups</w:t>
      </w:r>
      <w:r>
        <w:fldChar w:fldCharType="end"/>
      </w:r>
      <w:r>
        <w:t>.</w:t>
      </w:r>
    </w:p>
    <w:p>
      <w:pPr>
        <w:pStyle w:val="Heading2"/>
      </w:pPr>
      <w:bookmarkStart w:id="27" w:name="_Toc256000450"/>
      <w:r>
        <w:t>Change the Language of the VCF Automation UI by Using the Provider Management Portal</w:t>
      </w:r>
      <w:bookmarkEnd w:id="27"/>
    </w:p>
    <w:p>
      <w:pPr>
        <w:pStyle w:val="BodyText"/>
      </w:pPr>
      <w:r>
        <w:t xml:space="preserve">The </w:t>
      </w:r>
      <w:r>
        <w:t>VCF Automation</w:t>
      </w:r>
      <w:r>
        <w:t xml:space="preserve"> user interface is available in English, French, Japanese, and Spanish. You can change the language of the UI and the messages you receive.</w:t>
      </w:r>
    </w:p>
    <w:p>
      <w:pPr>
        <w:pStyle w:val="BodyText"/>
      </w:pPr>
      <w:r>
        <w:t xml:space="preserve">When you change the language of the </w:t>
      </w:r>
      <w:r>
        <w:t>VCF Automation</w:t>
      </w:r>
      <w:r>
        <w:t xml:space="preserve"> UI, the language change applies only to your user and the change affects also the </w:t>
      </w:r>
      <w:r>
        <w:t>VCF Automation</w:t>
      </w:r>
      <w:r>
        <w:t xml:space="preserve"> messages sent to you.</w:t>
      </w:r>
    </w:p>
    <w:p>
      <w:pPr>
        <w:pStyle w:val="BodyText"/>
      </w:pPr>
      <w:r>
        <w:rPr>
          <w:rStyle w:val="Strong"/>
        </w:rPr>
        <w:t>Procedure</w:t>
      </w:r>
    </w:p>
    <w:p>
      <w:pPr>
        <w:pStyle w:val="BodyText"/>
        <w:numPr>
          <w:numId w:val="22"/>
        </w:numPr>
      </w:pPr>
      <w:r>
        <w:t xml:space="preserve">Log in to the </w:t>
      </w:r>
      <w:r>
        <w:t>.</w:t>
      </w:r>
    </w:p>
    <w:p>
      <w:pPr>
        <w:pStyle w:val="BodyText"/>
        <w:numPr>
          <w:numId w:val="22"/>
        </w:numPr>
      </w:pPr>
      <w:r>
        <w:t>On the right side of the top navigation bar, click your user name.</w:t>
      </w:r>
    </w:p>
    <w:p>
      <w:pPr>
        <w:pStyle w:val="BodyText"/>
        <w:numPr>
          <w:numId w:val="22"/>
        </w:numPr>
      </w:pPr>
      <w:r>
        <w:t xml:space="preserve">Select </w:t>
      </w:r>
      <w:r>
        <w:rPr>
          <w:rStyle w:val="InlineUI"/>
        </w:rPr>
        <w:t>My Account</w:t>
      </w:r>
      <w:r>
        <w:t>.</w:t>
      </w:r>
    </w:p>
    <w:p>
      <w:pPr>
        <w:pStyle w:val="BodyText"/>
        <w:numPr>
          <w:numId w:val="22"/>
        </w:numPr>
      </w:pPr>
      <w:r>
        <w:t xml:space="preserve">Click the </w:t>
      </w:r>
      <w:r>
        <w:rPr>
          <w:rStyle w:val="InlineUI"/>
        </w:rPr>
        <w:t>Preferences</w:t>
      </w:r>
      <w:r>
        <w:t xml:space="preserve"> tab, and click </w:t>
      </w:r>
      <w:r>
        <w:rPr>
          <w:rStyle w:val="InlineUI"/>
        </w:rPr>
        <w:t>Edit</w:t>
      </w:r>
      <w:r>
        <w:t>.</w:t>
      </w:r>
    </w:p>
    <w:p>
      <w:pPr>
        <w:pStyle w:val="BodyText"/>
        <w:numPr>
          <w:numId w:val="22"/>
        </w:numPr>
      </w:pPr>
      <w:r>
        <w:t xml:space="preserve">From the drop-down menu, select your preferred language, and click </w:t>
      </w:r>
      <w:r>
        <w:rPr>
          <w:rStyle w:val="InlineUI"/>
        </w:rPr>
        <w:t>Save</w:t>
      </w:r>
      <w:r>
        <w:t>.</w:t>
      </w:r>
    </w:p>
    <w:p>
      <w:pPr>
        <w:pStyle w:val="BodyText"/>
        <w:numPr>
          <w:numId w:val="22"/>
        </w:numPr>
      </w:pPr>
      <w:r>
        <w:t>Apply the language changes.</w:t>
      </w:r>
    </w:p>
    <w:p>
      <w:pPr>
        <w:pStyle w:val="BodyText"/>
        <w:ind w:left="480"/>
      </w:pPr>
      <w:r>
        <w:t>To apply the changes, you must refresh the page. However, refreshing might interrupt tasks running in the background, such as content uploads.</w:t>
      </w:r>
    </w:p>
    <w:p>
      <w:pPr>
        <w:pStyle w:val="BodyText"/>
        <w:numPr>
          <w:ilvl w:val="1"/>
          <w:numId w:val="22"/>
        </w:numPr>
      </w:pPr>
      <w:r>
        <w:t xml:space="preserve">To refresh the page, click </w:t>
      </w:r>
      <w:r>
        <w:rPr>
          <w:rStyle w:val="InlineUI"/>
        </w:rPr>
        <w:t>Refresh</w:t>
      </w:r>
      <w:r>
        <w:t>.</w:t>
      </w:r>
    </w:p>
    <w:p>
      <w:pPr>
        <w:pStyle w:val="BodyText"/>
        <w:numPr>
          <w:ilvl w:val="1"/>
          <w:numId w:val="22"/>
        </w:numPr>
      </w:pPr>
      <w:r>
        <w:t xml:space="preserve">If you want to postpone the refresh to a later time, click </w:t>
      </w:r>
      <w:r>
        <w:rPr>
          <w:rStyle w:val="InlineUI"/>
        </w:rPr>
        <w:t>Close</w:t>
      </w:r>
      <w:r>
        <w:t>.</w:t>
      </w:r>
    </w:p>
    <w:p>
      <w:pPr>
        <w:pStyle w:val="Heading2"/>
      </w:pPr>
      <w:bookmarkStart w:id="28" w:name="_Toc256000451"/>
      <w:r>
        <w:t>Change Your Account Information</w:t>
      </w:r>
      <w:bookmarkEnd w:id="28"/>
    </w:p>
    <w:p>
      <w:pPr>
        <w:pStyle w:val="BodyText"/>
      </w:pPr>
      <w:r>
        <w:t xml:space="preserve">You can change your </w:t>
      </w:r>
      <w:r>
        <w:rPr>
          <w:rStyle w:val="InlineUI"/>
        </w:rPr>
        <w:t>service administrator</w:t>
      </w:r>
      <w:r>
        <w:t xml:space="preserve"> user details from the </w:t>
      </w:r>
      <w:r>
        <w:t>Provider Management Portal</w:t>
      </w:r>
      <w:r>
        <w:t>.</w:t>
      </w:r>
    </w:p>
    <w:p>
      <w:pPr>
        <w:pStyle w:val="BodyText"/>
      </w:pPr>
      <w:r>
        <w:rPr>
          <w:rStyle w:val="Strong"/>
        </w:rPr>
        <w:t>Procedure</w:t>
      </w:r>
    </w:p>
    <w:p>
      <w:pPr>
        <w:pStyle w:val="BodyText"/>
        <w:numPr>
          <w:numId w:val="23"/>
        </w:numPr>
      </w:pPr>
      <w:r>
        <w:t>On the right side of the top navigation bar, click your user name.</w:t>
      </w:r>
    </w:p>
    <w:p>
      <w:pPr>
        <w:pStyle w:val="BodyText"/>
        <w:numPr>
          <w:numId w:val="23"/>
        </w:numPr>
      </w:pPr>
      <w:r>
        <w:t xml:space="preserve">Select </w:t>
      </w:r>
      <w:r>
        <w:rPr>
          <w:rStyle w:val="InlineUI"/>
        </w:rPr>
        <w:t>My Account</w:t>
      </w:r>
      <w:r>
        <w:t>.</w:t>
      </w:r>
    </w:p>
    <w:p>
      <w:pPr>
        <w:pStyle w:val="BodyText"/>
        <w:numPr>
          <w:numId w:val="23"/>
        </w:numPr>
      </w:pPr>
      <w:r>
        <w:t xml:space="preserve">On the </w:t>
      </w:r>
      <w:r>
        <w:rPr>
          <w:rStyle w:val="InlineUI"/>
        </w:rPr>
        <w:t>Profile</w:t>
      </w:r>
      <w:r>
        <w:t xml:space="preserve"> tab, click </w:t>
      </w:r>
      <w:r>
        <w:rPr>
          <w:rStyle w:val="InlineUI"/>
        </w:rPr>
        <w:t>Edit</w:t>
      </w:r>
      <w:r>
        <w:t>.</w:t>
      </w:r>
    </w:p>
    <w:p>
      <w:pPr>
        <w:pStyle w:val="BodyText"/>
        <w:numPr>
          <w:numId w:val="23"/>
        </w:numPr>
      </w:pPr>
      <w:r>
        <w:t xml:space="preserve">Edit your user details, and click </w:t>
      </w:r>
      <w:r>
        <w:rPr>
          <w:rStyle w:val="InlineUI"/>
        </w:rPr>
        <w:t>Save</w:t>
      </w:r>
      <w:r>
        <w:t>.</w:t>
      </w:r>
    </w:p>
    <w:p>
      <w:pPr>
        <w:pStyle w:val="BodyText"/>
        <w:ind w:left="480"/>
      </w:pPr>
      <w:r>
        <w:t>You can change your username, display name, first and last name, description of the account, email, and phone number. You cannot edit the role.</w:t>
      </w:r>
    </w:p>
    <w:p>
      <w:pPr>
        <w:pStyle w:val="Heading2"/>
      </w:pPr>
      <w:bookmarkStart w:id="29" w:name="_Toc256000452"/>
      <w:r>
        <w:t>View Tasks in Your VCF Automation Provider Management Portal</w:t>
      </w:r>
      <w:bookmarkEnd w:id="29"/>
    </w:p>
    <w:p>
      <w:pPr>
        <w:pStyle w:val="BodyText"/>
      </w:pPr>
      <w:r>
        <w:t xml:space="preserve">From the </w:t>
      </w:r>
      <w:r>
        <w:t>Provider Management Portal</w:t>
      </w:r>
      <w:r>
        <w:t>, you can view recent tasks and their status.</w:t>
      </w:r>
    </w:p>
    <w:p>
      <w:pPr>
        <w:pStyle w:val="BodyText"/>
      </w:pPr>
      <w:r>
        <w:t xml:space="preserve">You can use the recent tasks view to monitor the status of tasks in your </w:t>
      </w:r>
      <w:r>
        <w:t>Provider Management Portal</w:t>
      </w:r>
      <w:r>
        <w:t>. This view can be a good first step for troubleshooting any issues in your environment.</w:t>
      </w:r>
    </w:p>
    <w:p>
      <w:pPr>
        <w:pStyle w:val="BodyText"/>
      </w:pPr>
      <w:r>
        <w:t xml:space="preserve">Next to the </w:t>
      </w:r>
      <w:r>
        <w:rPr>
          <w:rStyle w:val="InlineUI"/>
        </w:rPr>
        <w:t>Recent Tasks</w:t>
      </w:r>
      <w:r>
        <w:t xml:space="preserve"> button, running and failed tasks appear in blue and red, respectively.</w:t>
      </w:r>
    </w:p>
    <w:p>
      <w:pPr>
        <w:pStyle w:val="BodyText"/>
      </w:pPr>
      <w:r>
        <w:rPr>
          <w:rStyle w:val="Strong"/>
        </w:rPr>
        <w:t>Procedure</w:t>
      </w:r>
    </w:p>
    <w:p>
      <w:pPr>
        <w:pStyle w:val="BodyText"/>
        <w:numPr>
          <w:numId w:val="24"/>
        </w:numPr>
      </w:pPr>
      <w:r>
        <w:t xml:space="preserve">Log in to the </w:t>
      </w:r>
      <w:r>
        <w:t>.</w:t>
      </w:r>
    </w:p>
    <w:p>
      <w:pPr>
        <w:pStyle w:val="BodyText"/>
        <w:numPr>
          <w:numId w:val="24"/>
        </w:numPr>
      </w:pPr>
      <w:r>
        <w:t xml:space="preserve">In the lower-left corner, click </w:t>
      </w:r>
      <w:r>
        <w:rPr>
          <w:rStyle w:val="InlineUI"/>
        </w:rPr>
        <w:t>Events and Tasks</w:t>
      </w:r>
      <w:r>
        <w:t>.</w:t>
      </w:r>
    </w:p>
    <w:p>
      <w:pPr>
        <w:pStyle w:val="BodyText"/>
        <w:numPr>
          <w:numId w:val="24"/>
        </w:numPr>
      </w:pPr>
      <w:r>
        <w:t xml:space="preserve">(Optional) </w:t>
      </w:r>
      <w:r>
        <w:t>Sort and filter the list of recent tasks.</w:t>
      </w:r>
    </w:p>
    <w:p>
      <w:pPr>
        <w:pStyle w:val="BodyText"/>
        <w:ind w:left="480"/>
      </w:pPr>
      <w:r>
        <w:t xml:space="preserve">The </w:t>
      </w:r>
      <w:r>
        <w:t>Provider Management Portal</w:t>
      </w:r>
      <w:r>
        <w:t xml:space="preserve"> displays the last 50 tasks for the last 12 hours.</w:t>
      </w:r>
    </w:p>
    <w:p>
      <w:pPr>
        <w:pStyle w:val="BodyText"/>
      </w:pPr>
      <w:r>
        <w:rPr>
          <w:rStyle w:val="Strong"/>
        </w:rPr>
        <w:t>Results</w:t>
      </w:r>
    </w:p>
    <w:p>
      <w:pPr>
        <w:pStyle w:val="BodyText"/>
      </w:pPr>
      <w:r>
        <w:t>A list of recent tasks displays, along with the status of the task, the type, the initiator, and the start and completion time.</w:t>
      </w:r>
    </w:p>
    <w:p>
      <w:pPr>
        <w:pStyle w:val="Heading2"/>
      </w:pPr>
      <w:bookmarkStart w:id="30" w:name="_Toc256000453"/>
      <w:r>
        <w:t>Stop a Task in Progress in Your VCF Automation Provider Management Portal</w:t>
      </w:r>
      <w:bookmarkEnd w:id="30"/>
    </w:p>
    <w:p>
      <w:pPr>
        <w:pStyle w:val="BodyText"/>
      </w:pPr>
      <w:r>
        <w:t xml:space="preserve">If you accidentally start a </w:t>
      </w:r>
      <w:r>
        <w:t>VMware Cloud Foundation® Automation</w:t>
      </w:r>
      <w:r>
        <w:t xml:space="preserve"> operation before applying or reviewing all necessary settings, you can stop the task in progress.</w:t>
      </w:r>
    </w:p>
    <w:p>
      <w:pPr>
        <w:pStyle w:val="BodyText"/>
      </w:pPr>
      <w:r>
        <w:t xml:space="preserve">By default, the </w:t>
      </w:r>
      <w:r>
        <w:rPr>
          <w:rStyle w:val="InlineUI"/>
        </w:rPr>
        <w:t>Recent Tasks</w:t>
      </w:r>
      <w:r>
        <w:t xml:space="preserve"> panel is displayed at the bottom of the portal. When you start an operation, for example to create a virtual machine, the task is displayed in the panel.</w:t>
      </w:r>
    </w:p>
    <w:p>
      <w:pPr>
        <w:pStyle w:val="BodyText"/>
      </w:pPr>
      <w:r>
        <w:rPr>
          <w:rStyle w:val="Strong"/>
        </w:rPr>
        <w:t>Prerequisites</w:t>
      </w:r>
    </w:p>
    <w:p>
      <w:pPr>
        <w:pStyle w:val="BodyText"/>
      </w:pPr>
      <w:r>
        <w:t xml:space="preserve">The </w:t>
      </w:r>
      <w:r>
        <w:rPr>
          <w:rStyle w:val="InlineUI"/>
        </w:rPr>
        <w:t>Recent Tasks</w:t>
      </w:r>
      <w:r>
        <w:t xml:space="preserve"> panel must be open.</w:t>
      </w:r>
    </w:p>
    <w:p>
      <w:pPr>
        <w:pStyle w:val="BodyText"/>
      </w:pPr>
      <w:r>
        <w:rPr>
          <w:rStyle w:val="Strong"/>
        </w:rPr>
        <w:t>Procedure</w:t>
      </w:r>
    </w:p>
    <w:p>
      <w:pPr>
        <w:pStyle w:val="BodyText"/>
        <w:numPr>
          <w:numId w:val="25"/>
        </w:numPr>
      </w:pPr>
      <w:r>
        <w:t xml:space="preserve">Log in to the </w:t>
      </w:r>
      <w:r>
        <w:t>.</w:t>
      </w:r>
    </w:p>
    <w:p>
      <w:pPr>
        <w:pStyle w:val="BodyText"/>
        <w:numPr>
          <w:numId w:val="25"/>
        </w:numPr>
      </w:pPr>
      <w:r>
        <w:t>Start a long-running operation.</w:t>
      </w:r>
    </w:p>
    <w:p>
      <w:pPr>
        <w:pStyle w:val="BodyText"/>
        <w:numPr>
          <w:numId w:val="25"/>
        </w:numPr>
      </w:pPr>
      <w:r>
        <w:t xml:space="preserve">In the </w:t>
      </w:r>
      <w:r>
        <w:rPr>
          <w:rStyle w:val="InlineUI"/>
        </w:rPr>
        <w:t>Recent Tasks</w:t>
      </w:r>
      <w:r>
        <w:t xml:space="preserve"> panel, click the </w:t>
      </w:r>
      <w:r>
        <w:rPr>
          <w:rStyle w:val="InlineUI"/>
        </w:rPr>
        <w:t>Cancel</w:t>
      </w:r>
      <w:r>
        <w:t xml:space="preserve"> icon.</w:t>
      </w:r>
    </w:p>
    <w:p>
      <w:pPr>
        <w:pStyle w:val="BodyText"/>
        <w:numPr>
          <w:numId w:val="25"/>
        </w:numPr>
      </w:pPr>
      <w:r>
        <w:t xml:space="preserve">In the </w:t>
      </w:r>
      <w:r>
        <w:rPr>
          <w:rStyle w:val="InlineUI"/>
        </w:rPr>
        <w:t>Cancel Task</w:t>
      </w:r>
      <w:r>
        <w:t xml:space="preserve"> dialog box, confirm that you want to cancel the task by clicking </w:t>
      </w:r>
      <w:r>
        <w:rPr>
          <w:rStyle w:val="InlineUI"/>
        </w:rPr>
        <w:t>OK</w:t>
      </w:r>
      <w:r>
        <w:t>.</w:t>
      </w:r>
    </w:p>
    <w:p>
      <w:pPr>
        <w:pStyle w:val="BodyText"/>
      </w:pPr>
      <w:r>
        <w:rPr>
          <w:rStyle w:val="Strong"/>
        </w:rPr>
        <w:t>Results</w:t>
      </w:r>
    </w:p>
    <w:p>
      <w:pPr>
        <w:pStyle w:val="BodyText"/>
      </w:pPr>
      <w:r>
        <w:t>The operation stops.</w:t>
      </w:r>
    </w:p>
    <w:p>
      <w:pPr>
        <w:pStyle w:val="Heading2"/>
      </w:pPr>
      <w:bookmarkStart w:id="31" w:name="_Toc256000454"/>
      <w:r>
        <w:t>View Events in Your VCF Automation Provider Management Portal</w:t>
      </w:r>
      <w:bookmarkEnd w:id="31"/>
    </w:p>
    <w:p>
      <w:pPr>
        <w:pStyle w:val="BodyText"/>
      </w:pPr>
      <w:r>
        <w:t xml:space="preserve">In the </w:t>
      </w:r>
      <w:r>
        <w:t>VCF Automation</w:t>
      </w:r>
      <w:r>
        <w:t xml:space="preserve"> UI, you can view the list of all events, their details, and status.</w:t>
      </w:r>
    </w:p>
    <w:p>
      <w:pPr>
        <w:pStyle w:val="BodyText"/>
      </w:pPr>
      <w:r>
        <w:t>The events view is a way to view the status of the events in your portal. The view shows when the events happened, and whether they were successful. The events view contains one-time occurrences, such as user logins and object creation, or deletion.</w:t>
      </w:r>
    </w:p>
    <w:p>
      <w:pPr>
        <w:pStyle w:val="BodyText"/>
      </w:pPr>
      <w:r>
        <w:rPr>
          <w:rStyle w:val="Strong"/>
        </w:rPr>
        <w:t>Procedure</w:t>
      </w:r>
    </w:p>
    <w:p>
      <w:pPr>
        <w:pStyle w:val="BodyText"/>
        <w:numPr>
          <w:numId w:val="26"/>
        </w:numPr>
      </w:pPr>
      <w:r>
        <w:t xml:space="preserve">Log in to the </w:t>
      </w:r>
      <w:r>
        <w:t>.</w:t>
      </w:r>
    </w:p>
    <w:p>
      <w:pPr>
        <w:pStyle w:val="BodyText"/>
        <w:numPr>
          <w:numId w:val="26"/>
        </w:numPr>
      </w:pPr>
      <w:r>
        <w:t xml:space="preserve">In the left navigation bar, select </w:t>
      </w:r>
      <w:r>
        <w:rPr>
          <w:rStyle w:val="InlineUI"/>
        </w:rPr>
        <w:t>Events and Tasks</w:t>
      </w:r>
      <w:r>
        <w:t xml:space="preserve">, and click the </w:t>
      </w:r>
      <w:r>
        <w:rPr>
          <w:rStyle w:val="InlineUI"/>
        </w:rPr>
        <w:t>Events</w:t>
      </w:r>
      <w:r>
        <w:t xml:space="preserve"> tab.</w:t>
      </w:r>
    </w:p>
    <w:p>
      <w:pPr>
        <w:pStyle w:val="BodyText"/>
        <w:ind w:left="480"/>
      </w:pPr>
      <w:r>
        <w:t>The list of all events appears, along with the time the event happened and the status of the event.</w:t>
      </w:r>
    </w:p>
    <w:p>
      <w:pPr>
        <w:pStyle w:val="BodyText"/>
        <w:numPr>
          <w:numId w:val="26"/>
        </w:numPr>
      </w:pPr>
      <w:r>
        <w:t xml:space="preserve">Click </w:t>
      </w:r>
      <w:r>
        <w:rPr>
          <w:rStyle w:val="InlineUI"/>
        </w:rPr>
        <w:t>Manage Columns</w:t>
      </w:r>
      <w:r>
        <w:t xml:space="preserve"> to change the details you want to view about the events.</w:t>
      </w:r>
    </w:p>
    <w:p>
      <w:pPr>
        <w:pStyle w:val="BodyText"/>
        <w:numPr>
          <w:numId w:val="26"/>
        </w:numPr>
      </w:pPr>
      <w:r>
        <w:t xml:space="preserve">(Optional) </w:t>
      </w:r>
      <w:r>
        <w:t>Click an event to view the event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4"/>
        <w:gridCol w:w="473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Detail</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Status</w:t>
            </w:r>
          </w:p>
        </w:tc>
        <w:tc>
          <w:tcPr>
            <w:tcBorders>
              <w:left w:val="nil"/>
              <w:right w:val="nil"/>
            </w:tcBorders>
          </w:tcPr>
          <w:p>
            <w:pPr>
              <w:pStyle w:val="TableBodyText"/>
            </w:pPr>
            <w:r>
              <w:t>Status of the event, such as Succeeded or Failed.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The object on which the task was performed.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Target</w:t>
            </w:r>
          </w:p>
        </w:tc>
        <w:tc>
          <w:tcPr>
            <w:tcBorders>
              <w:left w:val="nil"/>
              <w:right w:val="nil"/>
            </w:tcBorders>
          </w:tcPr>
          <w:p>
            <w:pPr>
              <w:pStyle w:val="TableBodyText"/>
            </w:pPr>
            <w:r>
              <w:t>Target object of the event.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Owner</w:t>
            </w:r>
          </w:p>
        </w:tc>
        <w:tc>
          <w:tcPr>
            <w:tcBorders>
              <w:left w:val="nil"/>
              <w:right w:val="nil"/>
            </w:tcBorders>
          </w:tcPr>
          <w:p>
            <w:pPr>
              <w:pStyle w:val="TableBodyText"/>
            </w:pPr>
            <w:r>
              <w:t>User who triggered the event.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Occurred At</w:t>
            </w:r>
          </w:p>
        </w:tc>
        <w:tc>
          <w:tcPr>
            <w:tcBorders>
              <w:left w:val="nil"/>
              <w:right w:val="nil"/>
            </w:tcBorders>
          </w:tcPr>
          <w:p>
            <w:pPr>
              <w:pStyle w:val="TableBodyText"/>
            </w:pPr>
            <w:r>
              <w:t>Date and time when the event occurred.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Service namespace</w:t>
            </w:r>
          </w:p>
        </w:tc>
        <w:tc>
          <w:tcPr>
            <w:tcBorders>
              <w:left w:val="nil"/>
              <w:right w:val="nil"/>
            </w:tcBorders>
          </w:tcPr>
          <w:p>
            <w:pPr>
              <w:pStyle w:val="TableBodyText"/>
            </w:pPr>
            <w:r>
              <w:t xml:space="preserve">Service name, such as </w:t>
            </w:r>
            <w:r>
              <w:rPr>
                <w:rStyle w:val="InlineVar"/>
              </w:rPr>
              <w:t>com.vmware.vcloud</w:t>
            </w:r>
            <w:r>
              <w:t>.</w:t>
            </w:r>
          </w:p>
        </w:tc>
      </w:tr>
    </w:tbl>
    <w:p>
      <w:pPr>
        <w:pStyle w:val="Heading2"/>
        <w:spacing w:before="320"/>
      </w:pPr>
      <w:bookmarkStart w:id="32" w:name="_Toc256000455"/>
      <w:r>
        <w:t>Length Limits on Names and Descriptions in Your VCF Automation Provider Management Portal</w:t>
      </w:r>
      <w:bookmarkEnd w:id="32"/>
    </w:p>
    <w:p>
      <w:pPr>
        <w:pStyle w:val="BodyText"/>
      </w:pPr>
      <w:r>
        <w:t xml:space="preserve">Follow these guidelines when entering values in </w:t>
      </w:r>
      <w:r>
        <w:t>VCF Automation</w:t>
      </w:r>
      <w:r>
        <w:t>.</w:t>
      </w:r>
    </w:p>
    <w:p>
      <w:pPr>
        <w:pStyle w:val="BodyText"/>
      </w:pPr>
      <w:r>
        <w:t xml:space="preserve">String values for the </w:t>
      </w:r>
      <w:r>
        <w:rPr>
          <w:rStyle w:val="InlineCode"/>
        </w:rPr>
        <w:t>name</w:t>
      </w:r>
      <w:r>
        <w:t xml:space="preserve"> attribute and the </w:t>
      </w:r>
      <w:r>
        <w:rPr>
          <w:rStyle w:val="InlineCode"/>
        </w:rPr>
        <w:t>Description</w:t>
      </w:r>
      <w:r>
        <w:t xml:space="preserve"> and </w:t>
      </w:r>
      <w:r>
        <w:rPr>
          <w:rStyle w:val="InlineCode"/>
        </w:rPr>
        <w:t>ComputerName</w:t>
      </w:r>
      <w:r>
        <w:t xml:space="preserve"> elements have length limitations that depend on the object to which they are attached.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Length Limits on Object Properties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14"/>
        <w:gridCol w:w="1506"/>
        <w:gridCol w:w="68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Object</w:t>
            </w:r>
          </w:p>
        </w:tc>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Maximum Length in Characters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EdgeGateway</w:t>
            </w:r>
          </w:p>
        </w:tc>
        <w:tc>
          <w:tcPr>
            <w:tcBorders>
              <w:left w:val="nil"/>
              <w:right w:val="nil"/>
            </w:tcBorders>
          </w:tcPr>
          <w:p>
            <w:pPr>
              <w:pStyle w:val="TableBodyText"/>
            </w:pPr>
            <w:r>
              <w:rPr>
                <w:rStyle w:val="InlineCode"/>
              </w:rPr>
              <w:t>Name</w:t>
            </w:r>
          </w:p>
        </w:tc>
        <w:tc>
          <w:tcPr>
            <w:tcBorders>
              <w:left w:val="nil"/>
              <w:right w:val="nil"/>
            </w:tcBorders>
          </w:tcPr>
          <w:p>
            <w:pPr>
              <w:pStyle w:val="TableBodyText"/>
            </w:pPr>
            <w:r>
              <w:t>35</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Organization</w:t>
            </w:r>
          </w:p>
        </w:tc>
        <w:tc>
          <w:tcPr>
            <w:tcBorders>
              <w:left w:val="nil"/>
              <w:right w:val="nil"/>
            </w:tcBorders>
          </w:tcPr>
          <w:p>
            <w:pPr>
              <w:pStyle w:val="TableBodyText"/>
            </w:pPr>
            <w:r>
              <w:rPr>
                <w:rStyle w:val="InlineCode"/>
              </w:rPr>
              <w:t>Name</w:t>
            </w:r>
          </w:p>
        </w:tc>
        <w:tc>
          <w:tcPr>
            <w:tcBorders>
              <w:left w:val="nil"/>
              <w:right w:val="nil"/>
            </w:tcBorders>
          </w:tcPr>
          <w:p>
            <w:pPr>
              <w:pStyle w:val="TableBodyText"/>
            </w:pPr>
            <w:r>
              <w:t>128</w:t>
            </w:r>
          </w:p>
          <w:p>
            <w:pPr>
              <w:pStyle w:val="TableBodyText"/>
            </w:pPr>
            <w:r>
              <w:t xml:space="preserve">Must contain only the following characters: letters from A through Z, digits from 0 through 9, and the following special characters: </w:t>
            </w:r>
            <w:r>
              <w:rPr>
                <w:rStyle w:val="InlineCode"/>
              </w:rPr>
              <w:t>- _ . ( ) , $ ' !"</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Organization</w:t>
            </w:r>
          </w:p>
        </w:tc>
        <w:tc>
          <w:tcPr>
            <w:tcBorders>
              <w:left w:val="nil"/>
              <w:right w:val="nil"/>
            </w:tcBorders>
          </w:tcPr>
          <w:p>
            <w:pPr>
              <w:pStyle w:val="TableBodyText"/>
            </w:pPr>
            <w:r>
              <w:rPr>
                <w:rStyle w:val="InlineCode"/>
              </w:rPr>
              <w:t>Description</w:t>
            </w:r>
          </w:p>
        </w:tc>
        <w:tc>
          <w:tcPr>
            <w:tcBorders>
              <w:left w:val="nil"/>
              <w:right w:val="nil"/>
            </w:tcBorders>
          </w:tcPr>
          <w:p>
            <w:pPr>
              <w:pStyle w:val="TableBodyText"/>
            </w:pPr>
            <w:r>
              <w:t>256</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Region</w:t>
            </w:r>
          </w:p>
        </w:tc>
        <w:tc>
          <w:tcPr>
            <w:tcBorders>
              <w:left w:val="nil"/>
              <w:right w:val="nil"/>
            </w:tcBorders>
          </w:tcPr>
          <w:p>
            <w:pPr>
              <w:pStyle w:val="TableBodyText"/>
            </w:pPr>
            <w:r>
              <w:rPr>
                <w:rStyle w:val="InlineCode"/>
              </w:rPr>
              <w:t>Name</w:t>
            </w:r>
          </w:p>
        </w:tc>
        <w:tc>
          <w:tcPr>
            <w:tcBorders>
              <w:left w:val="nil"/>
              <w:right w:val="nil"/>
            </w:tcBorders>
          </w:tcPr>
          <w:p>
            <w:pPr>
              <w:pStyle w:val="TableBodyText"/>
            </w:pPr>
            <w:r>
              <w:t>63</w:t>
            </w:r>
          </w:p>
          <w:p>
            <w:pPr>
              <w:pStyle w:val="TableBodyText"/>
            </w:pPr>
            <w:r>
              <w:t xml:space="preserve">Must follow the requirements as defined in </w:t>
            </w:r>
            <w:hyperlink r:id="rId9" w:tooltip="RFC 1123" w:history="1">
              <w:r>
                <w:rPr>
                  <w:color w:val="0000FF"/>
                  <w:u w:val="single"/>
                </w:rPr>
                <w:t>RFC 1123</w:t>
              </w:r>
            </w:hyperlink>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Region quota</w:t>
            </w:r>
          </w:p>
        </w:tc>
        <w:tc>
          <w:tcPr>
            <w:tcBorders>
              <w:left w:val="nil"/>
              <w:right w:val="nil"/>
            </w:tcBorders>
          </w:tcPr>
          <w:p>
            <w:pPr>
              <w:pStyle w:val="TableBodyText"/>
            </w:pPr>
            <w:r>
              <w:rPr>
                <w:rStyle w:val="InlineCode"/>
              </w:rPr>
              <w:t>Name</w:t>
            </w:r>
          </w:p>
        </w:tc>
        <w:tc>
          <w:tcPr>
            <w:tcBorders>
              <w:left w:val="nil"/>
              <w:right w:val="nil"/>
            </w:tcBorders>
          </w:tcPr>
          <w:p>
            <w:pPr>
              <w:pStyle w:val="TableBodyText"/>
            </w:pPr>
            <w:r>
              <w:t>128</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Region quota</w:t>
            </w:r>
          </w:p>
        </w:tc>
        <w:tc>
          <w:tcPr>
            <w:tcBorders>
              <w:left w:val="nil"/>
              <w:right w:val="nil"/>
            </w:tcBorders>
          </w:tcPr>
          <w:p>
            <w:pPr>
              <w:pStyle w:val="TableBodyText"/>
            </w:pPr>
            <w:r>
              <w:rPr>
                <w:rStyle w:val="InlineCode"/>
              </w:rPr>
              <w:t>Description</w:t>
            </w:r>
          </w:p>
        </w:tc>
        <w:tc>
          <w:tcPr>
            <w:tcBorders>
              <w:left w:val="nil"/>
              <w:right w:val="nil"/>
            </w:tcBorders>
          </w:tcPr>
          <w:p>
            <w:pPr>
              <w:pStyle w:val="TableBodyText"/>
            </w:pPr>
            <w:r>
              <w:t>256</w:t>
            </w:r>
          </w:p>
        </w:tc>
      </w:tr>
    </w:tbl>
    <w:p>
      <w:pPr>
        <w:pStyle w:val="Heading2"/>
        <w:spacing w:before="320"/>
      </w:pPr>
      <w:bookmarkStart w:id="33" w:name="_Toc256000456"/>
      <w:r>
        <w:t>Troubleshoot Failed Access to the VCF Automation User Interface</w:t>
      </w:r>
      <w:bookmarkEnd w:id="33"/>
    </w:p>
    <w:p>
      <w:pPr>
        <w:pStyle w:val="BodyText"/>
      </w:pPr>
      <w:r>
        <w:t xml:space="preserve">If you are using an external load balancer, to view and update the valid IP addresses and DNS entries for the </w:t>
      </w:r>
      <w:r>
        <w:t>VCF Automation</w:t>
      </w:r>
      <w:r>
        <w:t xml:space="preserve"> cells in your </w:t>
      </w:r>
      <w:r>
        <w:t>VCF Automation</w:t>
      </w:r>
      <w:r>
        <w:t xml:space="preserve"> environment, you can use the </w:t>
      </w:r>
      <w:r>
        <w:t>VCF Automation</w:t>
      </w:r>
      <w:r>
        <w:t xml:space="preserve"> API.</w:t>
      </w:r>
    </w:p>
    <w:p>
      <w:pPr>
        <w:pStyle w:val="BodyText"/>
      </w:pPr>
      <w:r>
        <w:t xml:space="preserve">You cannot access the </w:t>
      </w:r>
      <w:r>
        <w:t>VCF Automation Provider Management Portal</w:t>
      </w:r>
      <w:r>
        <w:t xml:space="preserve"> after a successful login or after changing the DNS entries.</w:t>
      </w:r>
    </w:p>
    <w:p>
      <w:pPr>
        <w:pStyle w:val="BodyText"/>
      </w:pPr>
      <w:r>
        <w:t xml:space="preserve">After you enter your credentials in the login screen, the following error message appears: </w:t>
      </w:r>
      <w:r>
        <w:rPr>
          <w:rStyle w:val="InlineCode"/>
        </w:rPr>
        <w:t>Failed to Start. An error was encountered during initialization. This can be caused by issues such as accessing the application via an unsupported public URL or poor connectivity.</w:t>
      </w:r>
    </w:p>
    <w:p>
      <w:pPr>
        <w:pStyle w:val="BodyText"/>
      </w:pPr>
      <w:r>
        <w:t xml:space="preserve">The access to the </w:t>
      </w:r>
      <w:r>
        <w:t>VCF Automation</w:t>
      </w:r>
      <w:r>
        <w:t xml:space="preserve"> UI might be limited even if the </w:t>
      </w:r>
      <w:r>
        <w:rPr>
          <w:rStyle w:val="InlineCode"/>
        </w:rPr>
        <w:t>Public Addresses</w:t>
      </w:r>
      <w:r>
        <w:t xml:space="preserve"> fields are properly configured. See </w:t>
      </w:r>
      <w:r>
        <w:t>Adding Cloud Accounts</w:t>
      </w:r>
      <w:r>
        <w:t>.</w:t>
      </w:r>
    </w:p>
    <w:p>
      <w:pPr>
        <w:pStyle w:val="Heading1"/>
      </w:pPr>
      <w:bookmarkStart w:id="34" w:name="_Toc256000457"/>
      <w:r>
        <w:t>Viewing and Managing Your Infrastructure Resources in VCF Automation</w:t>
      </w:r>
      <w:bookmarkEnd w:id="34"/>
    </w:p>
    <w:p>
      <w:pPr>
        <w:pStyle w:val="BodyText"/>
      </w:pPr>
      <w:r>
        <w:t>VCF Automation</w:t>
      </w:r>
      <w:r>
        <w:t xml:space="preserve"> derives its resources from an underlying virtual infrastructure. </w:t>
      </w:r>
      <w:r>
        <w:t>VCF Automation</w:t>
      </w:r>
      <w:r>
        <w:t xml:space="preserve"> displays the </w:t>
      </w:r>
      <w:r>
        <w:t>vCenter</w:t>
      </w:r>
      <w:r>
        <w:t xml:space="preserve"> and </w:t>
      </w:r>
      <w:r>
        <w:t>NSX Manager</w:t>
      </w:r>
      <w:r>
        <w:t xml:space="preserve"> instances discovered from </w:t>
      </w:r>
      <w:r>
        <w:t>VCF Operations</w:t>
      </w:r>
      <w:r>
        <w:t xml:space="preserve"> that you can view and manage.</w:t>
      </w:r>
    </w:p>
    <w:p>
      <w:pPr>
        <w:pStyle w:val="BodyText"/>
      </w:pPr>
      <w:r>
        <w:t>VCF Automation</w:t>
      </w:r>
      <w:r>
        <w:t xml:space="preserve"> uses one or more </w:t>
      </w:r>
      <w:r>
        <w:t>vCenter</w:t>
      </w:r>
      <w:r>
        <w:t xml:space="preserve"> environments to back its regions. Each </w:t>
      </w:r>
      <w:r>
        <w:t>vCenter</w:t>
      </w:r>
      <w:r>
        <w:t xml:space="preserve"> instance must have at least one </w:t>
      </w:r>
      <w:r>
        <w:t>Supervisor</w:t>
      </w:r>
      <w:r>
        <w:t xml:space="preserve"> enabled.</w:t>
      </w:r>
    </w:p>
    <w:p>
      <w:pPr>
        <w:pStyle w:val="BodyText"/>
        <w:pBdr>
          <w:top w:val="single" w:sz="8" w:space="2" w:color="D3D3D3"/>
          <w:bottom w:val="single" w:sz="8" w:space="2" w:color="D3D3D3"/>
        </w:pBdr>
      </w:pPr>
      <w:r>
        <w:rPr>
          <w:rStyle w:val="NoteLeadernote"/>
        </w:rPr>
        <w:t>Note</w:t>
        <w:tab/>
      </w:r>
      <w:r>
        <w:t>VCF Automation</w:t>
      </w:r>
      <w:r>
        <w:t xml:space="preserve"> must manage a </w:t>
      </w:r>
      <w:r>
        <w:t>vCenter</w:t>
      </w:r>
      <w:r>
        <w:t xml:space="preserve"> instance, Supervisors, </w:t>
      </w:r>
      <w:r>
        <w:t>vSphere</w:t>
      </w:r>
      <w:r>
        <w:t xml:space="preserve"> clusters, and so on, exclusively. When you use a </w:t>
      </w:r>
      <w:r>
        <w:t>vCenter</w:t>
      </w:r>
      <w:r>
        <w:t xml:space="preserve"> instance for </w:t>
      </w:r>
      <w:r>
        <w:t>VCF Automation</w:t>
      </w:r>
      <w:r>
        <w:t xml:space="preserve"> and other purposes, a </w:t>
      </w:r>
      <w:r>
        <w:t>vCenter</w:t>
      </w:r>
      <w:r>
        <w:t xml:space="preserve"> administrator might accidentally move </w:t>
      </w:r>
      <w:r>
        <w:t>VCF Automation</w:t>
      </w:r>
      <w:r>
        <w:t xml:space="preserve"> resources. This can cause </w:t>
      </w:r>
      <w:r>
        <w:t>VCF Automation</w:t>
      </w:r>
      <w:r>
        <w:t xml:space="preserve"> to operate incorrectly, including losing virtual machines that </w:t>
      </w:r>
      <w:r>
        <w:t>VCF Automation</w:t>
      </w:r>
      <w:r>
        <w:t xml:space="preserve"> manages.</w:t>
      </w:r>
    </w:p>
    <w:p>
      <w:pPr>
        <w:pStyle w:val="SectionHeading2"/>
      </w:pPr>
      <w:bookmarkStart w:id="35" w:name="_Toc256000458"/>
      <w:r>
        <w:t>Managing Networking Resources</w:t>
      </w:r>
      <w:bookmarkEnd w:id="35"/>
    </w:p>
    <w:p>
      <w:pPr>
        <w:pStyle w:val="BodyText"/>
      </w:pPr>
      <w:r>
        <w:t xml:space="preserve">After creating a tier-0 gateway in </w:t>
      </w:r>
      <w:r>
        <w:t>NSX Manager</w:t>
      </w:r>
      <w:r>
        <w:t xml:space="preserve">, you can make your networking configurations in </w:t>
      </w:r>
      <w:r>
        <w:t>VCF Automation</w:t>
      </w:r>
      <w:r>
        <w:t>. As a Provider Administrator, you can define IP spaces and provider gateways and assign resources to organizations.</w:t>
      </w:r>
    </w:p>
    <w:p>
      <w:pPr>
        <w:pStyle w:val="Heading2"/>
      </w:pPr>
      <w:bookmarkStart w:id="36" w:name="_Toc256000459"/>
      <w:r>
        <w:t>View the vCenter Instances in Your VCF Automation</w:t>
      </w:r>
      <w:bookmarkEnd w:id="36"/>
    </w:p>
    <w:p>
      <w:pPr>
        <w:pStyle w:val="BodyText"/>
      </w:pPr>
      <w:r>
        <w:t xml:space="preserve">You can see a list of all your </w:t>
      </w:r>
      <w:r>
        <w:t>vCenter</w:t>
      </w:r>
      <w:r>
        <w:t xml:space="preserve"> instances, discovered from </w:t>
      </w:r>
      <w:r>
        <w:t>VCF Operations</w:t>
      </w:r>
      <w:r>
        <w:t>, and their current connection status.</w:t>
      </w:r>
    </w:p>
    <w:p>
      <w:pPr>
        <w:pStyle w:val="BodyText"/>
      </w:pPr>
      <w:r>
        <w:rPr>
          <w:rStyle w:val="Strong"/>
        </w:rPr>
        <w:t>Procedure</w:t>
      </w:r>
    </w:p>
    <w:p>
      <w:pPr>
        <w:pStyle w:val="BodyText"/>
        <w:numPr>
          <w:numId w:val="27"/>
        </w:numPr>
      </w:pPr>
      <w:r>
        <w:t xml:space="preserve">Log in to the </w:t>
      </w:r>
      <w:r>
        <w:t>.</w:t>
      </w:r>
    </w:p>
    <w:p>
      <w:pPr>
        <w:pStyle w:val="BodyText"/>
        <w:numPr>
          <w:numId w:val="27"/>
        </w:numPr>
      </w:pPr>
      <w:r>
        <w:t xml:space="preserve">From the left navigation panel, under </w:t>
      </w:r>
      <w:r>
        <w:rPr>
          <w:rStyle w:val="InlineUI"/>
        </w:rPr>
        <w:t>Administration</w:t>
      </w:r>
      <w:r>
        <w:t xml:space="preserve">, select </w:t>
      </w:r>
      <w:r>
        <w:rPr>
          <w:rStyle w:val="InlineUI"/>
        </w:rPr>
        <w:t>Connections</w:t>
      </w:r>
      <w:r>
        <w:t>.</w:t>
      </w:r>
    </w:p>
    <w:p>
      <w:pPr>
        <w:pStyle w:val="BodyText"/>
        <w:numPr>
          <w:numId w:val="27"/>
        </w:numPr>
      </w:pPr>
      <w:r>
        <w:t xml:space="preserve">Click the </w:t>
      </w:r>
      <w:r>
        <w:rPr>
          <w:rStyle w:val="InlineUI"/>
        </w:rPr>
        <w:t>vCenter</w:t>
      </w:r>
      <w:r>
        <w:t xml:space="preserve"> tab.</w:t>
      </w:r>
    </w:p>
    <w:p>
      <w:pPr>
        <w:pStyle w:val="BodyText"/>
      </w:pPr>
      <w:r>
        <w:rPr>
          <w:rStyle w:val="Strong"/>
        </w:rPr>
        <w:t>Results</w:t>
      </w:r>
    </w:p>
    <w:p>
      <w:pPr>
        <w:pStyle w:val="BodyText"/>
      </w:pPr>
      <w:r>
        <w:t xml:space="preserve">A list of all </w:t>
      </w:r>
      <w:r>
        <w:t>vCenter</w:t>
      </w:r>
      <w:r>
        <w:t xml:space="preserve"> instances appears. The list contains the following information for each </w:t>
      </w:r>
      <w:r>
        <w:t>vCenter</w:t>
      </w:r>
      <w:r>
        <w:t xml:space="preserve"> instance.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4"/>
        <w:gridCol w:w="81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Name</w:t>
            </w:r>
          </w:p>
        </w:tc>
        <w:tc>
          <w:tcPr>
            <w:tcBorders>
              <w:left w:val="nil"/>
              <w:right w:val="nil"/>
            </w:tcBorders>
          </w:tcPr>
          <w:p>
            <w:pPr>
              <w:pStyle w:val="TableBodyText"/>
            </w:pPr>
            <w:r>
              <w:t xml:space="preserve">The name of the </w:t>
            </w:r>
            <w:r>
              <w:t>vCenter</w:t>
            </w:r>
            <w:r>
              <w:t xml:space="preserve"> instance in </w:t>
            </w:r>
            <w:r>
              <w:t>VCF Automation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Description</w:t>
            </w:r>
          </w:p>
        </w:tc>
        <w:tc>
          <w:tcPr>
            <w:tcBorders>
              <w:left w:val="nil"/>
              <w:right w:val="nil"/>
            </w:tcBorders>
          </w:tcPr>
          <w:p>
            <w:pPr>
              <w:pStyle w:val="TableBodyText"/>
            </w:pPr>
            <w:r>
              <w:t xml:space="preserve">Description of the </w:t>
            </w:r>
            <w:r>
              <w:t>vCenter</w:t>
            </w:r>
            <w:r>
              <w:t xml:space="preserve">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State</w:t>
            </w:r>
          </w:p>
        </w:tc>
        <w:tc>
          <w:tcPr>
            <w:tcBorders>
              <w:left w:val="nil"/>
              <w:right w:val="nil"/>
            </w:tcBorders>
          </w:tcPr>
          <w:p>
            <w:pPr>
              <w:pStyle w:val="TableBodyText"/>
            </w:pPr>
            <w:r>
              <w:rPr>
                <w:rStyle w:val="InlineUI"/>
              </w:rPr>
              <w:t>Enabled</w:t>
            </w:r>
            <w:r>
              <w:t xml:space="preserve"> or </w:t>
            </w:r>
            <w:r>
              <w:rPr>
                <w:rStyle w:val="InlineUI"/>
              </w:rPr>
              <w:t>Disabled</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Bd0937aade5634b5a858400bc5d623202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Deactivate and Unregister a vCenter Instance in VCF Automation</w:t>
            </w:r>
            <w:r>
              <w:fldChar w:fldCharType="end"/>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Connected</w:t>
            </w:r>
          </w:p>
        </w:tc>
        <w:tc>
          <w:tcPr>
            <w:tcBorders>
              <w:left w:val="nil"/>
              <w:right w:val="nil"/>
            </w:tcBorders>
          </w:tcPr>
          <w:p>
            <w:pPr>
              <w:pStyle w:val="TableBodyText"/>
            </w:pPr>
            <w:r>
              <w:t xml:space="preserve">Connected or not to </w:t>
            </w:r>
            <w:r>
              <w:t>VCF Automation</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B45de8aeab1ba454ba48efef7f0a4dce4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Reconnect a vCenter Instance to VCF Automation</w:t>
            </w:r>
            <w:r>
              <w:fldChar w:fldCharType="end"/>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Username</w:t>
            </w:r>
          </w:p>
        </w:tc>
        <w:tc>
          <w:tcPr>
            <w:tcBorders>
              <w:left w:val="nil"/>
              <w:right w:val="nil"/>
            </w:tcBorders>
          </w:tcPr>
          <w:p>
            <w:pPr>
              <w:pStyle w:val="TableBodyText"/>
            </w:pPr>
            <w:r>
              <w:t xml:space="preserve">Username for login to this </w:t>
            </w:r>
            <w:r>
              <w:t>vCenter</w:t>
            </w:r>
            <w:r>
              <w:t xml:space="preserve">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License Status</w:t>
            </w:r>
          </w:p>
        </w:tc>
        <w:tc>
          <w:tcPr>
            <w:tcBorders>
              <w:left w:val="nil"/>
              <w:right w:val="nil"/>
            </w:tcBorders>
          </w:tcPr>
          <w:p>
            <w:pPr>
              <w:pStyle w:val="TableBodyText"/>
            </w:pPr>
            <w:r>
              <w:t xml:space="preserve">The licensing status of the </w:t>
            </w:r>
            <w:r>
              <w:t>vCenter</w:t>
            </w:r>
            <w:r>
              <w:t xml:space="preserve"> instance. </w:t>
            </w:r>
            <w:r>
              <w:rPr>
                <w:rStyle w:val="InlineCode"/>
              </w:rPr>
              <w:t>Licensed</w:t>
            </w:r>
            <w:r>
              <w:t xml:space="preserve"> indicates that the </w:t>
            </w:r>
            <w:r>
              <w:t>vCenter</w:t>
            </w:r>
            <w:r>
              <w:t xml:space="preserve"> instance is properly licensed. </w:t>
            </w:r>
            <w:r>
              <w:rPr>
                <w:rStyle w:val="InlineCode"/>
              </w:rPr>
              <w:t>Not Licensed</w:t>
            </w:r>
            <w:r>
              <w:t xml:space="preserve"> indicates that the </w:t>
            </w:r>
            <w:r>
              <w:t>vCenter</w:t>
            </w:r>
            <w:r>
              <w:t xml:space="preserve"> license is either invalid or the license is expired.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VCF Instance</w:t>
            </w:r>
          </w:p>
        </w:tc>
        <w:tc>
          <w:tcPr>
            <w:tcBorders>
              <w:left w:val="nil"/>
              <w:right w:val="nil"/>
            </w:tcBorders>
          </w:tcPr>
          <w:p>
            <w:pPr>
              <w:pStyle w:val="TableBodyText"/>
            </w:pPr>
            <w:r>
              <w:t xml:space="preserve">The </w:t>
            </w:r>
            <w:r>
              <w:t>VCF Instance</w:t>
            </w:r>
            <w:r>
              <w:t xml:space="preserve"> managing this </w:t>
            </w:r>
            <w:r>
              <w:t>vCenter</w:t>
            </w:r>
            <w:r>
              <w:t xml:space="preserve"> instance.</w:t>
            </w:r>
          </w:p>
        </w:tc>
      </w:tr>
    </w:tbl>
    <w:p>
      <w:pPr>
        <w:pStyle w:val="Heading2"/>
        <w:spacing w:before="320"/>
      </w:pPr>
      <w:bookmarkStart w:id="37" w:name="_Toc256000460"/>
      <w:r>
        <w:t>Modify the vCenter Settings in VCF Automation</w:t>
      </w:r>
      <w:bookmarkEnd w:id="37"/>
    </w:p>
    <w:p>
      <w:pPr>
        <w:pStyle w:val="BodyText"/>
      </w:pPr>
      <w:r>
        <w:t xml:space="preserve">If the connection information for an attached </w:t>
      </w:r>
      <w:r>
        <w:t>vCenter</w:t>
      </w:r>
      <w:r>
        <w:t xml:space="preserve"> instance changes, or if you want to change its name and description in </w:t>
      </w:r>
      <w:r>
        <w:t>VCF Automation</w:t>
      </w:r>
      <w:r>
        <w:t xml:space="preserve">, or its administrator password, you can edit the </w:t>
      </w:r>
      <w:r>
        <w:t>vCenter</w:t>
      </w:r>
      <w:r>
        <w:t xml:space="preserve"> settings.</w:t>
      </w:r>
    </w:p>
    <w:p>
      <w:pPr>
        <w:pStyle w:val="BodyText"/>
      </w:pPr>
      <w:r>
        <w:rPr>
          <w:rStyle w:val="Strong"/>
        </w:rPr>
        <w:t>Procedure</w:t>
      </w:r>
    </w:p>
    <w:p>
      <w:pPr>
        <w:pStyle w:val="BodyText"/>
        <w:numPr>
          <w:numId w:val="28"/>
        </w:numPr>
      </w:pPr>
      <w:r>
        <w:t xml:space="preserve">From the left navigation panel, under </w:t>
      </w:r>
      <w:r>
        <w:rPr>
          <w:rStyle w:val="InlineUI"/>
        </w:rPr>
        <w:t>Administration</w:t>
      </w:r>
      <w:r>
        <w:t xml:space="preserve">, select </w:t>
      </w:r>
      <w:r>
        <w:rPr>
          <w:rStyle w:val="InlineUI"/>
        </w:rPr>
        <w:t>Connections</w:t>
      </w:r>
      <w:r>
        <w:t>.</w:t>
      </w:r>
    </w:p>
    <w:p>
      <w:pPr>
        <w:pStyle w:val="BodyText"/>
        <w:numPr>
          <w:numId w:val="28"/>
        </w:numPr>
      </w:pPr>
      <w:r>
        <w:t xml:space="preserve">Select the </w:t>
      </w:r>
      <w:r>
        <w:rPr>
          <w:rStyle w:val="InlineUI"/>
        </w:rPr>
        <w:t>vCenter</w:t>
      </w:r>
      <w:r>
        <w:t xml:space="preserve"> tab.</w:t>
      </w:r>
    </w:p>
    <w:p>
      <w:pPr>
        <w:pStyle w:val="BodyText"/>
        <w:numPr>
          <w:numId w:val="28"/>
        </w:numPr>
      </w:pPr>
      <w:r>
        <w:t>Click the vertical ellipsis (</w:t>
      </w:r>
      <w:r>
        <w:t xml:space="preserve">) next to the </w:t>
      </w:r>
      <w:r>
        <w:t>vCenter</w:t>
      </w:r>
      <w:r>
        <w:t xml:space="preserve"> instance name, and select </w:t>
      </w:r>
      <w:r>
        <w:rPr>
          <w:rStyle w:val="InlineUI"/>
        </w:rPr>
        <w:t>Edit</w:t>
      </w:r>
      <w:r>
        <w:t>.</w:t>
      </w:r>
    </w:p>
    <w:p>
      <w:pPr>
        <w:pStyle w:val="BodyText"/>
        <w:numPr>
          <w:numId w:val="28"/>
        </w:numPr>
      </w:pPr>
      <w:r>
        <w:t>(Optional) Edit the name and description of the instance.</w:t>
      </w:r>
    </w:p>
    <w:p>
      <w:pPr>
        <w:pStyle w:val="BodyText"/>
        <w:numPr>
          <w:numId w:val="28"/>
        </w:numPr>
      </w:pPr>
      <w:r>
        <w:t xml:space="preserve">(Optional) Edit the URL for the </w:t>
      </w:r>
      <w:r>
        <w:t>vCenter</w:t>
      </w:r>
      <w:r>
        <w:t xml:space="preserve"> instance.</w:t>
      </w:r>
    </w:p>
    <w:p>
      <w:pPr>
        <w:pStyle w:val="BodyText"/>
        <w:numPr>
          <w:numId w:val="28"/>
        </w:numPr>
      </w:pPr>
      <w:r>
        <w:t xml:space="preserve">(Optional) Edit the user name and password for the </w:t>
      </w:r>
      <w:r>
        <w:t>vCenter</w:t>
      </w:r>
      <w:r>
        <w:rPr>
          <w:rStyle w:val="InlineUI"/>
        </w:rPr>
        <w:t>administrator</w:t>
      </w:r>
      <w:r>
        <w:t xml:space="preserve"> account.</w:t>
      </w:r>
    </w:p>
    <w:p>
      <w:pPr>
        <w:pStyle w:val="BodyText"/>
        <w:numPr>
          <w:numId w:val="28"/>
        </w:numPr>
      </w:pPr>
      <w:r>
        <w:t xml:space="preserve">(Optional) Turn on or off the </w:t>
      </w:r>
      <w:r>
        <w:rPr>
          <w:rStyle w:val="InlineUI"/>
        </w:rPr>
        <w:t>Enabled</w:t>
      </w:r>
      <w:r>
        <w:t xml:space="preserve"> toggle.</w:t>
      </w:r>
    </w:p>
    <w:p>
      <w:pPr>
        <w:pStyle w:val="BodyText"/>
        <w:numPr>
          <w:numId w:val="28"/>
        </w:numPr>
      </w:pPr>
      <w:r>
        <w:t xml:space="preserve">Click </w:t>
      </w:r>
      <w:r>
        <w:rPr>
          <w:rStyle w:val="InlineUI"/>
        </w:rPr>
        <w:t>Submit</w:t>
      </w:r>
      <w:r>
        <w:t>.</w:t>
      </w:r>
    </w:p>
    <w:p>
      <w:pPr>
        <w:pStyle w:val="Heading2"/>
      </w:pPr>
      <w:bookmarkStart w:id="38" w:name="Bd0937aade5634b5a858400bc5d623202"/>
      <w:bookmarkStart w:id="39" w:name="_Toc256000461"/>
      <w:r>
        <w:t>Deactivate and Unregister a vCenter Instance in VCF Automation</w:t>
      </w:r>
      <w:bookmarkEnd w:id="39"/>
      <w:bookmarkEnd w:id="38"/>
    </w:p>
    <w:p>
      <w:pPr>
        <w:pStyle w:val="BodyText"/>
      </w:pPr>
      <w:r>
        <w:t xml:space="preserve">After you delete a workload domain using </w:t>
      </w:r>
      <w:r>
        <w:t xml:space="preserve">, you must deactivate and unregister the </w:t>
      </w:r>
      <w:r>
        <w:t>vCenter</w:t>
      </w:r>
      <w:r>
        <w:t xml:space="preserve"> instance from </w:t>
      </w:r>
      <w:r>
        <w:t>VCF Automation</w:t>
      </w:r>
      <w:r>
        <w:t>.</w:t>
      </w:r>
    </w:p>
    <w:p>
      <w:pPr>
        <w:pStyle w:val="BodyText"/>
      </w:pPr>
      <w:r>
        <w:rPr>
          <w:rStyle w:val="Strong"/>
        </w:rPr>
        <w:t>Prerequisites</w:t>
      </w:r>
    </w:p>
    <w:p>
      <w:pPr>
        <w:pStyle w:val="BodyText"/>
        <w:numPr>
          <w:numId w:val="29"/>
        </w:numPr>
      </w:pPr>
      <w:r>
        <w:t xml:space="preserve">Decommission a </w:t>
      </w:r>
      <w:r>
        <w:t>vCenter</w:t>
      </w:r>
      <w:r>
        <w:t xml:space="preserve"> instance in </w:t>
      </w:r>
      <w:r>
        <w:t xml:space="preserve">. See </w:t>
      </w:r>
      <w:r>
        <w:t>Delete a Workload Domain</w:t>
      </w:r>
      <w:r>
        <w:t>.</w:t>
      </w:r>
    </w:p>
    <w:p>
      <w:pPr>
        <w:pStyle w:val="BodyText"/>
        <w:numPr>
          <w:numId w:val="29"/>
        </w:numPr>
      </w:pPr>
      <w:r>
        <w:t xml:space="preserve">Delete the regions created on the </w:t>
      </w:r>
      <w:r>
        <w:t>vCenter</w:t>
      </w:r>
      <w:r>
        <w:t xml:space="preserve"> instance.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B7c1d1a37e6c84e0293e7ae90ce69964f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Region in Your VCF Automation</w:t>
      </w:r>
      <w:r>
        <w:fldChar w:fldCharType="end"/>
      </w:r>
      <w:r>
        <w:t>.</w:t>
      </w:r>
    </w:p>
    <w:p>
      <w:pPr>
        <w:pStyle w:val="BodyText"/>
      </w:pPr>
      <w:r>
        <w:rPr>
          <w:rStyle w:val="Strong"/>
        </w:rPr>
        <w:t>Procedure</w:t>
      </w:r>
    </w:p>
    <w:p>
      <w:pPr>
        <w:pStyle w:val="BodyText"/>
        <w:numPr>
          <w:numId w:val="30"/>
        </w:numPr>
      </w:pPr>
      <w:r>
        <w:t xml:space="preserve">Log in to the </w:t>
      </w:r>
      <w:r>
        <w:t>.</w:t>
      </w:r>
    </w:p>
    <w:p>
      <w:pPr>
        <w:pStyle w:val="BodyText"/>
        <w:numPr>
          <w:numId w:val="30"/>
        </w:numPr>
      </w:pPr>
      <w:r>
        <w:t xml:space="preserve">From the left navigation panel, under </w:t>
      </w:r>
      <w:r>
        <w:rPr>
          <w:rStyle w:val="InlineUI"/>
        </w:rPr>
        <w:t>Administration</w:t>
      </w:r>
      <w:r>
        <w:t xml:space="preserve">, select </w:t>
      </w:r>
      <w:r>
        <w:rPr>
          <w:rStyle w:val="InlineUI"/>
        </w:rPr>
        <w:t>Connections</w:t>
      </w:r>
      <w:r>
        <w:t>.</w:t>
      </w:r>
    </w:p>
    <w:p>
      <w:pPr>
        <w:pStyle w:val="BodyText"/>
        <w:numPr>
          <w:numId w:val="30"/>
        </w:numPr>
      </w:pPr>
      <w:r>
        <w:t xml:space="preserve">Click the </w:t>
      </w:r>
      <w:r>
        <w:rPr>
          <w:rStyle w:val="InlineUI"/>
        </w:rPr>
        <w:t>vCenter</w:t>
      </w:r>
      <w:r>
        <w:t xml:space="preserve"> tab.</w:t>
      </w:r>
    </w:p>
    <w:p>
      <w:pPr>
        <w:pStyle w:val="BodyText"/>
        <w:numPr>
          <w:numId w:val="30"/>
        </w:numPr>
      </w:pPr>
      <w:r>
        <w:t>Click the vertical ellipsis (</w:t>
      </w:r>
      <w:r>
        <w:t xml:space="preserve">) next to the name of the target </w:t>
      </w:r>
      <w:r>
        <w:t>vCenter</w:t>
      </w:r>
      <w:r>
        <w:t xml:space="preserve"> instance, and select </w:t>
      </w:r>
      <w:r>
        <w:rPr>
          <w:rStyle w:val="InlineUI"/>
        </w:rPr>
        <w:t>Disable</w:t>
      </w:r>
      <w:r>
        <w:t>.</w:t>
      </w:r>
    </w:p>
    <w:p>
      <w:pPr>
        <w:pStyle w:val="BodyText"/>
        <w:ind w:left="480"/>
      </w:pPr>
      <w:r>
        <w:t xml:space="preserve">When you deactivate a </w:t>
      </w:r>
      <w:r>
        <w:t>vCenter</w:t>
      </w:r>
      <w:r>
        <w:t xml:space="preserve"> instance, the status of the instance changes to </w:t>
      </w:r>
      <w:r>
        <w:rPr>
          <w:rStyle w:val="InlineCode"/>
        </w:rPr>
        <w:t>Disabled</w:t>
      </w:r>
      <w:r>
        <w:t>, and you cannot create any regions on it. Existing regions are not affected.</w:t>
      </w:r>
    </w:p>
    <w:p>
      <w:pPr>
        <w:pStyle w:val="BodyText"/>
        <w:numPr>
          <w:numId w:val="30"/>
        </w:numPr>
      </w:pPr>
      <w:r>
        <w:t xml:space="preserve">When the </w:t>
      </w:r>
      <w:r>
        <w:t>vCenter</w:t>
      </w:r>
      <w:r>
        <w:t xml:space="preserve"> instance is deactivated, click the vertical ellipsis (</w:t>
      </w:r>
      <w:r>
        <w:t xml:space="preserve">) next to the name of the target </w:t>
      </w:r>
      <w:r>
        <w:t>vCenter</w:t>
      </w:r>
      <w:r>
        <w:t xml:space="preserve"> instance, and select </w:t>
      </w:r>
      <w:r>
        <w:rPr>
          <w:rStyle w:val="InlineUI"/>
        </w:rPr>
        <w:t>Unregister</w:t>
      </w:r>
      <w:r>
        <w:t>.</w:t>
      </w:r>
    </w:p>
    <w:p>
      <w:pPr>
        <w:pStyle w:val="BodyText"/>
        <w:ind w:left="480"/>
      </w:pPr>
      <w:r>
        <w:t xml:space="preserve">Unregistering a </w:t>
      </w:r>
      <w:r>
        <w:t>vCenter</w:t>
      </w:r>
      <w:r>
        <w:t xml:space="preserve"> instance, deletes the instance from </w:t>
      </w:r>
      <w:r>
        <w:t>VCF Automation</w:t>
      </w:r>
      <w:r>
        <w:t>.</w:t>
      </w:r>
    </w:p>
    <w:p>
      <w:pPr>
        <w:pStyle w:val="Heading2"/>
      </w:pPr>
      <w:bookmarkStart w:id="40" w:name="B45de8aeab1ba454ba48efef7f0a4dce4"/>
      <w:bookmarkStart w:id="41" w:name="_Toc256000462"/>
      <w:r>
        <w:t>Reconnect a vCenter Instance to VCF Automation</w:t>
      </w:r>
      <w:bookmarkEnd w:id="41"/>
      <w:bookmarkEnd w:id="40"/>
    </w:p>
    <w:p>
      <w:pPr>
        <w:pStyle w:val="BodyText"/>
      </w:pPr>
      <w:r>
        <w:t xml:space="preserve">If a </w:t>
      </w:r>
      <w:r>
        <w:t>vCenter</w:t>
      </w:r>
      <w:r>
        <w:t xml:space="preserve"> instance appears as disconnected, or if you modified the connection settings, you can try to reset the connection to </w:t>
      </w:r>
      <w:r>
        <w:t>VCF Automation</w:t>
      </w:r>
      <w:r>
        <w:t>.</w:t>
      </w:r>
    </w:p>
    <w:p>
      <w:pPr>
        <w:pStyle w:val="BodyText"/>
        <w:pBdr>
          <w:top w:val="single" w:sz="8" w:space="2" w:color="D3D3D3"/>
          <w:bottom w:val="single" w:sz="8" w:space="2" w:color="D3D3D3"/>
        </w:pBdr>
      </w:pPr>
      <w:r>
        <w:rPr>
          <w:rStyle w:val="NoteLeadernote"/>
        </w:rPr>
        <w:t>Note</w:t>
        <w:tab/>
      </w:r>
      <w:r>
        <w:t xml:space="preserve">During establishing the new connection, the </w:t>
      </w:r>
      <w:r>
        <w:t>vCenter</w:t>
      </w:r>
      <w:r>
        <w:t xml:space="preserve"> instance is unavailable for operations.</w:t>
      </w:r>
    </w:p>
    <w:p>
      <w:pPr>
        <w:pStyle w:val="BodyText"/>
      </w:pPr>
      <w:r>
        <w:rPr>
          <w:rStyle w:val="Strong"/>
        </w:rPr>
        <w:t>Procedure</w:t>
      </w:r>
    </w:p>
    <w:p>
      <w:pPr>
        <w:pStyle w:val="BodyText"/>
        <w:numPr>
          <w:numId w:val="31"/>
        </w:numPr>
      </w:pPr>
      <w:r>
        <w:t xml:space="preserve">Log in to the </w:t>
      </w:r>
      <w:r>
        <w:t>.</w:t>
      </w:r>
    </w:p>
    <w:p>
      <w:pPr>
        <w:pStyle w:val="BodyText"/>
        <w:numPr>
          <w:numId w:val="31"/>
        </w:numPr>
      </w:pPr>
      <w:r>
        <w:t xml:space="preserve">From the left navigation panel, under </w:t>
      </w:r>
      <w:r>
        <w:rPr>
          <w:rStyle w:val="InlineUI"/>
        </w:rPr>
        <w:t>Administration</w:t>
      </w:r>
      <w:r>
        <w:t xml:space="preserve">, select </w:t>
      </w:r>
      <w:r>
        <w:rPr>
          <w:rStyle w:val="InlineUI"/>
        </w:rPr>
        <w:t>Connections</w:t>
      </w:r>
      <w:r>
        <w:t>.</w:t>
      </w:r>
    </w:p>
    <w:p>
      <w:pPr>
        <w:pStyle w:val="BodyText"/>
        <w:numPr>
          <w:numId w:val="31"/>
        </w:numPr>
      </w:pPr>
      <w:r>
        <w:t xml:space="preserve">Click the </w:t>
      </w:r>
      <w:r>
        <w:rPr>
          <w:rStyle w:val="InlineUI"/>
        </w:rPr>
        <w:t>vCenter</w:t>
      </w:r>
      <w:r>
        <w:t xml:space="preserve"> tab.</w:t>
      </w:r>
    </w:p>
    <w:p>
      <w:pPr>
        <w:pStyle w:val="BodyText"/>
        <w:numPr>
          <w:numId w:val="31"/>
        </w:numPr>
      </w:pPr>
      <w:r>
        <w:t>Click the vertical ellipsis (</w:t>
      </w:r>
      <w:r>
        <w:t xml:space="preserve">) next to the name of the target </w:t>
      </w:r>
      <w:r>
        <w:t>vCenter</w:t>
      </w:r>
      <w:r>
        <w:t xml:space="preserve"> instance, and select </w:t>
      </w:r>
      <w:r>
        <w:rPr>
          <w:rStyle w:val="InlineUI"/>
        </w:rPr>
        <w:t>Reconnect</w:t>
      </w:r>
      <w:r>
        <w:t>.</w:t>
      </w:r>
    </w:p>
    <w:p>
      <w:pPr>
        <w:pStyle w:val="BodyText"/>
        <w:numPr>
          <w:numId w:val="31"/>
        </w:numPr>
      </w:pPr>
      <w:r>
        <w:t xml:space="preserve">To confirm, click </w:t>
      </w:r>
      <w:r>
        <w:rPr>
          <w:rStyle w:val="InlineUI"/>
        </w:rPr>
        <w:t>Reconnect</w:t>
      </w:r>
      <w:r>
        <w:t>.</w:t>
      </w:r>
    </w:p>
    <w:p>
      <w:pPr>
        <w:pStyle w:val="Heading2"/>
      </w:pPr>
      <w:bookmarkStart w:id="42" w:name="_Toc256000463"/>
      <w:r>
        <w:t>Refresh a vCenter Instance in VCF Automation</w:t>
      </w:r>
      <w:bookmarkEnd w:id="42"/>
    </w:p>
    <w:p>
      <w:pPr>
        <w:pStyle w:val="BodyText"/>
      </w:pPr>
      <w:r>
        <w:t xml:space="preserve">If you make a change to the underlying </w:t>
      </w:r>
      <w:r>
        <w:t>vCenter</w:t>
      </w:r>
      <w:r>
        <w:t xml:space="preserve"> infrastructure and you need instant confirmation of the change in </w:t>
      </w:r>
      <w:r>
        <w:t>VCF Automation</w:t>
      </w:r>
      <w:r>
        <w:t xml:space="preserve">, you can refresh the </w:t>
      </w:r>
      <w:r>
        <w:t>vCenter</w:t>
      </w:r>
      <w:r>
        <w:t xml:space="preserve"> instances. By default, </w:t>
      </w:r>
      <w:r>
        <w:t>VCF Automation</w:t>
      </w:r>
      <w:r>
        <w:t xml:space="preserve"> performs an automatic refresh of the </w:t>
      </w:r>
      <w:r>
        <w:t>vCenter</w:t>
      </w:r>
      <w:r>
        <w:t xml:space="preserve"> instances every 10 minutes.</w:t>
      </w:r>
    </w:p>
    <w:p>
      <w:pPr>
        <w:pStyle w:val="BodyText"/>
      </w:pPr>
      <w:r>
        <w:rPr>
          <w:rStyle w:val="Strong"/>
        </w:rPr>
        <w:t>Procedure</w:t>
      </w:r>
    </w:p>
    <w:p>
      <w:pPr>
        <w:pStyle w:val="BodyText"/>
        <w:numPr>
          <w:numId w:val="32"/>
        </w:numPr>
      </w:pPr>
      <w:r>
        <w:t xml:space="preserve">Log in to the </w:t>
      </w:r>
      <w:r>
        <w:t>.</w:t>
      </w:r>
    </w:p>
    <w:p>
      <w:pPr>
        <w:pStyle w:val="BodyText"/>
        <w:numPr>
          <w:numId w:val="32"/>
        </w:numPr>
      </w:pPr>
      <w:r>
        <w:t xml:space="preserve">From the left navigation panel, under </w:t>
      </w:r>
      <w:r>
        <w:rPr>
          <w:rStyle w:val="InlineUI"/>
        </w:rPr>
        <w:t>Administration</w:t>
      </w:r>
      <w:r>
        <w:t xml:space="preserve">, select </w:t>
      </w:r>
      <w:r>
        <w:rPr>
          <w:rStyle w:val="InlineUI"/>
        </w:rPr>
        <w:t>Connections</w:t>
      </w:r>
      <w:r>
        <w:t>.</w:t>
      </w:r>
    </w:p>
    <w:p>
      <w:pPr>
        <w:pStyle w:val="BodyText"/>
        <w:numPr>
          <w:numId w:val="32"/>
        </w:numPr>
      </w:pPr>
      <w:r>
        <w:t xml:space="preserve">Click the </w:t>
      </w:r>
      <w:r>
        <w:rPr>
          <w:rStyle w:val="InlineUI"/>
        </w:rPr>
        <w:t>vCenter</w:t>
      </w:r>
      <w:r>
        <w:t xml:space="preserve"> tab.</w:t>
      </w:r>
    </w:p>
    <w:p>
      <w:pPr>
        <w:pStyle w:val="BodyText"/>
        <w:numPr>
          <w:numId w:val="32"/>
        </w:numPr>
      </w:pPr>
      <w:r>
        <w:t>Click the vertical ellipsis (</w:t>
      </w:r>
      <w:r>
        <w:t xml:space="preserve">) next to the name of the target </w:t>
      </w:r>
      <w:r>
        <w:t>vCenter</w:t>
      </w:r>
      <w:r>
        <w:t xml:space="preserve"> instance, and select </w:t>
      </w:r>
      <w:r>
        <w:rPr>
          <w:rStyle w:val="InlineUI"/>
        </w:rPr>
        <w:t>Refresh</w:t>
      </w:r>
      <w:r>
        <w:t>.</w:t>
      </w:r>
    </w:p>
    <w:p>
      <w:pPr>
        <w:pStyle w:val="BodyText"/>
        <w:numPr>
          <w:numId w:val="32"/>
        </w:numPr>
      </w:pPr>
      <w:r>
        <w:t xml:space="preserve">To confirm, click </w:t>
      </w:r>
      <w:r>
        <w:rPr>
          <w:rStyle w:val="InlineUI"/>
        </w:rPr>
        <w:t>Refresh</w:t>
      </w:r>
      <w:r>
        <w:t>.</w:t>
      </w:r>
    </w:p>
    <w:p>
      <w:pPr>
        <w:pStyle w:val="BodyText"/>
        <w:numPr>
          <w:numId w:val="32"/>
        </w:numPr>
      </w:pPr>
      <w:r>
        <w:t xml:space="preserve">If you want to refresh the </w:t>
      </w:r>
      <w:r>
        <w:t>vCenter</w:t>
      </w:r>
      <w:r>
        <w:t xml:space="preserve"> storage classes, click the vertical ellipsis, and select </w:t>
      </w:r>
      <w:r>
        <w:rPr>
          <w:rStyle w:val="InlineUI"/>
        </w:rPr>
        <w:t>Refresh Policies</w:t>
      </w:r>
      <w:r>
        <w:t>.</w:t>
      </w:r>
    </w:p>
    <w:p>
      <w:pPr>
        <w:pStyle w:val="BodyText"/>
        <w:numPr>
          <w:numId w:val="32"/>
        </w:numPr>
      </w:pPr>
      <w:r>
        <w:t xml:space="preserve">To confirm, click </w:t>
      </w:r>
      <w:r>
        <w:rPr>
          <w:rStyle w:val="InlineUI"/>
        </w:rPr>
        <w:t>Refresh</w:t>
      </w:r>
      <w:r>
        <w:t>.</w:t>
      </w:r>
    </w:p>
    <w:p>
      <w:pPr>
        <w:pStyle w:val="Heading2"/>
      </w:pPr>
      <w:bookmarkStart w:id="43" w:name="_Toc256000464"/>
      <w:r>
        <w:t>View Your VMware vSphere Supervisors</w:t>
      </w:r>
      <w:bookmarkEnd w:id="43"/>
    </w:p>
    <w:p>
      <w:pPr>
        <w:pStyle w:val="BodyText"/>
      </w:pPr>
      <w:r>
        <w:t xml:space="preserve">You can use the </w:t>
      </w:r>
      <w:r>
        <w:t>VCF Automation Provider Management Portal</w:t>
      </w:r>
      <w:r>
        <w:t xml:space="preserve"> to view your </w:t>
      </w:r>
      <w:r>
        <w:t>Supervisor</w:t>
      </w:r>
      <w:r>
        <w:t>s.</w:t>
      </w:r>
    </w:p>
    <w:p>
      <w:pPr>
        <w:pStyle w:val="BodyText"/>
      </w:pPr>
      <w:r>
        <w:t>A Supervisor is a control plane that spans across one or more zones, each zone has one cluster.</w:t>
      </w:r>
    </w:p>
    <w:p>
      <w:pPr>
        <w:pStyle w:val="BodyText"/>
      </w:pPr>
      <w:r>
        <w:rPr>
          <w:rStyle w:val="Strong"/>
        </w:rPr>
        <w:t>Procedure</w:t>
      </w:r>
    </w:p>
    <w:p>
      <w:pPr>
        <w:pStyle w:val="BodyText"/>
        <w:numPr>
          <w:numId w:val="33"/>
        </w:numPr>
      </w:pPr>
      <w:r>
        <w:t xml:space="preserve">Log in to the </w:t>
      </w:r>
      <w:r>
        <w:t>.</w:t>
      </w:r>
    </w:p>
    <w:p>
      <w:pPr>
        <w:pStyle w:val="BodyText"/>
        <w:numPr>
          <w:numId w:val="33"/>
        </w:numPr>
      </w:pPr>
      <w:r>
        <w:t xml:space="preserve">From the left navigation panel, under </w:t>
      </w:r>
      <w:r>
        <w:rPr>
          <w:rStyle w:val="InlineUI"/>
        </w:rPr>
        <w:t>Infrastructure</w:t>
      </w:r>
      <w:r>
        <w:t xml:space="preserve">, select </w:t>
      </w:r>
      <w:r>
        <w:rPr>
          <w:rStyle w:val="InlineUI"/>
        </w:rPr>
        <w:t>Supervisors</w:t>
      </w:r>
      <w:r>
        <w:t>.</w:t>
      </w:r>
    </w:p>
    <w:p>
      <w:pPr>
        <w:pStyle w:val="BodyText"/>
        <w:numPr>
          <w:numId w:val="33"/>
        </w:numPr>
      </w:pPr>
      <w:r>
        <w:t xml:space="preserve">To expand the view and show the full </w:t>
      </w:r>
      <w:r>
        <w:t>Supervisor</w:t>
      </w:r>
      <w:r>
        <w:t xml:space="preserve"> details, click the button to the left of the </w:t>
      </w:r>
      <w:r>
        <w:t>Supervisor</w:t>
      </w:r>
      <w:r>
        <w:t xml:space="preserve"> name.</w:t>
      </w:r>
    </w:p>
    <w:p>
      <w:pPr>
        <w:pStyle w:val="BodyText"/>
        <w:ind w:left="480"/>
      </w:pPr>
      <w:r>
        <w:t xml:space="preserve">Information about the </w:t>
      </w:r>
      <w:r>
        <w:t>vCenter</w:t>
      </w:r>
      <w:r>
        <w:t xml:space="preserve">, </w:t>
      </w:r>
      <w:r>
        <w:t>Supervisor</w:t>
      </w:r>
      <w:r>
        <w:t xml:space="preserve"> zones, and VM classes appears. If the </w:t>
      </w:r>
      <w:r>
        <w:t>Supervisor</w:t>
      </w:r>
      <w:r>
        <w:t xml:space="preserve"> is part of a region in </w:t>
      </w:r>
      <w:r>
        <w:t>VCF Automation</w:t>
      </w:r>
      <w:r>
        <w:t>, the region also appears in the details.</w:t>
      </w:r>
    </w:p>
    <w:p>
      <w:pPr>
        <w:pStyle w:val="Heading2"/>
      </w:pPr>
      <w:bookmarkStart w:id="44" w:name="Bafcf42607f384998a2dd9b0d349811bf"/>
      <w:bookmarkStart w:id="45" w:name="_Toc256000465"/>
      <w:r>
        <w:t>View and Manage Your NSX Manager Instances</w:t>
      </w:r>
      <w:bookmarkEnd w:id="45"/>
      <w:bookmarkEnd w:id="44"/>
    </w:p>
    <w:p>
      <w:pPr>
        <w:pStyle w:val="BodyText"/>
      </w:pPr>
      <w:r>
        <w:t xml:space="preserve">You can see a list of all your </w:t>
      </w:r>
      <w:r>
        <w:t>NSX Manager</w:t>
      </w:r>
      <w:r>
        <w:t xml:space="preserve"> instances, discovered from </w:t>
      </w:r>
      <w:r>
        <w:t>VCF Operations</w:t>
      </w:r>
      <w:r>
        <w:t>, and their current connection status.</w:t>
      </w:r>
    </w:p>
    <w:p>
      <w:pPr>
        <w:pStyle w:val="BodyText"/>
      </w:pPr>
      <w:r>
        <w:t xml:space="preserve">If an </w:t>
      </w:r>
      <w:r>
        <w:t>NSX Manager</w:t>
      </w:r>
      <w:r>
        <w:t xml:space="preserve"> instance is not properly registered, it might not appear in the list. You can use the </w:t>
      </w:r>
      <w:hyperlink r:id="rId10" w:tooltip="VCF Automation API" w:history="1">
        <w:r>
          <w:rPr>
            <w:color w:val="0000FF"/>
            <w:u w:val="single"/>
          </w:rPr>
          <w:t>VCF Automation API</w:t>
        </w:r>
      </w:hyperlink>
      <w:r>
        <w:t xml:space="preserve"> to register the </w:t>
      </w:r>
      <w:r>
        <w:t>NSX Manager</w:t>
      </w:r>
      <w:r>
        <w:t xml:space="preserve"> instance.</w:t>
      </w:r>
    </w:p>
    <w:p>
      <w:pPr>
        <w:pStyle w:val="BodyText"/>
      </w:pPr>
      <w:r>
        <w:rPr>
          <w:rStyle w:val="Strong"/>
        </w:rPr>
        <w:t>Procedure</w:t>
      </w:r>
    </w:p>
    <w:p>
      <w:pPr>
        <w:pStyle w:val="BodyText"/>
        <w:numPr>
          <w:numId w:val="34"/>
        </w:numPr>
      </w:pPr>
      <w:r>
        <w:t xml:space="preserve">Log in to the </w:t>
      </w:r>
      <w:r>
        <w:t>.</w:t>
      </w:r>
    </w:p>
    <w:p>
      <w:pPr>
        <w:pStyle w:val="BodyText"/>
        <w:numPr>
          <w:numId w:val="34"/>
        </w:numPr>
      </w:pPr>
      <w:r>
        <w:t xml:space="preserve">From the left navigation panel, under </w:t>
      </w:r>
      <w:r>
        <w:rPr>
          <w:rStyle w:val="InlineUI"/>
        </w:rPr>
        <w:t>Administration</w:t>
      </w:r>
      <w:r>
        <w:t xml:space="preserve">, select </w:t>
      </w:r>
      <w:r>
        <w:rPr>
          <w:rStyle w:val="InlineUI"/>
        </w:rPr>
        <w:t>Connections</w:t>
      </w:r>
      <w:r>
        <w:t>.</w:t>
      </w:r>
    </w:p>
    <w:p>
      <w:pPr>
        <w:pStyle w:val="BodyText"/>
        <w:numPr>
          <w:numId w:val="34"/>
        </w:numPr>
      </w:pPr>
      <w:r>
        <w:t xml:space="preserve">Click the </w:t>
      </w:r>
      <w:r>
        <w:rPr>
          <w:rStyle w:val="InlineUI"/>
        </w:rPr>
        <w:t>NSX Manager</w:t>
      </w:r>
      <w:r>
        <w:t xml:space="preserve"> tab.</w:t>
      </w:r>
    </w:p>
    <w:p>
      <w:pPr>
        <w:pStyle w:val="BodyText"/>
        <w:ind w:left="480"/>
      </w:pPr>
      <w:r>
        <w:t xml:space="preserve">A list of all </w:t>
      </w:r>
      <w:r>
        <w:rPr>
          <w:rStyle w:val="InlineUI"/>
        </w:rPr>
        <w:t>NSX Manager</w:t>
      </w:r>
      <w:r>
        <w:t xml:space="preserve"> instances appears. You can see the name, description, and status of the </w:t>
      </w:r>
      <w:r>
        <w:rPr>
          <w:rStyle w:val="InlineUI"/>
        </w:rPr>
        <w:t>NSX Manager</w:t>
      </w:r>
      <w:r>
        <w:t xml:space="preserve"> instance.</w:t>
      </w:r>
    </w:p>
    <w:p>
      <w:pPr>
        <w:pStyle w:val="BodyText"/>
        <w:numPr>
          <w:numId w:val="34"/>
        </w:numPr>
      </w:pPr>
      <w:r>
        <w:t xml:space="preserve">If you want to see the URL of the </w:t>
      </w:r>
      <w:r>
        <w:rPr>
          <w:rStyle w:val="InlineUI"/>
        </w:rPr>
        <w:t>NSX Manager</w:t>
      </w:r>
      <w:r>
        <w:t xml:space="preserve"> instance, click its name.</w:t>
      </w:r>
    </w:p>
    <w:p>
      <w:pPr>
        <w:pStyle w:val="BodyText"/>
        <w:numPr>
          <w:numId w:val="34"/>
        </w:numPr>
      </w:pPr>
      <w:r>
        <w:t xml:space="preserve">If you want to edit the </w:t>
      </w:r>
      <w:r>
        <w:rPr>
          <w:rStyle w:val="InlineUI"/>
        </w:rPr>
        <w:t>NSX Manager</w:t>
      </w:r>
      <w:r>
        <w:t xml:space="preserve"> name, description, URL, username, or password, on the </w:t>
      </w:r>
      <w:r>
        <w:rPr>
          <w:rStyle w:val="InlineUI"/>
        </w:rPr>
        <w:t>General</w:t>
      </w:r>
      <w:r>
        <w:t xml:space="preserve"> page, click </w:t>
      </w:r>
      <w:r>
        <w:rPr>
          <w:rStyle w:val="InlineUI"/>
        </w:rPr>
        <w:t>Edit</w:t>
      </w:r>
      <w:r>
        <w:t>.</w:t>
      </w:r>
    </w:p>
    <w:p>
      <w:pPr>
        <w:pStyle w:val="Heading2"/>
      </w:pPr>
      <w:bookmarkStart w:id="46" w:name="Bdd72d356d4d64804804e0edc0cd89bc9"/>
      <w:bookmarkStart w:id="47" w:name="_Toc256000466"/>
      <w:r>
        <w:t>Managing Networking Resources in the VCF Automation Provider Management Portal</w:t>
      </w:r>
      <w:bookmarkEnd w:id="47"/>
      <w:bookmarkEnd w:id="46"/>
    </w:p>
    <w:p>
      <w:pPr>
        <w:pStyle w:val="BodyText"/>
      </w:pPr>
      <w:r>
        <w:t xml:space="preserve">To leverage the networking capabilities of </w:t>
      </w:r>
      <w:r>
        <w:t>VCF Automation</w:t>
      </w:r>
      <w:r>
        <w:t xml:space="preserve"> for organizations for all applications, you can add and manage your infrastructure and cloud networking resources through the </w:t>
      </w:r>
      <w:r>
        <w:t>Provider Management Portal</w:t>
      </w:r>
      <w:r>
        <w:t>.</w:t>
      </w:r>
    </w:p>
    <w:p>
      <w:pPr>
        <w:pStyle w:val="Heading3"/>
      </w:pPr>
      <w:bookmarkStart w:id="48" w:name="Bbe29ca6c0ae04dbb83d4ff738082987d"/>
      <w:bookmarkStart w:id="49" w:name="_Toc256000467"/>
      <w:r>
        <w:t>Managing IP Spaces in your VCF Automation Provider Management Portal</w:t>
      </w:r>
      <w:bookmarkEnd w:id="49"/>
      <w:bookmarkEnd w:id="48"/>
    </w:p>
    <w:p>
      <w:pPr>
        <w:pStyle w:val="BodyText"/>
      </w:pPr>
      <w:r>
        <w:t xml:space="preserve">You can use </w:t>
      </w:r>
      <w:r>
        <w:rPr>
          <w:rStyle w:val="InlineUI"/>
        </w:rPr>
        <w:t>IP Spaces</w:t>
      </w:r>
      <w:r>
        <w:t xml:space="preserve"> to manage your IP address allocation needs. </w:t>
      </w:r>
      <w:r>
        <w:rPr>
          <w:rStyle w:val="InlineUI"/>
        </w:rPr>
        <w:t>IP Spaces</w:t>
      </w:r>
      <w:r>
        <w:t xml:space="preserve"> provide a structured approach to allocating public IP addresses to different organizations, enabling connectivity to external networks.</w:t>
      </w:r>
    </w:p>
    <w:p>
      <w:pPr>
        <w:pStyle w:val="BodyText"/>
      </w:pPr>
      <w:r>
        <w:t xml:space="preserve">An IP space consists of a set of CIDR blocks that are reserved, these CIDRs must be dedicated to </w:t>
      </w:r>
      <w:r>
        <w:t xml:space="preserve"> and used by organization administrators as they configure services. An IP space can only be IPv4.</w:t>
      </w:r>
    </w:p>
    <w:p>
      <w:pPr>
        <w:pStyle w:val="BodyText"/>
      </w:pPr>
      <w:r>
        <w:t>Every IP space has IP blocks and external reachability. IP blocks represent IPs used in this local data center, south of the provider gateway. IPs within this scope are used for configuring services and networks.</w:t>
      </w:r>
    </w:p>
    <w:p>
      <w:pPr>
        <w:pStyle w:val="BodyText"/>
      </w:pPr>
      <w:r>
        <w:t xml:space="preserve">As a </w:t>
      </w:r>
      <w:r>
        <w:rPr>
          <w:rStyle w:val="InlineUI"/>
        </w:rPr>
        <w:t>Provider Administrator</w:t>
      </w:r>
      <w:r>
        <w:t xml:space="preserve">, you create IP spaces and assign them to provider gateways. An IP space is used by multiple organizations and is controlled by the </w:t>
      </w:r>
      <w:r>
        <w:rPr>
          <w:rStyle w:val="InlineUI"/>
        </w:rPr>
        <w:t>Provider Administrator</w:t>
      </w:r>
      <w:r>
        <w:t xml:space="preserve"> through a quota-based system.</w:t>
      </w:r>
    </w:p>
    <w:p>
      <w:pPr>
        <w:pStyle w:val="BodyText"/>
      </w:pPr>
      <w:r>
        <w:rPr>
          <w:rStyle w:val="InlineUI"/>
        </w:rPr>
        <w:t>Organization administrators</w:t>
      </w:r>
      <w:r>
        <w:t xml:space="preserve"> can create and manage the private IP blocks within their organization.</w:t>
      </w:r>
    </w:p>
    <w:p>
      <w:pPr>
        <w:pStyle w:val="Heading4"/>
      </w:pPr>
      <w:bookmarkStart w:id="50" w:name="B8a600ac69cf745b9bd2f06d9c78b1e5c"/>
      <w:bookmarkStart w:id="51" w:name="_Toc256000468"/>
      <w:r>
        <w:t>Add an IP Space to Your VCF Automation</w:t>
      </w:r>
      <w:bookmarkEnd w:id="51"/>
      <w:bookmarkEnd w:id="50"/>
    </w:p>
    <w:p>
      <w:pPr>
        <w:pStyle w:val="BodyText"/>
      </w:pPr>
      <w:r>
        <w:t xml:space="preserve">You can create an IP space to be used by multiple </w:t>
      </w:r>
      <w:r>
        <w:t>VCF Automation</w:t>
      </w:r>
      <w:r>
        <w:t xml:space="preserve"> organizations and control it through a quota system.</w:t>
      </w:r>
    </w:p>
    <w:p>
      <w:pPr>
        <w:pStyle w:val="BodyText"/>
      </w:pPr>
      <w:r>
        <w:t xml:space="preserve">As a </w:t>
      </w:r>
      <w:r>
        <w:rPr>
          <w:rStyle w:val="InlineUI"/>
        </w:rPr>
        <w:t>Provider Administrator</w:t>
      </w:r>
      <w:r>
        <w:t>, you can add an IP space that can be used by a number of organizations. The consumption of IP addresses can be controlled by a quota on the IP space, and optionally, overridden at the organization level.</w:t>
      </w:r>
    </w:p>
    <w:p>
      <w:pPr>
        <w:pStyle w:val="BodyText"/>
      </w:pPr>
      <w:r>
        <w:t>An IP Space can only be IPv4.</w:t>
      </w:r>
    </w:p>
    <w:p>
      <w:pPr>
        <w:pStyle w:val="BodyText"/>
      </w:pPr>
      <w:r>
        <w:rPr>
          <w:rStyle w:val="Strong"/>
        </w:rPr>
        <w:t>Prerequisites</w:t>
      </w:r>
    </w:p>
    <w:p>
      <w:pPr>
        <w:pStyle w:val="BodyText"/>
        <w:numPr>
          <w:numId w:val="35"/>
        </w:numPr>
      </w:pPr>
      <w:r>
        <w:t xml:space="preserve">Verify that your role includes the </w:t>
      </w:r>
      <w:r>
        <w:rPr>
          <w:rStyle w:val="InlineUI"/>
        </w:rPr>
        <w:t>System IP Spaces: Manage</w:t>
      </w:r>
      <w:r>
        <w:t xml:space="preserve"> and </w:t>
      </w:r>
      <w:r>
        <w:rPr>
          <w:rStyle w:val="InlineUI"/>
        </w:rPr>
        <w:t>System IP Spaces: View</w:t>
      </w:r>
      <w:r>
        <w:t xml:space="preserve"> rights.</w:t>
      </w:r>
    </w:p>
    <w:p>
      <w:pPr>
        <w:pStyle w:val="BodyText"/>
        <w:numPr>
          <w:numId w:val="3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B7c1d1a37e6c84e0293e7ae90ce69964f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Region in Your VCF Automation</w:t>
      </w:r>
      <w:r>
        <w:fldChar w:fldCharType="end"/>
      </w:r>
    </w:p>
    <w:p>
      <w:pPr>
        <w:pStyle w:val="BodyText"/>
      </w:pPr>
      <w:r>
        <w:rPr>
          <w:rStyle w:val="Strong"/>
        </w:rPr>
        <w:t>Procedure</w:t>
      </w:r>
    </w:p>
    <w:p>
      <w:pPr>
        <w:pStyle w:val="BodyText"/>
        <w:numPr>
          <w:numId w:val="36"/>
        </w:numPr>
      </w:pPr>
      <w:r>
        <w:t xml:space="preserve">Log in to the </w:t>
      </w:r>
      <w:r>
        <w:t>.</w:t>
      </w:r>
    </w:p>
    <w:p>
      <w:pPr>
        <w:pStyle w:val="BodyText"/>
        <w:numPr>
          <w:numId w:val="36"/>
        </w:numPr>
      </w:pPr>
      <w:r>
        <w:t xml:space="preserve">From the left navigation panel, under </w:t>
      </w:r>
      <w:r>
        <w:rPr>
          <w:rStyle w:val="InlineUI"/>
        </w:rPr>
        <w:t>Infrastructure</w:t>
      </w:r>
      <w:r>
        <w:t xml:space="preserve">, select </w:t>
      </w:r>
      <w:r>
        <w:rPr>
          <w:rStyle w:val="InlineUI"/>
        </w:rPr>
        <w:t>Networking</w:t>
      </w:r>
      <w:r>
        <w:t>.</w:t>
      </w:r>
    </w:p>
    <w:p>
      <w:pPr>
        <w:pStyle w:val="BodyText"/>
        <w:numPr>
          <w:numId w:val="36"/>
        </w:numPr>
      </w:pPr>
      <w:r>
        <w:t xml:space="preserve">Click the </w:t>
      </w:r>
      <w:r>
        <w:rPr>
          <w:rStyle w:val="InlineUI"/>
        </w:rPr>
        <w:t>IP Spaces</w:t>
      </w:r>
      <w:r>
        <w:t xml:space="preserve"> tab, and click </w:t>
      </w:r>
      <w:r>
        <w:rPr>
          <w:rStyle w:val="InlineUI"/>
        </w:rPr>
        <w:t>New</w:t>
      </w:r>
      <w:r>
        <w:t>.</w:t>
      </w:r>
    </w:p>
    <w:p>
      <w:pPr>
        <w:pStyle w:val="BodyText"/>
        <w:numPr>
          <w:numId w:val="36"/>
        </w:numPr>
      </w:pPr>
      <w:r>
        <w:t>Enter a name, and optionally, a description for the IP space.</w:t>
      </w:r>
    </w:p>
    <w:p>
      <w:pPr>
        <w:pStyle w:val="BodyText"/>
        <w:numPr>
          <w:numId w:val="36"/>
        </w:numPr>
      </w:pPr>
      <w:r>
        <w:t xml:space="preserve">From the drop-down menu, select the region of the IP space, and click </w:t>
      </w:r>
      <w:r>
        <w:rPr>
          <w:rStyle w:val="InlineUI"/>
        </w:rPr>
        <w:t>Next</w:t>
      </w:r>
      <w:r>
        <w:t>.</w:t>
      </w:r>
    </w:p>
    <w:p>
      <w:pPr>
        <w:pStyle w:val="BodyText"/>
        <w:numPr>
          <w:numId w:val="36"/>
        </w:numPr>
      </w:pPr>
      <w:r>
        <w:t>To define the IP space scope, enter up to five IP ranges and prefixes.</w:t>
      </w:r>
    </w:p>
    <w:p>
      <w:pPr>
        <w:pStyle w:val="BodyText"/>
        <w:ind w:left="480"/>
      </w:pPr>
      <w:r>
        <w:t>The internal scope of an IP space is a list of CIDR notations that defines the exact span of IP adresses in which all ranges and blocks must be contained in.</w:t>
      </w:r>
    </w:p>
    <w:p>
      <w:pPr>
        <w:pStyle w:val="BodyText"/>
        <w:ind w:left="480"/>
      </w:pPr>
      <w:r>
        <w:t>You can use IPv4.</w:t>
      </w:r>
    </w:p>
    <w:p>
      <w:pPr>
        <w:pStyle w:val="BodyText"/>
        <w:numPr>
          <w:numId w:val="36"/>
        </w:numPr>
      </w:pPr>
      <w:r>
        <w:t>(Optional) For the external scope for the IP space, enter 00/0 for Internet IPs.</w:t>
      </w:r>
    </w:p>
    <w:p>
      <w:pPr>
        <w:pStyle w:val="BodyText"/>
        <w:numPr>
          <w:numId w:val="36"/>
        </w:numPr>
      </w:pPr>
      <w:r>
        <w:t xml:space="preserve">Click </w:t>
      </w:r>
      <w:r>
        <w:rPr>
          <w:rStyle w:val="InlineUI"/>
        </w:rPr>
        <w:t>Next</w:t>
      </w:r>
      <w:r>
        <w:t>.</w:t>
      </w:r>
    </w:p>
    <w:p>
      <w:pPr>
        <w:pStyle w:val="BodyText"/>
        <w:numPr>
          <w:numId w:val="36"/>
        </w:numPr>
      </w:pPr>
      <w:r>
        <w:t>(Optional) Enter the default maximum number of IP addresses for all organizations within the IP space.</w:t>
      </w:r>
    </w:p>
    <w:p>
      <w:pPr>
        <w:pStyle w:val="BodyText"/>
        <w:numPr>
          <w:numId w:val="36"/>
        </w:numPr>
      </w:pPr>
      <w:r>
        <w:t>(Optional) Enter the default maximum number of CIDRs for all organizations within the IP space.</w:t>
      </w:r>
    </w:p>
    <w:p>
      <w:pPr>
        <w:pStyle w:val="BodyText"/>
        <w:numPr>
          <w:numId w:val="36"/>
        </w:numPr>
      </w:pPr>
      <w:r>
        <w:t>(Optional) Specify the default largest subnet size of the CIDR that you want to allow within the IP space.</w:t>
      </w:r>
    </w:p>
    <w:p>
      <w:pPr>
        <w:pStyle w:val="BodyText"/>
        <w:ind w:left="480"/>
      </w:pPr>
      <w:r>
        <w:t>This option ensures that you do not allocate subnets that are too large, which can result in unused IP addresses.</w:t>
      </w:r>
    </w:p>
    <w:p>
      <w:pPr>
        <w:pStyle w:val="BodyText"/>
        <w:numPr>
          <w:numId w:val="36"/>
        </w:numPr>
      </w:pPr>
      <w:r>
        <w:t xml:space="preserve">Click </w:t>
      </w:r>
      <w:r>
        <w:rPr>
          <w:rStyle w:val="InlineUI"/>
        </w:rPr>
        <w:t>Next</w:t>
      </w:r>
      <w:r>
        <w:t>.</w:t>
      </w:r>
    </w:p>
    <w:p>
      <w:pPr>
        <w:pStyle w:val="BodyText"/>
        <w:numPr>
          <w:numId w:val="36"/>
        </w:numPr>
      </w:pPr>
      <w:r>
        <w:t xml:space="preserve">Review the IP space settings, and click </w:t>
      </w:r>
      <w:r>
        <w:rPr>
          <w:rStyle w:val="InlineUI"/>
        </w:rPr>
        <w:t>Create</w:t>
      </w:r>
      <w:r>
        <w:t>.</w:t>
      </w:r>
    </w:p>
    <w:p>
      <w:pPr>
        <w:pStyle w:val="BodyText"/>
      </w:pPr>
      <w:r>
        <w:rPr>
          <w:rStyle w:val="Strong"/>
        </w:rPr>
        <w:t>What to do next</w:t>
      </w:r>
    </w:p>
    <w:p>
      <w:pPr>
        <w:pStyle w:val="BodyText"/>
      </w:pPr>
      <w:r>
        <w:t xml:space="preserve">When creating an IP space, you can configure an IP quota that applies equally to all organizations. To specify a quota applicable to a specific organization,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B36143871f1864d52983be095e7dcfbf2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Custom IP Space Quota</w:t>
      </w:r>
      <w:r>
        <w:fldChar w:fldCharType="end"/>
      </w:r>
      <w:r>
        <w:t>.</w:t>
      </w:r>
    </w:p>
    <w:p>
      <w:pPr>
        <w:pStyle w:val="Heading4"/>
      </w:pPr>
      <w:bookmarkStart w:id="52" w:name="B36143871f1864d52983be095e7dcfbf2"/>
      <w:bookmarkStart w:id="53" w:name="_Toc256000469"/>
      <w:r>
        <w:t>Create a Custom IP Space Quota</w:t>
      </w:r>
      <w:bookmarkEnd w:id="53"/>
      <w:bookmarkEnd w:id="52"/>
    </w:p>
    <w:p>
      <w:pPr>
        <w:pStyle w:val="BodyText"/>
      </w:pPr>
      <w:r>
        <w:t>When creating an IP space, you can configure an IP quota that applies equally to all organizations using this IP space through the assignment of a provider gateway to those organizations. By creating a custom IP space quota, you specify a quota applicable to a specific organization.</w:t>
      </w:r>
    </w:p>
    <w:p>
      <w:pPr>
        <w:pStyle w:val="BodyText"/>
      </w:pPr>
      <w:r>
        <w:rPr>
          <w:rStyle w:val="Strong"/>
        </w:rPr>
        <w:t>Prerequisites</w:t>
      </w:r>
    </w:p>
    <w:p>
      <w:pPr>
        <w:pStyle w:val="BodyText"/>
        <w:numPr>
          <w:numId w:val="37"/>
        </w:numPr>
      </w:pPr>
      <w:r>
        <w:t xml:space="preserve">Verify that your role includes the </w:t>
      </w:r>
      <w:r>
        <w:rPr>
          <w:rStyle w:val="InlineUI"/>
        </w:rPr>
        <w:t>System IP Spaces: Manage</w:t>
      </w:r>
      <w:r>
        <w:t xml:space="preserve"> and </w:t>
      </w:r>
      <w:r>
        <w:rPr>
          <w:rStyle w:val="InlineUI"/>
        </w:rPr>
        <w:t>System IP Spaces: View</w:t>
      </w:r>
      <w:r>
        <w:t xml:space="preserve"> rights.</w:t>
      </w:r>
    </w:p>
    <w:p>
      <w:pPr>
        <w:pStyle w:val="BodyText"/>
        <w:numPr>
          <w:numId w:val="3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B8a600ac69cf745b9bd2f06d9c78b1e5c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an IP Space to Your VCF Automation</w:t>
      </w:r>
      <w:r>
        <w:fldChar w:fldCharType="end"/>
      </w:r>
    </w:p>
    <w:p>
      <w:pPr>
        <w:pStyle w:val="BodyText"/>
        <w:numPr>
          <w:numId w:val="3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B0827dd869e0945bf96089396fe727806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Associate a Provider Gateway with an IP Space</w:t>
      </w:r>
      <w:r>
        <w:fldChar w:fldCharType="end"/>
      </w:r>
    </w:p>
    <w:p>
      <w:pPr>
        <w:pStyle w:val="BodyText"/>
        <w:numPr>
          <w:numId w:val="3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Befe02593e3a74ebb9c22f75da620371e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the Region Network Configurations of a VCF Automation Organization</w:t>
      </w:r>
      <w:r>
        <w:fldChar w:fldCharType="end"/>
      </w:r>
    </w:p>
    <w:p>
      <w:pPr>
        <w:pStyle w:val="BodyText"/>
      </w:pPr>
      <w:r>
        <w:rPr>
          <w:rStyle w:val="Strong"/>
        </w:rPr>
        <w:t>Procedure</w:t>
      </w:r>
    </w:p>
    <w:p>
      <w:pPr>
        <w:pStyle w:val="BodyText"/>
        <w:numPr>
          <w:numId w:val="38"/>
        </w:numPr>
      </w:pPr>
      <w:r>
        <w:t xml:space="preserve">Log in to the </w:t>
      </w:r>
      <w:r>
        <w:t>.</w:t>
      </w:r>
    </w:p>
    <w:p>
      <w:pPr>
        <w:pStyle w:val="BodyText"/>
        <w:numPr>
          <w:numId w:val="38"/>
        </w:numPr>
      </w:pPr>
      <w:r>
        <w:t xml:space="preserve">From the left navigation panel, under </w:t>
      </w:r>
      <w:r>
        <w:rPr>
          <w:rStyle w:val="InlineUI"/>
        </w:rPr>
        <w:t>Infrastructure</w:t>
      </w:r>
      <w:r>
        <w:t xml:space="preserve">, select </w:t>
      </w:r>
      <w:r>
        <w:rPr>
          <w:rStyle w:val="InlineUI"/>
        </w:rPr>
        <w:t>Networking</w:t>
      </w:r>
      <w:r>
        <w:t>.</w:t>
      </w:r>
    </w:p>
    <w:p>
      <w:pPr>
        <w:pStyle w:val="BodyText"/>
        <w:numPr>
          <w:numId w:val="38"/>
        </w:numPr>
      </w:pPr>
      <w:r>
        <w:t xml:space="preserve">Click the </w:t>
      </w:r>
      <w:r>
        <w:rPr>
          <w:rStyle w:val="InlineUI"/>
        </w:rPr>
        <w:t>IP Spaces</w:t>
      </w:r>
      <w:r>
        <w:t xml:space="preserve"> tab, and click the name of the IP space to which you want to add an IP quota.</w:t>
      </w:r>
    </w:p>
    <w:p>
      <w:pPr>
        <w:pStyle w:val="BodyText"/>
        <w:numPr>
          <w:numId w:val="38"/>
        </w:numPr>
      </w:pPr>
      <w:r>
        <w:t xml:space="preserve">From the secondary left panel, select </w:t>
      </w:r>
      <w:r>
        <w:rPr>
          <w:rStyle w:val="InlineUI"/>
        </w:rPr>
        <w:t>Quotas</w:t>
      </w:r>
      <w:r>
        <w:t>.</w:t>
      </w:r>
    </w:p>
    <w:p>
      <w:pPr>
        <w:pStyle w:val="BodyText"/>
        <w:numPr>
          <w:numId w:val="38"/>
        </w:numPr>
      </w:pPr>
      <w:r>
        <w:t xml:space="preserve">Under </w:t>
      </w:r>
      <w:r>
        <w:rPr>
          <w:rStyle w:val="InlineUI"/>
        </w:rPr>
        <w:t>Custom IP Quota Settings</w:t>
      </w:r>
      <w:r>
        <w:t xml:space="preserve">, click </w:t>
      </w:r>
      <w:r>
        <w:rPr>
          <w:rStyle w:val="InlineUI"/>
        </w:rPr>
        <w:t>New</w:t>
      </w:r>
      <w:r>
        <w:t>.</w:t>
      </w:r>
    </w:p>
    <w:p>
      <w:pPr>
        <w:pStyle w:val="BodyText"/>
        <w:numPr>
          <w:numId w:val="38"/>
        </w:numPr>
      </w:pPr>
      <w:r>
        <w:t>Select the organization to which you want the quota to apply.</w:t>
      </w:r>
    </w:p>
    <w:p>
      <w:pPr>
        <w:pStyle w:val="BodyText"/>
        <w:numPr>
          <w:numId w:val="38"/>
        </w:numPr>
      </w:pPr>
      <w:r>
        <w:t>Enter the maximum number of IP addresses for the organization.</w:t>
      </w:r>
    </w:p>
    <w:p>
      <w:pPr>
        <w:pStyle w:val="BodyText"/>
        <w:numPr>
          <w:numId w:val="38"/>
        </w:numPr>
      </w:pPr>
      <w:r>
        <w:t>Enter the maximum number of CIDRs for the organization.</w:t>
      </w:r>
    </w:p>
    <w:p>
      <w:pPr>
        <w:pStyle w:val="BodyText"/>
        <w:numPr>
          <w:numId w:val="38"/>
        </w:numPr>
      </w:pPr>
      <w:r>
        <w:t>Specify the largest subnet size of the CIDR that you want to allow within the IP Space.</w:t>
      </w:r>
    </w:p>
    <w:p>
      <w:pPr>
        <w:pStyle w:val="BodyText"/>
        <w:ind w:left="480"/>
      </w:pPr>
      <w:r>
        <w:t>This option ensures that you do not allocate subnets that are too large, which can result in unused IP addresses.</w:t>
      </w:r>
    </w:p>
    <w:p>
      <w:pPr>
        <w:pStyle w:val="BodyText"/>
        <w:numPr>
          <w:numId w:val="38"/>
        </w:numPr>
      </w:pPr>
      <w:r>
        <w:t xml:space="preserve">Click </w:t>
      </w:r>
      <w:r>
        <w:rPr>
          <w:rStyle w:val="InlineUI"/>
        </w:rPr>
        <w:t>Save</w:t>
      </w:r>
      <w:r>
        <w:t>.</w:t>
      </w:r>
    </w:p>
    <w:p>
      <w:pPr>
        <w:pStyle w:val="Heading4"/>
      </w:pPr>
      <w:bookmarkStart w:id="54" w:name="_Toc256000470"/>
      <w:r>
        <w:t>Edit an IP Space in Your VCF Automation</w:t>
      </w:r>
      <w:bookmarkEnd w:id="54"/>
    </w:p>
    <w:p>
      <w:pPr>
        <w:pStyle w:val="BodyText"/>
      </w:pPr>
      <w:r>
        <w:t xml:space="preserve">You can use your </w:t>
      </w:r>
      <w:r>
        <w:t>VCF Automation Provider Management Portal</w:t>
      </w:r>
      <w:r>
        <w:t xml:space="preserve"> to modify the name, description, scope, IP ranges, and IP prefixes of an existing IP space.</w:t>
      </w:r>
    </w:p>
    <w:p>
      <w:pPr>
        <w:pStyle w:val="BodyText"/>
      </w:pPr>
      <w:r>
        <w:rPr>
          <w:rStyle w:val="Strong"/>
        </w:rPr>
        <w:t>Prerequisites</w:t>
      </w:r>
    </w:p>
    <w:p>
      <w:pPr>
        <w:pStyle w:val="BodyText"/>
      </w:pPr>
      <w:r>
        <w:t xml:space="preserve">Verify that your role includes the </w:t>
      </w:r>
      <w:r>
        <w:rPr>
          <w:rStyle w:val="InlineUI"/>
        </w:rPr>
        <w:t>System IP Spaces: Manage</w:t>
      </w:r>
      <w:r>
        <w:t xml:space="preserve"> and </w:t>
      </w:r>
      <w:r>
        <w:rPr>
          <w:rStyle w:val="InlineUI"/>
        </w:rPr>
        <w:t>System IP Spaces: View</w:t>
      </w:r>
      <w:r>
        <w:t xml:space="preserve"> rights.</w:t>
      </w:r>
    </w:p>
    <w:p>
      <w:pPr>
        <w:pStyle w:val="BodyText"/>
      </w:pPr>
      <w:r>
        <w:rPr>
          <w:rStyle w:val="Strong"/>
        </w:rPr>
        <w:t>Procedure</w:t>
      </w:r>
    </w:p>
    <w:p>
      <w:pPr>
        <w:pStyle w:val="BodyText"/>
        <w:numPr>
          <w:numId w:val="39"/>
        </w:numPr>
      </w:pPr>
      <w:r>
        <w:t xml:space="preserve">Log in to the </w:t>
      </w:r>
      <w:r>
        <w:t>.</w:t>
      </w:r>
    </w:p>
    <w:p>
      <w:pPr>
        <w:pStyle w:val="BodyText"/>
        <w:numPr>
          <w:numId w:val="39"/>
        </w:numPr>
      </w:pPr>
      <w:r>
        <w:t xml:space="preserve">From the left navigation panel, under </w:t>
      </w:r>
      <w:r>
        <w:rPr>
          <w:rStyle w:val="InlineUI"/>
        </w:rPr>
        <w:t>Infrastructure</w:t>
      </w:r>
      <w:r>
        <w:t xml:space="preserve">, select </w:t>
      </w:r>
      <w:r>
        <w:rPr>
          <w:rStyle w:val="InlineUI"/>
        </w:rPr>
        <w:t>Networking</w:t>
      </w:r>
      <w:r>
        <w:t>.</w:t>
      </w:r>
    </w:p>
    <w:p>
      <w:pPr>
        <w:pStyle w:val="BodyText"/>
        <w:numPr>
          <w:numId w:val="39"/>
        </w:numPr>
      </w:pPr>
      <w:r>
        <w:t xml:space="preserve">Click the </w:t>
      </w:r>
      <w:r>
        <w:rPr>
          <w:rStyle w:val="InlineUI"/>
        </w:rPr>
        <w:t>IP Spaces</w:t>
      </w:r>
      <w:r>
        <w:t xml:space="preserve"> tab, and click the name of the IP space you want to edit.</w:t>
      </w:r>
    </w:p>
    <w:p>
      <w:pPr>
        <w:pStyle w:val="BodyText"/>
        <w:numPr>
          <w:numId w:val="39"/>
        </w:numPr>
      </w:pPr>
      <w:r>
        <w:t xml:space="preserve">To navigate to the general IP space settings, from the secondary left panel, select </w:t>
      </w:r>
      <w:r>
        <w:rPr>
          <w:rStyle w:val="InlineUI"/>
        </w:rPr>
        <w:t>General</w:t>
      </w:r>
      <w:r>
        <w:t>.</w:t>
      </w:r>
    </w:p>
    <w:p>
      <w:pPr>
        <w:pStyle w:val="BodyText"/>
        <w:numPr>
          <w:numId w:val="39"/>
        </w:numPr>
      </w:pPr>
      <w:r>
        <w:t xml:space="preserve">To edit the IP space name or description, under </w:t>
      </w:r>
      <w:r>
        <w:rPr>
          <w:rStyle w:val="InlineUI"/>
        </w:rPr>
        <w:t>Summary</w:t>
      </w:r>
      <w:r>
        <w:t xml:space="preserve">, click </w:t>
      </w:r>
      <w:r>
        <w:rPr>
          <w:rStyle w:val="InlineUI"/>
        </w:rPr>
        <w:t>Edit</w:t>
      </w:r>
      <w:r>
        <w:t>.</w:t>
      </w:r>
    </w:p>
    <w:p>
      <w:pPr>
        <w:pStyle w:val="BodyText"/>
        <w:numPr>
          <w:numId w:val="39"/>
        </w:numPr>
      </w:pPr>
      <w:r>
        <w:t xml:space="preserve">To edit the IP blocks and external reachability of the IP space, under </w:t>
      </w:r>
      <w:r>
        <w:rPr>
          <w:rStyle w:val="InlineUI"/>
        </w:rPr>
        <w:t>IP Blocks and External Reachability</w:t>
      </w:r>
      <w:r>
        <w:t xml:space="preserve">, click </w:t>
      </w:r>
      <w:r>
        <w:rPr>
          <w:rStyle w:val="InlineUI"/>
        </w:rPr>
        <w:t>Edit</w:t>
      </w:r>
      <w:r>
        <w:t>.</w:t>
      </w:r>
    </w:p>
    <w:p>
      <w:pPr>
        <w:pStyle w:val="BodyText"/>
        <w:numPr>
          <w:ilvl w:val="1"/>
          <w:numId w:val="39"/>
        </w:numPr>
      </w:pPr>
      <w:r>
        <w:t>Add up to five CIDRs for the IP blocks of the IP space.</w:t>
      </w:r>
    </w:p>
    <w:p>
      <w:pPr>
        <w:pStyle w:val="BodyText"/>
        <w:numPr>
          <w:ilvl w:val="1"/>
          <w:numId w:val="39"/>
        </w:numPr>
      </w:pPr>
      <w:r>
        <w:t>Add CIDR for the external reachability of the IP space.</w:t>
      </w:r>
    </w:p>
    <w:p>
      <w:pPr>
        <w:pStyle w:val="BodyText"/>
        <w:numPr>
          <w:ilvl w:val="1"/>
          <w:numId w:val="39"/>
        </w:numPr>
      </w:pPr>
      <w:r>
        <w:t xml:space="preserve">Click </w:t>
      </w:r>
      <w:r>
        <w:rPr>
          <w:rStyle w:val="InlineUI"/>
        </w:rPr>
        <w:t>Save</w:t>
      </w:r>
      <w:r>
        <w:t>.</w:t>
      </w:r>
    </w:p>
    <w:p>
      <w:pPr>
        <w:pStyle w:val="BodyText"/>
        <w:numPr>
          <w:numId w:val="39"/>
        </w:numPr>
      </w:pPr>
      <w:r>
        <w:t xml:space="preserve">To edit the default quota of the IP space, from the secondary left panel, select </w:t>
      </w:r>
      <w:r>
        <w:rPr>
          <w:rStyle w:val="InlineUI"/>
        </w:rPr>
        <w:t>Quotas</w:t>
      </w:r>
      <w:r>
        <w:t xml:space="preserve">, and click </w:t>
      </w:r>
      <w:r>
        <w:rPr>
          <w:rStyle w:val="InlineUI"/>
        </w:rPr>
        <w:t>Edit</w:t>
      </w:r>
      <w:r>
        <w:t>.</w:t>
      </w:r>
    </w:p>
    <w:p>
      <w:pPr>
        <w:pStyle w:val="BodyText"/>
        <w:numPr>
          <w:ilvl w:val="1"/>
          <w:numId w:val="39"/>
        </w:numPr>
      </w:pPr>
      <w:r>
        <w:t>Enter the maximum number of IP addresses for each organization.</w:t>
      </w:r>
    </w:p>
    <w:p>
      <w:pPr>
        <w:pStyle w:val="BodyText"/>
        <w:numPr>
          <w:ilvl w:val="1"/>
          <w:numId w:val="39"/>
        </w:numPr>
      </w:pPr>
      <w:r>
        <w:t>Enter the maximum number of CIDRs for each organization.</w:t>
      </w:r>
    </w:p>
    <w:p>
      <w:pPr>
        <w:pStyle w:val="BodyText"/>
        <w:numPr>
          <w:ilvl w:val="1"/>
          <w:numId w:val="39"/>
        </w:numPr>
      </w:pPr>
      <w:r>
        <w:t>Specify the largest subnet size you want to allow within the IP Space.</w:t>
      </w:r>
    </w:p>
    <w:p>
      <w:pPr>
        <w:pStyle w:val="BodyText"/>
        <w:ind w:left="960"/>
      </w:pPr>
      <w:r>
        <w:t>This option ensures that you do not allocate subnets that are too large, which can result in unused IP addresses.</w:t>
      </w:r>
    </w:p>
    <w:p>
      <w:pPr>
        <w:pStyle w:val="Heading3"/>
      </w:pPr>
      <w:bookmarkStart w:id="55" w:name="_Toc256000471"/>
      <w:r>
        <w:t>Managing Provider Gateways in Your VCF Automation</w:t>
      </w:r>
      <w:bookmarkEnd w:id="55"/>
    </w:p>
    <w:p>
      <w:pPr>
        <w:pStyle w:val="BodyText"/>
      </w:pPr>
      <w:r>
        <w:t xml:space="preserve">As a </w:t>
      </w:r>
      <w:r>
        <w:t>VCF Automation</w:t>
      </w:r>
      <w:r>
        <w:rPr>
          <w:rStyle w:val="InlineUI"/>
        </w:rPr>
        <w:t>Provider Administrator</w:t>
      </w:r>
      <w:r>
        <w:t xml:space="preserve">, you can use provider gateways to establish external network connectivity for organizations. A provider gateway leverages </w:t>
      </w:r>
      <w:r>
        <w:t xml:space="preserve"> networking tier-0 or tier-0 VRF gateways, and associates them with IP addresses from IP spaces that can be advertised from those gateways. You can assign a provider gateway to one or more organizations.</w:t>
      </w:r>
    </w:p>
    <w:p>
      <w:pPr>
        <w:pStyle w:val="BodyText"/>
      </w:pPr>
      <w:r>
        <w:t xml:space="preserve">A provider gateway in </w:t>
      </w:r>
      <w:r>
        <w:t>VCF Automation</w:t>
      </w:r>
      <w:r>
        <w:t xml:space="preserve"> is a tier-0 gateway integrated with an IP space to manage external connectivity. Provider gateways are backed by existing tier-0 or tier-0 VRF gateways in </w:t>
      </w:r>
      <w:r>
        <w:rPr>
          <w:rStyle w:val="InlineCode"/>
        </w:rPr>
        <w:t>Active Standby</w:t>
      </w:r>
      <w:r>
        <w:t xml:space="preserve"> mode. You assign provider gateways to organizations through the regional network settings. Associating IP spaces with a provider gateway provides control over default service configuration, control over routing rules, and dynamic routing configuration. You must associate a provider gateway with at least one and up to five IP spaces. You can associate up to five CIDRs with a provider gateway. In other words, if you have five IP spaces associated with a provider gateway, you can use only one CIDR per IP space.</w:t>
      </w:r>
    </w:p>
    <w:p>
      <w:pPr>
        <w:pStyle w:val="BodyText"/>
      </w:pPr>
      <w:r>
        <w:rPr>
          <w:rStyle w:val="InlineUI"/>
        </w:rPr>
        <w:t>Organization administrators</w:t>
      </w:r>
      <w:r>
        <w:t xml:space="preserve"> can view general information about the IP spaces to which their organization has access through IP association.</w:t>
      </w:r>
    </w:p>
    <w:p>
      <w:pPr>
        <w:pStyle w:val="Heading4"/>
      </w:pPr>
      <w:bookmarkStart w:id="56" w:name="Bc729f9fc15dc40e58cb3017a9f662f81"/>
      <w:bookmarkStart w:id="57" w:name="_Toc256000472"/>
      <w:r>
        <w:t>Add a Provider Gateway to Your VCF Automation</w:t>
      </w:r>
      <w:bookmarkEnd w:id="57"/>
      <w:bookmarkEnd w:id="56"/>
    </w:p>
    <w:p>
      <w:pPr>
        <w:pStyle w:val="BodyText"/>
      </w:pPr>
      <w:r>
        <w:t xml:space="preserve">To register </w:t>
      </w:r>
      <w:r>
        <w:t>NSX</w:t>
      </w:r>
      <w:r>
        <w:t xml:space="preserve"> network resources for </w:t>
      </w:r>
      <w:r>
        <w:t>VCF Automation</w:t>
      </w:r>
      <w:r>
        <w:t xml:space="preserve"> to use, you can add a provider gateway to </w:t>
      </w:r>
      <w:r>
        <w:t>VCF Automation</w:t>
      </w:r>
      <w:r>
        <w:t>.</w:t>
      </w:r>
    </w:p>
    <w:p>
      <w:pPr>
        <w:pStyle w:val="BodyText"/>
      </w:pPr>
      <w:r>
        <w:rPr>
          <w:rStyle w:val="Strong"/>
        </w:rPr>
        <w:t>Prerequisites</w:t>
      </w:r>
    </w:p>
    <w:p>
      <w:pPr>
        <w:pStyle w:val="BodyText"/>
        <w:numPr>
          <w:numId w:val="4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B7c1d1a37e6c84e0293e7ae90ce69964f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Region in Your VCF Automation</w:t>
      </w:r>
      <w:r>
        <w:fldChar w:fldCharType="end"/>
      </w:r>
    </w:p>
    <w:p>
      <w:pPr>
        <w:pStyle w:val="BodyText"/>
        <w:numPr>
          <w:numId w:val="40"/>
        </w:numPr>
      </w:pPr>
      <w:r>
        <w:t xml:space="preserve">To add a provider gateway, first you must create an </w:t>
      </w:r>
      <w:r>
        <w:rPr>
          <w:rStyle w:val="InlineCode"/>
        </w:rPr>
        <w:t>Active Standby</w:t>
      </w:r>
      <w:r>
        <w:t xml:space="preserve"> tier-0 gateway in the </w:t>
      </w:r>
      <w:r>
        <w:t>NSX Manager</w:t>
      </w:r>
      <w:r>
        <w:t xml:space="preserve"> associated with the region to back it. You can create the tier-0 gateway in the </w:t>
      </w:r>
      <w:r>
        <w:t>NSX Manager</w:t>
      </w:r>
      <w:r>
        <w:t xml:space="preserve"> UI or by using the NSX Policy API.</w:t>
      </w:r>
    </w:p>
    <w:p>
      <w:pPr>
        <w:pStyle w:val="BodyText"/>
        <w:ind w:left="480"/>
      </w:pPr>
      <w:r>
        <w:t xml:space="preserve">If you want to add a tier-0 gateway that is backed by a VRF gateway in </w:t>
      </w:r>
      <w:r>
        <w:t>NSX</w:t>
      </w:r>
      <w:r>
        <w:t>, you must also create a VRF gateway that is linked to the tier-0 gateway.</w:t>
      </w:r>
    </w:p>
    <w:p>
      <w:pPr>
        <w:pStyle w:val="BodyText"/>
        <w:ind w:left="480"/>
      </w:pPr>
      <w:r>
        <w:t xml:space="preserve">Create a tier-0 gateway in the </w:t>
      </w:r>
      <w:r>
        <w:t>NSX Manager</w:t>
      </w:r>
      <w:r>
        <w:t xml:space="preserve"> UI.</w:t>
      </w:r>
    </w:p>
    <w:p>
      <w:pPr>
        <w:pStyle w:val="BodyText"/>
        <w:numPr>
          <w:ilvl w:val="1"/>
          <w:numId w:val="40"/>
        </w:numPr>
      </w:pPr>
      <w:r>
        <w:t xml:space="preserve">Log in with administrative privileges to the </w:t>
      </w:r>
      <w:r>
        <w:t>NSX Manager</w:t>
      </w:r>
      <w:r>
        <w:t xml:space="preserve"> instance.</w:t>
      </w:r>
    </w:p>
    <w:p>
      <w:pPr>
        <w:pStyle w:val="BodyText"/>
        <w:numPr>
          <w:ilvl w:val="1"/>
          <w:numId w:val="40"/>
        </w:numPr>
      </w:pPr>
      <w:r>
        <w:t xml:space="preserve">Click </w:t>
      </w:r>
      <w:r>
        <w:rPr>
          <w:rStyle w:val="InlineUI"/>
        </w:rPr>
        <w:t>Networking</w:t>
      </w:r>
      <w:r>
        <w:t xml:space="preserve">, click </w:t>
      </w:r>
      <w:r>
        <w:rPr>
          <w:rStyle w:val="InlineUI"/>
        </w:rPr>
        <w:t>Tier-0 Gateways</w:t>
      </w:r>
      <w:r>
        <w:t xml:space="preserve">, and click </w:t>
      </w:r>
      <w:r>
        <w:rPr>
          <w:rStyle w:val="InlineUI"/>
        </w:rPr>
        <w:t>Add Gateway</w:t>
      </w:r>
      <w:r>
        <w:rPr>
          <w:rStyle w:val="InlineUI"/>
        </w:rPr>
        <w:t xml:space="preserve"> &gt; </w:t>
      </w:r>
      <w:r>
        <w:rPr>
          <w:rStyle w:val="InlineUI"/>
        </w:rPr>
        <w:t>Tier-0</w:t>
      </w:r>
      <w:r>
        <w:t>.</w:t>
      </w:r>
    </w:p>
    <w:p>
      <w:pPr>
        <w:pStyle w:val="BodyText"/>
        <w:numPr>
          <w:ilvl w:val="1"/>
          <w:numId w:val="40"/>
        </w:numPr>
      </w:pPr>
      <w:r>
        <w:t>Enter a name for the tier-0 gateway.</w:t>
      </w:r>
    </w:p>
    <w:p>
      <w:pPr>
        <w:pStyle w:val="BodyText"/>
        <w:numPr>
          <w:ilvl w:val="1"/>
          <w:numId w:val="40"/>
        </w:numPr>
      </w:pPr>
      <w:r>
        <w:t xml:space="preserve">Select the </w:t>
      </w:r>
      <w:r>
        <w:rPr>
          <w:rStyle w:val="InlineCode"/>
        </w:rPr>
        <w:t>Active Standby</w:t>
      </w:r>
      <w:r>
        <w:t xml:space="preserve"> mode.</w:t>
      </w:r>
    </w:p>
    <w:p>
      <w:pPr>
        <w:pStyle w:val="BodyText"/>
        <w:pBdr>
          <w:top w:val="single" w:sz="8" w:space="2" w:color="D3D3D3"/>
          <w:bottom w:val="single" w:sz="8" w:space="2" w:color="D3D3D3"/>
        </w:pBdr>
        <w:ind w:left="960"/>
      </w:pPr>
      <w:r>
        <w:rPr>
          <w:rStyle w:val="NoteLeadernote"/>
        </w:rPr>
        <w:t>Note</w:t>
        <w:tab/>
      </w:r>
      <w:r>
        <w:t xml:space="preserve">For </w:t>
      </w:r>
      <w:r>
        <w:t>VCF Automation</w:t>
      </w:r>
      <w:r>
        <w:t xml:space="preserve"> 9.0, only active-standby mode is supported. In active-standby mode, an elected active member processes the traffic. If the active member fails, a new member becomes active.</w:t>
      </w:r>
    </w:p>
    <w:p>
      <w:pPr>
        <w:pStyle w:val="BodyText"/>
        <w:numPr>
          <w:ilvl w:val="1"/>
          <w:numId w:val="40"/>
        </w:numPr>
      </w:pPr>
      <w:r>
        <w:t xml:space="preserve">Select an existing </w:t>
      </w:r>
      <w:r>
        <w:t>NSX</w:t>
      </w:r>
      <w:r>
        <w:t xml:space="preserve"> Edge cluster from the drop-down menu to back this tier-0 gateway, and click </w:t>
      </w:r>
      <w:r>
        <w:rPr>
          <w:rStyle w:val="InlineUI"/>
        </w:rPr>
        <w:t>Save</w:t>
      </w:r>
      <w:r>
        <w:t>.</w:t>
      </w:r>
    </w:p>
    <w:p>
      <w:pPr>
        <w:pStyle w:val="BodyText"/>
        <w:ind w:left="480"/>
      </w:pPr>
      <w:r>
        <w:t xml:space="preserve">If you want to add a tier-0 gateway that is backed by a VRF gateway in </w:t>
      </w:r>
      <w:r>
        <w:t>NSX</w:t>
      </w:r>
      <w:r>
        <w:t>, create a VRF gateway that is linked to the tier-0 gateway.</w:t>
      </w:r>
    </w:p>
    <w:p>
      <w:pPr>
        <w:pStyle w:val="BodyText"/>
        <w:numPr>
          <w:ilvl w:val="1"/>
          <w:numId w:val="40"/>
        </w:numPr>
      </w:pPr>
      <w:r>
        <w:t xml:space="preserve">Log in with administrative privileges to the </w:t>
      </w:r>
      <w:r>
        <w:t>NSX Manager</w:t>
      </w:r>
      <w:r>
        <w:t xml:space="preserve"> instance.</w:t>
      </w:r>
    </w:p>
    <w:p>
      <w:pPr>
        <w:pStyle w:val="BodyText"/>
        <w:numPr>
          <w:ilvl w:val="1"/>
          <w:numId w:val="40"/>
        </w:numPr>
      </w:pPr>
      <w:r>
        <w:t xml:space="preserve">Click </w:t>
      </w:r>
      <w:r>
        <w:rPr>
          <w:rStyle w:val="InlineUI"/>
        </w:rPr>
        <w:t>Networking</w:t>
      </w:r>
      <w:r>
        <w:t xml:space="preserve">, click </w:t>
      </w:r>
      <w:r>
        <w:rPr>
          <w:rStyle w:val="InlineUI"/>
        </w:rPr>
        <w:t>Tier-0 Gateways</w:t>
      </w:r>
      <w:r>
        <w:t xml:space="preserve">, and click </w:t>
      </w:r>
      <w:r>
        <w:rPr>
          <w:rStyle w:val="InlineUI"/>
        </w:rPr>
        <w:t>Add Gateway</w:t>
      </w:r>
      <w:r>
        <w:rPr>
          <w:rStyle w:val="InlineUI"/>
        </w:rPr>
        <w:t xml:space="preserve"> &gt; </w:t>
      </w:r>
      <w:r>
        <w:rPr>
          <w:rStyle w:val="InlineUI"/>
        </w:rPr>
        <w:t>VRF</w:t>
      </w:r>
      <w:r>
        <w:t>.</w:t>
      </w:r>
    </w:p>
    <w:p>
      <w:pPr>
        <w:pStyle w:val="BodyText"/>
        <w:numPr>
          <w:ilvl w:val="1"/>
          <w:numId w:val="40"/>
        </w:numPr>
      </w:pPr>
      <w:r>
        <w:t>Enter a name for the VRF gateway.</w:t>
      </w:r>
    </w:p>
    <w:p>
      <w:pPr>
        <w:pStyle w:val="BodyText"/>
        <w:numPr>
          <w:ilvl w:val="1"/>
          <w:numId w:val="40"/>
        </w:numPr>
      </w:pPr>
      <w:r>
        <w:t>Select the tier-0 gateway to which to connect the VRF gateway.</w:t>
      </w:r>
    </w:p>
    <w:p>
      <w:pPr>
        <w:pStyle w:val="BodyText"/>
        <w:numPr>
          <w:ilvl w:val="1"/>
          <w:numId w:val="40"/>
        </w:numPr>
      </w:pPr>
      <w:r>
        <w:t xml:space="preserve">Click </w:t>
      </w:r>
      <w:r>
        <w:rPr>
          <w:rStyle w:val="InlineUI"/>
        </w:rPr>
        <w:t>Save</w:t>
      </w:r>
      <w:r>
        <w:t>.</w:t>
      </w:r>
    </w:p>
    <w:p>
      <w:pPr>
        <w:pStyle w:val="BodyText"/>
      </w:pPr>
      <w:r>
        <w:rPr>
          <w:rStyle w:val="Strong"/>
        </w:rPr>
        <w:t>Procedure</w:t>
      </w:r>
    </w:p>
    <w:p>
      <w:pPr>
        <w:pStyle w:val="BodyText"/>
        <w:numPr>
          <w:numId w:val="41"/>
        </w:numPr>
      </w:pPr>
      <w:r>
        <w:t xml:space="preserve">Log in to the </w:t>
      </w:r>
      <w:r>
        <w:t>.</w:t>
      </w:r>
    </w:p>
    <w:p>
      <w:pPr>
        <w:pStyle w:val="BodyText"/>
        <w:numPr>
          <w:numId w:val="41"/>
        </w:numPr>
      </w:pPr>
      <w:r>
        <w:t xml:space="preserve">From the left navigation panel, under </w:t>
      </w:r>
      <w:r>
        <w:rPr>
          <w:rStyle w:val="InlineUI"/>
        </w:rPr>
        <w:t>Infrastructure</w:t>
      </w:r>
      <w:r>
        <w:t xml:space="preserve">, select </w:t>
      </w:r>
      <w:r>
        <w:rPr>
          <w:rStyle w:val="InlineUI"/>
        </w:rPr>
        <w:t>Networking</w:t>
      </w:r>
      <w:r>
        <w:t>.</w:t>
      </w:r>
    </w:p>
    <w:p>
      <w:pPr>
        <w:pStyle w:val="BodyText"/>
        <w:numPr>
          <w:numId w:val="41"/>
        </w:numPr>
      </w:pPr>
      <w:r>
        <w:t xml:space="preserve">Select </w:t>
      </w:r>
      <w:r>
        <w:rPr>
          <w:rStyle w:val="InlineUI"/>
        </w:rPr>
        <w:t>Provider Gateways</w:t>
      </w:r>
      <w:r>
        <w:t xml:space="preserve">, and click </w:t>
      </w:r>
      <w:r>
        <w:rPr>
          <w:rStyle w:val="InlineUI"/>
        </w:rPr>
        <w:t>New</w:t>
      </w:r>
      <w:r>
        <w:t>.</w:t>
      </w:r>
    </w:p>
    <w:p>
      <w:pPr>
        <w:pStyle w:val="BodyText"/>
        <w:numPr>
          <w:numId w:val="41"/>
        </w:numPr>
      </w:pPr>
      <w:r>
        <w:t xml:space="preserve">Enter a name and, optionally, a description for the new </w:t>
      </w:r>
      <w:r>
        <w:t>provider gateway</w:t>
      </w:r>
      <w:r>
        <w:t>.</w:t>
      </w:r>
    </w:p>
    <w:p>
      <w:pPr>
        <w:pStyle w:val="BodyText"/>
        <w:numPr>
          <w:numId w:val="41"/>
        </w:numPr>
      </w:pPr>
      <w:r>
        <w:t xml:space="preserve">From the drop-down menu, select the region of the tier-0 gateway, and click </w:t>
      </w:r>
      <w:r>
        <w:rPr>
          <w:rStyle w:val="InlineUI"/>
        </w:rPr>
        <w:t>Next</w:t>
      </w:r>
      <w:r>
        <w:t>.</w:t>
      </w:r>
    </w:p>
    <w:p>
      <w:pPr>
        <w:pStyle w:val="BodyText"/>
        <w:numPr>
          <w:numId w:val="41"/>
        </w:numPr>
      </w:pPr>
      <w:r>
        <w:t xml:space="preserve">Select a tier-0 gateway from the list, and click </w:t>
      </w:r>
      <w:r>
        <w:rPr>
          <w:rStyle w:val="InlineUI"/>
        </w:rPr>
        <w:t>Next</w:t>
      </w:r>
      <w:r>
        <w:t>.</w:t>
      </w:r>
    </w:p>
    <w:p>
      <w:pPr>
        <w:pStyle w:val="BodyText"/>
        <w:numPr>
          <w:numId w:val="41"/>
        </w:numPr>
      </w:pPr>
      <w:r>
        <w:t xml:space="preserve">Select one or more IP spaces to associate with the provider gateway, and click </w:t>
      </w:r>
      <w:r>
        <w:rPr>
          <w:rStyle w:val="InlineUI"/>
        </w:rPr>
        <w:t>Next</w:t>
      </w:r>
      <w:r>
        <w:t>.</w:t>
      </w:r>
    </w:p>
    <w:p>
      <w:pPr>
        <w:pStyle w:val="BodyText"/>
        <w:numPr>
          <w:numId w:val="41"/>
        </w:numPr>
      </w:pPr>
      <w:r>
        <w:t xml:space="preserve">Review the network settings and click </w:t>
      </w:r>
      <w:r>
        <w:rPr>
          <w:rStyle w:val="InlineUI"/>
        </w:rPr>
        <w:t>Create</w:t>
      </w:r>
      <w:r>
        <w:t>.</w:t>
      </w:r>
    </w:p>
    <w:p>
      <w:pPr>
        <w:pStyle w:val="BodyText"/>
      </w:pPr>
      <w:r>
        <w:rPr>
          <w:rStyle w:val="Strong"/>
        </w:rPr>
        <w:t>What to do next</w:t>
      </w:r>
    </w:p>
    <w:p>
      <w:pPr>
        <w:pStyle w:val="BodyText"/>
        <w:numPr>
          <w:numId w:val="4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B0827dd869e0945bf96089396fe727806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Associate a Provider Gateway with an IP Space</w:t>
      </w:r>
      <w:r>
        <w:fldChar w:fldCharType="end"/>
      </w:r>
    </w:p>
    <w:p>
      <w:pPr>
        <w:pStyle w:val="BodyText"/>
        <w:numPr>
          <w:numId w:val="42"/>
        </w:numPr>
      </w:pPr>
      <w:r>
        <w:t xml:space="preserve">To edit the name and description of the provider gateway, click its name, select </w:t>
      </w:r>
      <w:r>
        <w:rPr>
          <w:rStyle w:val="InlineUI"/>
        </w:rPr>
        <w:t>General</w:t>
      </w:r>
      <w:r>
        <w:t xml:space="preserve">, and click </w:t>
      </w:r>
      <w:r>
        <w:rPr>
          <w:rStyle w:val="InlineUI"/>
        </w:rPr>
        <w:t>Edit</w:t>
      </w:r>
      <w:r>
        <w:t>.</w:t>
      </w:r>
    </w:p>
    <w:p>
      <w:pPr>
        <w:pStyle w:val="BodyText"/>
        <w:numPr>
          <w:numId w:val="42"/>
        </w:numPr>
      </w:pPr>
      <w:r>
        <w:t xml:space="preserve">To view the connected transit gateways, click the name of the provider gateway, and select </w:t>
      </w:r>
      <w:r>
        <w:rPr>
          <w:rStyle w:val="InlineUI"/>
        </w:rPr>
        <w:t>Connected TGW</w:t>
      </w:r>
      <w:r>
        <w:t xml:space="preserve">. For more information about transit gateways, see </w:t>
      </w:r>
      <w:r>
        <w:t>Transit Gateways</w:t>
      </w:r>
      <w:r>
        <w:t>.</w:t>
      </w:r>
    </w:p>
    <w:p>
      <w:pPr>
        <w:pStyle w:val="BodyText"/>
        <w:numPr>
          <w:numId w:val="42"/>
        </w:numPr>
      </w:pPr>
      <w:r>
        <w:t>Delete a provider gateway.</w:t>
      </w:r>
    </w:p>
    <w:p>
      <w:pPr>
        <w:pStyle w:val="BodyText"/>
        <w:numPr>
          <w:ilvl w:val="1"/>
          <w:numId w:val="42"/>
        </w:numPr>
      </w:pPr>
      <w:r>
        <w:t>Verify that no transit gateways are connected to the provider gateway.</w:t>
      </w:r>
    </w:p>
    <w:p>
      <w:pPr>
        <w:pStyle w:val="BodyText"/>
        <w:numPr>
          <w:ilvl w:val="1"/>
          <w:numId w:val="42"/>
        </w:numPr>
      </w:pPr>
      <w:r>
        <w:t>On the left of the name of the provider gateway you want to delete, click the vertical ellipsis (</w:t>
      </w:r>
      <w:r>
        <w:t xml:space="preserve">), and click </w:t>
      </w:r>
      <w:r>
        <w:rPr>
          <w:rStyle w:val="InlineUI"/>
        </w:rPr>
        <w:t>Delete</w:t>
      </w:r>
      <w:r>
        <w:t>.</w:t>
      </w:r>
    </w:p>
    <w:p>
      <w:pPr>
        <w:pStyle w:val="Heading4"/>
      </w:pPr>
      <w:bookmarkStart w:id="58" w:name="B0827dd869e0945bf96089396fe727806"/>
      <w:bookmarkStart w:id="59" w:name="_Toc256000473"/>
      <w:r>
        <w:t>Associate a Provider Gateway with an IP Space</w:t>
      </w:r>
      <w:bookmarkEnd w:id="59"/>
      <w:bookmarkEnd w:id="58"/>
    </w:p>
    <w:p>
      <w:pPr>
        <w:pStyle w:val="BodyText"/>
      </w:pPr>
      <w:r>
        <w:t>You can allow your provider gateway to operate within the defined range of IP addresses from one or more IP spaces.</w:t>
      </w:r>
    </w:p>
    <w:p>
      <w:pPr>
        <w:pStyle w:val="BodyText"/>
      </w:pPr>
      <w:r>
        <w:rPr>
          <w:rStyle w:val="Strong"/>
        </w:rPr>
        <w:t>Prerequisites</w:t>
      </w:r>
    </w:p>
    <w:p>
      <w:pPr>
        <w:pStyle w:val="BodyText"/>
        <w:numPr>
          <w:numId w:val="4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Bc729f9fc15dc40e58cb3017a9f662f81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 Provider Gateway to Your VCF Automation</w:t>
      </w:r>
      <w:r>
        <w:fldChar w:fldCharType="end"/>
      </w:r>
    </w:p>
    <w:p>
      <w:pPr>
        <w:pStyle w:val="BodyText"/>
        <w:numPr>
          <w:numId w:val="4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B8a600ac69cf745b9bd2f06d9c78b1e5c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an IP Space to Your VCF Automation</w:t>
      </w:r>
      <w:r>
        <w:fldChar w:fldCharType="end"/>
      </w:r>
    </w:p>
    <w:p>
      <w:pPr>
        <w:pStyle w:val="BodyText"/>
      </w:pPr>
      <w:r>
        <w:rPr>
          <w:rStyle w:val="Strong"/>
        </w:rPr>
        <w:t>Procedure</w:t>
      </w:r>
    </w:p>
    <w:p>
      <w:pPr>
        <w:pStyle w:val="BodyText"/>
        <w:numPr>
          <w:numId w:val="44"/>
        </w:numPr>
      </w:pPr>
      <w:r>
        <w:t xml:space="preserve">Log in to the </w:t>
      </w:r>
      <w:r>
        <w:t>.</w:t>
      </w:r>
    </w:p>
    <w:p>
      <w:pPr>
        <w:pStyle w:val="BodyText"/>
        <w:numPr>
          <w:numId w:val="44"/>
        </w:numPr>
      </w:pPr>
      <w:r>
        <w:t xml:space="preserve">From the left navigation panel, under </w:t>
      </w:r>
      <w:r>
        <w:rPr>
          <w:rStyle w:val="InlineUI"/>
        </w:rPr>
        <w:t>Infrastructure</w:t>
      </w:r>
      <w:r>
        <w:t xml:space="preserve">, select </w:t>
      </w:r>
      <w:r>
        <w:rPr>
          <w:rStyle w:val="InlineUI"/>
        </w:rPr>
        <w:t>Networking</w:t>
      </w:r>
      <w:r>
        <w:t>.</w:t>
      </w:r>
    </w:p>
    <w:p>
      <w:pPr>
        <w:pStyle w:val="BodyText"/>
        <w:numPr>
          <w:numId w:val="44"/>
        </w:numPr>
      </w:pPr>
      <w:r>
        <w:t xml:space="preserve">On the </w:t>
      </w:r>
      <w:r>
        <w:rPr>
          <w:rStyle w:val="InlineUI"/>
        </w:rPr>
        <w:t>Provider Gateways</w:t>
      </w:r>
      <w:r>
        <w:t xml:space="preserve"> tab, click the name of the provider gateway you want to associate.</w:t>
      </w:r>
    </w:p>
    <w:p>
      <w:pPr>
        <w:pStyle w:val="BodyText"/>
        <w:numPr>
          <w:numId w:val="44"/>
        </w:numPr>
      </w:pPr>
      <w:r>
        <w:t xml:space="preserve">Select </w:t>
      </w:r>
      <w:r>
        <w:rPr>
          <w:rStyle w:val="InlineUI"/>
        </w:rPr>
        <w:t>Associated IP Spaces</w:t>
      </w:r>
      <w:r>
        <w:t xml:space="preserve">, and click </w:t>
      </w:r>
      <w:r>
        <w:rPr>
          <w:rStyle w:val="InlineUI"/>
        </w:rPr>
        <w:t>New</w:t>
      </w:r>
      <w:r>
        <w:t>.</w:t>
      </w:r>
    </w:p>
    <w:p>
      <w:pPr>
        <w:pStyle w:val="BodyText"/>
        <w:numPr>
          <w:numId w:val="44"/>
        </w:numPr>
      </w:pPr>
      <w:r>
        <w:t>Select the IP space that you want to associate with the provider gateway.</w:t>
      </w:r>
    </w:p>
    <w:p>
      <w:pPr>
        <w:pStyle w:val="BodyText"/>
        <w:numPr>
          <w:numId w:val="44"/>
        </w:numPr>
      </w:pPr>
      <w:r>
        <w:t xml:space="preserve">Click </w:t>
      </w:r>
      <w:r>
        <w:rPr>
          <w:rStyle w:val="InlineUI"/>
        </w:rPr>
        <w:t>Save</w:t>
      </w:r>
      <w:r>
        <w:t>.</w:t>
      </w:r>
    </w:p>
    <w:p>
      <w:pPr>
        <w:pStyle w:val="BodyText"/>
      </w:pPr>
      <w:r>
        <w:rPr>
          <w:rStyle w:val="Strong"/>
        </w:rPr>
        <w:t>What to do next</w:t>
      </w:r>
    </w:p>
    <w:p>
      <w:pPr>
        <w:pStyle w:val="BodyText"/>
      </w:pPr>
      <w:r>
        <w:t>To associate another IP space, repeat the procedure.</w:t>
      </w:r>
    </w:p>
    <w:p>
      <w:pPr>
        <w:pStyle w:val="Heading3"/>
      </w:pPr>
      <w:bookmarkStart w:id="60" w:name="_Toc256000474"/>
      <w:r>
        <w:t>View and Sync Edge Clusters in VCF Automation</w:t>
      </w:r>
      <w:bookmarkEnd w:id="60"/>
    </w:p>
    <w:p>
      <w:pPr>
        <w:pStyle w:val="BodyText"/>
      </w:pPr>
      <w:r>
        <w:t xml:space="preserve">You can view a list of your available Edge clusters, and can verify that they are synchronized with </w:t>
      </w:r>
      <w:r>
        <w:t>NSX</w:t>
      </w:r>
      <w:r>
        <w:t>.</w:t>
      </w:r>
    </w:p>
    <w:p>
      <w:pPr>
        <w:pStyle w:val="BodyText"/>
      </w:pPr>
      <w:r>
        <w:t xml:space="preserve">The list of Edge clusters appears automatically when you register an </w:t>
      </w:r>
      <w:r>
        <w:t>NSX Manager</w:t>
      </w:r>
      <w:r>
        <w:t xml:space="preserve">. You can view the Edge cluster health, usage information, number of VPCs and organizations using the Edge cluster, and so on. If you make any changes or additions, you must do them in </w:t>
      </w:r>
      <w:r>
        <w:t>NSX</w:t>
      </w:r>
      <w:r>
        <w:t>.</w:t>
      </w:r>
    </w:p>
    <w:p>
      <w:pPr>
        <w:pStyle w:val="BodyText"/>
      </w:pPr>
      <w:r>
        <w:rPr>
          <w:rStyle w:val="Strong"/>
        </w:rPr>
        <w:t>Procedure</w:t>
      </w:r>
    </w:p>
    <w:p>
      <w:pPr>
        <w:pStyle w:val="BodyText"/>
        <w:numPr>
          <w:numId w:val="45"/>
        </w:numPr>
      </w:pPr>
      <w:r>
        <w:t xml:space="preserve">Log in to the </w:t>
      </w:r>
      <w:r>
        <w:t>.</w:t>
      </w:r>
    </w:p>
    <w:p>
      <w:pPr>
        <w:pStyle w:val="BodyText"/>
        <w:numPr>
          <w:numId w:val="45"/>
        </w:numPr>
      </w:pPr>
      <w:r>
        <w:t xml:space="preserve">From the left navigation panel, under </w:t>
      </w:r>
      <w:r>
        <w:rPr>
          <w:rStyle w:val="InlineUI"/>
        </w:rPr>
        <w:t>Infrastructure</w:t>
      </w:r>
      <w:r>
        <w:t xml:space="preserve">, select </w:t>
      </w:r>
      <w:r>
        <w:rPr>
          <w:rStyle w:val="InlineUI"/>
        </w:rPr>
        <w:t>Networking</w:t>
      </w:r>
      <w:r>
        <w:t>.</w:t>
      </w:r>
    </w:p>
    <w:p>
      <w:pPr>
        <w:pStyle w:val="BodyText"/>
        <w:numPr>
          <w:numId w:val="45"/>
        </w:numPr>
      </w:pPr>
      <w:r>
        <w:t xml:space="preserve">Click the </w:t>
      </w:r>
      <w:r>
        <w:rPr>
          <w:rStyle w:val="InlineUI"/>
        </w:rPr>
        <w:t>Edge Clusters</w:t>
      </w:r>
      <w:r>
        <w:t xml:space="preserve"> tab.</w:t>
      </w:r>
    </w:p>
    <w:p>
      <w:pPr>
        <w:pStyle w:val="BodyText"/>
        <w:ind w:left="480"/>
      </w:pPr>
      <w:r>
        <w:t>A list of the available Edge clusters appears.</w:t>
      </w:r>
    </w:p>
    <w:p>
      <w:pPr>
        <w:pStyle w:val="BodyText"/>
        <w:numPr>
          <w:numId w:val="45"/>
        </w:numPr>
      </w:pPr>
      <w:r>
        <w:t xml:space="preserve">To force a synchronization with </w:t>
      </w:r>
      <w:r>
        <w:t>NSX</w:t>
      </w:r>
      <w:r>
        <w:t xml:space="preserve">, click </w:t>
      </w:r>
      <w:r>
        <w:rPr>
          <w:rStyle w:val="InlineUI"/>
        </w:rPr>
        <w:t>Sync</w:t>
      </w:r>
      <w:r>
        <w:t>.</w:t>
      </w:r>
    </w:p>
    <w:p>
      <w:pPr>
        <w:pStyle w:val="BodyText"/>
        <w:numPr>
          <w:numId w:val="45"/>
        </w:numPr>
      </w:pPr>
      <w:r>
        <w:t xml:space="preserve">To view the health of each Edge node associated with the Edge cluster, select the Edge cluster, and select </w:t>
      </w:r>
      <w:r>
        <w:rPr>
          <w:rStyle w:val="InlineUI"/>
        </w:rPr>
        <w:t>Node Health</w:t>
      </w:r>
      <w:r>
        <w:t>.</w:t>
      </w:r>
    </w:p>
    <w:p>
      <w:pPr>
        <w:pStyle w:val="Heading4"/>
      </w:pPr>
      <w:bookmarkStart w:id="61" w:name="_Toc256000475"/>
      <w:r>
        <w:t>Edit the Default QoS Configuration</w:t>
      </w:r>
      <w:bookmarkEnd w:id="61"/>
    </w:p>
    <w:p>
      <w:pPr>
        <w:pStyle w:val="BodyText"/>
      </w:pPr>
      <w:r>
        <w:t xml:space="preserve">Using </w:t>
      </w:r>
      <w:r>
        <w:t>VCF Automation</w:t>
      </w:r>
      <w:r>
        <w:t>, you can define limits on the traffic rates for organizations using an edge cluster. Your Quality of service (QoS) profile applies to your Virtual Private Cloud (VPC) traffic.</w:t>
      </w:r>
    </w:p>
    <w:p>
      <w:pPr>
        <w:pStyle w:val="BodyText"/>
      </w:pPr>
      <w:r>
        <w:t>The default QoS profile is used by all organizations using the selected Edge cluster. Any change to the value of the default profile applies to all organizations in which the default profile is used.</w:t>
      </w:r>
    </w:p>
    <w:p>
      <w:pPr>
        <w:pStyle w:val="BodyText"/>
      </w:pPr>
      <w:r>
        <w:t>You can specify the permitted information rate and the burst size to set the limitations. Any traffic that does not conform to the QoS policy, is dropped. QoS profiles can be set for both ingress and egress traffic, for all traffic types (unicast, BUM, IPv4).</w:t>
      </w:r>
    </w:p>
    <w:p>
      <w:pPr>
        <w:pStyle w:val="BodyText"/>
      </w:pPr>
      <w:r>
        <w:t>You can select which Edge cluster to use for the organization workloads when configuring the regional networking of an organization.</w:t>
      </w:r>
    </w:p>
    <w:p>
      <w:pPr>
        <w:pStyle w:val="BodyText"/>
      </w:pPr>
      <w:r>
        <w:rPr>
          <w:rStyle w:val="Strong"/>
        </w:rPr>
        <w:t>Procedure</w:t>
      </w:r>
    </w:p>
    <w:p>
      <w:pPr>
        <w:pStyle w:val="BodyText"/>
        <w:numPr>
          <w:numId w:val="46"/>
        </w:numPr>
      </w:pPr>
      <w:r>
        <w:t xml:space="preserve">Log in to the </w:t>
      </w:r>
      <w:r>
        <w:t>.</w:t>
      </w:r>
    </w:p>
    <w:p>
      <w:pPr>
        <w:pStyle w:val="BodyText"/>
        <w:numPr>
          <w:numId w:val="46"/>
        </w:numPr>
      </w:pPr>
      <w:r>
        <w:t xml:space="preserve">From the left navigation panel, under </w:t>
      </w:r>
      <w:r>
        <w:rPr>
          <w:rStyle w:val="InlineUI"/>
        </w:rPr>
        <w:t>Infrastructure</w:t>
      </w:r>
      <w:r>
        <w:t xml:space="preserve">, select </w:t>
      </w:r>
      <w:r>
        <w:rPr>
          <w:rStyle w:val="InlineUI"/>
        </w:rPr>
        <w:t>Networking</w:t>
      </w:r>
      <w:r>
        <w:t>.</w:t>
      </w:r>
    </w:p>
    <w:p>
      <w:pPr>
        <w:pStyle w:val="BodyText"/>
        <w:numPr>
          <w:numId w:val="46"/>
        </w:numPr>
      </w:pPr>
      <w:r>
        <w:t xml:space="preserve">Click the </w:t>
      </w:r>
      <w:r>
        <w:rPr>
          <w:rStyle w:val="InlineUI"/>
        </w:rPr>
        <w:t>Edge Clusters</w:t>
      </w:r>
      <w:r>
        <w:t xml:space="preserve"> tab, and click the name of the Edge cluster you want to edit.</w:t>
      </w:r>
    </w:p>
    <w:p>
      <w:pPr>
        <w:pStyle w:val="BodyText"/>
        <w:numPr>
          <w:numId w:val="46"/>
        </w:numPr>
      </w:pPr>
      <w:r>
        <w:t xml:space="preserve">From the secondary left panel, select </w:t>
      </w:r>
      <w:r>
        <w:rPr>
          <w:rStyle w:val="InlineUI"/>
        </w:rPr>
        <w:t>General</w:t>
      </w:r>
      <w:r>
        <w:t xml:space="preserve">, and click </w:t>
      </w:r>
      <w:r>
        <w:rPr>
          <w:rStyle w:val="InlineUI"/>
        </w:rPr>
        <w:t>Edit</w:t>
      </w:r>
      <w:r>
        <w:t>.</w:t>
      </w:r>
    </w:p>
    <w:p>
      <w:pPr>
        <w:pStyle w:val="BodyText"/>
        <w:numPr>
          <w:numId w:val="46"/>
        </w:numPr>
      </w:pPr>
      <w:r>
        <w:t>Enter the committed bandwidth limit that you want to set for the traffic.</w:t>
      </w:r>
    </w:p>
    <w:p>
      <w:pPr>
        <w:pStyle w:val="BodyText"/>
        <w:numPr>
          <w:numId w:val="46"/>
        </w:numPr>
      </w:pPr>
      <w:r>
        <w:t>Enter the burst size.</w:t>
      </w:r>
    </w:p>
    <w:p>
      <w:pPr>
        <w:pStyle w:val="BodyText"/>
        <w:numPr>
          <w:numId w:val="46"/>
        </w:numPr>
      </w:pPr>
      <w:r>
        <w:t xml:space="preserve">Click </w:t>
      </w:r>
      <w:r>
        <w:rPr>
          <w:rStyle w:val="InlineUI"/>
        </w:rPr>
        <w:t>Save</w:t>
      </w:r>
      <w:r>
        <w:t>.</w:t>
      </w:r>
    </w:p>
    <w:p>
      <w:pPr>
        <w:pStyle w:val="Heading2"/>
      </w:pPr>
      <w:bookmarkStart w:id="62" w:name="_Toc256000476"/>
      <w:r>
        <w:t>Managing Regions in Your VCF Automation</w:t>
      </w:r>
      <w:bookmarkEnd w:id="62"/>
    </w:p>
    <w:p>
      <w:pPr>
        <w:pStyle w:val="BodyText"/>
      </w:pPr>
      <w:r>
        <w:t xml:space="preserve">In </w:t>
      </w:r>
      <w:r>
        <w:t>VCF Automation</w:t>
      </w:r>
      <w:r>
        <w:t>, a region combines the compute, memory, and networking resources from the underlying infrastructure.</w:t>
      </w:r>
    </w:p>
    <w:p>
      <w:pPr>
        <w:pStyle w:val="BodyText"/>
      </w:pPr>
      <w:r>
        <w:t>VCF Automation</w:t>
      </w:r>
      <w:r>
        <w:t xml:space="preserve"> creates a region by grouping one or more </w:t>
      </w:r>
      <w:r>
        <w:t>Supervisor</w:t>
      </w:r>
      <w:r>
        <w:t xml:space="preserve">s from one or more </w:t>
      </w:r>
      <w:r>
        <w:t>vCenter</w:t>
      </w:r>
      <w:r>
        <w:t xml:space="preserve"> instances, if they are all configured with the same </w:t>
      </w:r>
      <w:r>
        <w:t>NSX</w:t>
      </w:r>
      <w:r>
        <w:t xml:space="preserve"> instance. If the </w:t>
      </w:r>
      <w:r>
        <w:t>vCenter</w:t>
      </w:r>
      <w:r>
        <w:t xml:space="preserve"> instances are associated with different </w:t>
      </w:r>
      <w:r>
        <w:t>NSX</w:t>
      </w:r>
      <w:r>
        <w:t xml:space="preserve"> instances, you cannot add their </w:t>
      </w:r>
      <w:r>
        <w:t>Supervisor</w:t>
      </w:r>
      <w:r>
        <w:t xml:space="preserve">s to the same region. In a typical </w:t>
      </w:r>
      <w:r>
        <w:t>VCF Automation</w:t>
      </w:r>
      <w:r>
        <w:t xml:space="preserve"> deployment, you can use multiple regions to meet diverse service level requirements, or connect to infrastructure hosted in different </w:t>
      </w:r>
      <w:r>
        <w:t xml:space="preserve"> Instances within a single </w:t>
      </w:r>
      <w:r>
        <w:t xml:space="preserve"> environment.</w:t>
      </w:r>
    </w:p>
    <w:p>
      <w:pPr>
        <w:pStyle w:val="BodyText"/>
      </w:pPr>
      <w:r>
        <w:t xml:space="preserve">When defining a region, you must also select the storage classes that you want to make available across all </w:t>
      </w:r>
      <w:r>
        <w:t>Supervisor</w:t>
      </w:r>
      <w:r>
        <w:t>s in the region.</w:t>
      </w:r>
    </w:p>
    <w:p>
      <w:pPr>
        <w:pStyle w:val="BodyText"/>
        <w:pBdr>
          <w:top w:val="single" w:sz="8" w:space="2" w:color="D3D3D3"/>
        </w:pBdr>
      </w:pPr>
      <w:r>
        <w:rPr>
          <w:rStyle w:val="NoteLeaderimportant"/>
        </w:rPr>
        <w:t>Important</w:t>
        <w:tab/>
      </w:r>
      <w:r>
        <w:t xml:space="preserve">All </w:t>
      </w:r>
      <w:r>
        <w:t>Supervisor</w:t>
      </w:r>
      <w:r>
        <w:t>s within a region must have a homogeneous configuration including:</w:t>
      </w:r>
    </w:p>
    <w:p>
      <w:pPr>
        <w:pStyle w:val="BodyText"/>
        <w:numPr>
          <w:numId w:val="47"/>
        </w:numPr>
      </w:pPr>
      <w:r>
        <w:t>Identical names and configurations for storage classes</w:t>
      </w:r>
    </w:p>
    <w:p>
      <w:pPr>
        <w:pStyle w:val="BodyText"/>
        <w:numPr>
          <w:numId w:val="47"/>
        </w:numPr>
      </w:pPr>
      <w:r>
        <w:t>Matching Kubernetes versions</w:t>
      </w:r>
    </w:p>
    <w:p>
      <w:pPr>
        <w:pStyle w:val="BodyText"/>
        <w:numPr>
          <w:numId w:val="47"/>
        </w:numPr>
      </w:pPr>
      <w:r>
        <w:t>A consistent set of IaaS services</w:t>
      </w:r>
    </w:p>
    <w:p>
      <w:pPr>
        <w:pStyle w:val="BodyText"/>
        <w:pBdr>
          <w:bottom w:val="single" w:sz="8" w:space="2" w:color="D3D3D3"/>
        </w:pBdr>
      </w:pPr>
      <w:r>
        <w:t>VCF Automation</w:t>
      </w:r>
      <w:r>
        <w:t xml:space="preserve"> does not support non-homogeneous region configurations.</w:t>
      </w:r>
    </w:p>
    <w:p>
      <w:pPr>
        <w:pStyle w:val="BodyText"/>
      </w:pPr>
      <w:r>
        <w:t xml:space="preserve">The uniformity of all </w:t>
      </w:r>
      <w:r>
        <w:t>Supervisor</w:t>
      </w:r>
      <w:r>
        <w:t xml:space="preserve">s ensures consistent and reliable user experience across the region. When you add a storage class or VM to a region, you must not rename it in any of the </w:t>
      </w:r>
      <w:r>
        <w:t>Supervisor</w:t>
      </w:r>
      <w:r>
        <w:t>s.</w:t>
      </w:r>
    </w:p>
    <w:p>
      <w:pPr>
        <w:pStyle w:val="Heading3"/>
      </w:pPr>
      <w:bookmarkStart w:id="63" w:name="B7c1d1a37e6c84e0293e7ae90ce69964f"/>
      <w:bookmarkStart w:id="64" w:name="_Toc256000477"/>
      <w:r>
        <w:t>Create a Region in Your VCF Automation</w:t>
      </w:r>
      <w:bookmarkEnd w:id="64"/>
      <w:bookmarkEnd w:id="63"/>
    </w:p>
    <w:p>
      <w:pPr>
        <w:pStyle w:val="BodyText"/>
      </w:pPr>
      <w:r>
        <w:t xml:space="preserve">To make </w:t>
      </w:r>
      <w:r>
        <w:t>vSphere</w:t>
      </w:r>
      <w:r>
        <w:t xml:space="preserve"> compute, memory, and storage resources available to </w:t>
      </w:r>
      <w:r>
        <w:t>VCF Automation</w:t>
      </w:r>
      <w:r>
        <w:t>, you must create a region.</w:t>
      </w:r>
    </w:p>
    <w:p>
      <w:pPr>
        <w:pStyle w:val="BodyText"/>
      </w:pPr>
      <w:r>
        <w:t xml:space="preserve">Before creating organizations for your tenants, you must create a region and regional quotas that define the consumption of resources. Because a region constrains the </w:t>
      </w:r>
      <w:r>
        <w:t>vSphere</w:t>
      </w:r>
      <w:r>
        <w:t xml:space="preserve"> capacity and services available to tenants, </w:t>
      </w:r>
      <w:r>
        <w:rPr>
          <w:rStyle w:val="InlineUI"/>
        </w:rPr>
        <w:t>Provider Administrators</w:t>
      </w:r>
      <w:r>
        <w:t xml:space="preserve"> commonly create regions that furnish different classes of service, as measured by performance, capacity, and features. Tenants can then be provisioned with regional quotas that deliver specific classes of service defined by the configuration of the backing region. Before you create a region, consider the set of </w:t>
      </w:r>
      <w:r>
        <w:t>vSphere</w:t>
      </w:r>
      <w:r>
        <w:t xml:space="preserve"> capabilities that you plan to offer your tenants.</w:t>
      </w:r>
    </w:p>
    <w:p>
      <w:pPr>
        <w:pStyle w:val="BodyText"/>
      </w:pPr>
      <w:r>
        <w:rPr>
          <w:rStyle w:val="Strong"/>
        </w:rPr>
        <w:t>Prerequisites</w:t>
      </w:r>
    </w:p>
    <w:p>
      <w:pPr>
        <w:pStyle w:val="BodyText"/>
        <w:numPr>
          <w:numId w:val="48"/>
        </w:numPr>
      </w:pPr>
      <w:r>
        <w:t xml:space="preserve">Verify that your </w:t>
      </w:r>
      <w:r>
        <w:t>vCenter</w:t>
      </w:r>
      <w:r>
        <w:t xml:space="preserve"> instance has a </w:t>
      </w:r>
      <w:r>
        <w:t>Supervisor</w:t>
      </w:r>
      <w:r>
        <w:t xml:space="preserve"> enabled.</w:t>
      </w:r>
    </w:p>
    <w:p>
      <w:pPr>
        <w:pStyle w:val="BodyText"/>
        <w:numPr>
          <w:numId w:val="48"/>
        </w:numPr>
      </w:pPr>
      <w:r>
        <w:t xml:space="preserve">Verify that the following conditions are met across the participating </w:t>
      </w:r>
      <w:r>
        <w:t>vCenter</w:t>
      </w:r>
      <w:r>
        <w:t xml:space="preserve"> instances and </w:t>
      </w:r>
      <w:r>
        <w:t>Supervisor</w:t>
      </w:r>
      <w:r>
        <w:t>s:</w:t>
      </w:r>
    </w:p>
    <w:p>
      <w:pPr>
        <w:pStyle w:val="BodyText"/>
        <w:numPr>
          <w:ilvl w:val="1"/>
          <w:numId w:val="48"/>
        </w:numPr>
      </w:pPr>
      <w:r>
        <w:t xml:space="preserve">All instances are configured to use the same </w:t>
      </w:r>
      <w:r>
        <w:t>NSX</w:t>
      </w:r>
      <w:r>
        <w:t xml:space="preserve"> instance</w:t>
      </w:r>
    </w:p>
    <w:p>
      <w:pPr>
        <w:pStyle w:val="BodyText"/>
        <w:numPr>
          <w:ilvl w:val="1"/>
          <w:numId w:val="48"/>
        </w:numPr>
      </w:pPr>
      <w:r>
        <w:t>All storage classes must:</w:t>
      </w:r>
    </w:p>
    <w:p>
      <w:pPr>
        <w:pStyle w:val="BodyText"/>
        <w:numPr>
          <w:ilvl w:val="2"/>
          <w:numId w:val="48"/>
        </w:numPr>
      </w:pPr>
      <w:r>
        <w:t>Exist on all instances</w:t>
      </w:r>
    </w:p>
    <w:p>
      <w:pPr>
        <w:pStyle w:val="BodyText"/>
        <w:numPr>
          <w:ilvl w:val="2"/>
          <w:numId w:val="48"/>
        </w:numPr>
      </w:pPr>
      <w:r>
        <w:t>Have identical names</w:t>
      </w:r>
    </w:p>
    <w:p>
      <w:pPr>
        <w:pStyle w:val="BodyText"/>
        <w:numPr>
          <w:ilvl w:val="2"/>
          <w:numId w:val="48"/>
        </w:numPr>
      </w:pPr>
      <w:r>
        <w:t>Have the same configuration, for example, the same policies and backing storage.</w:t>
      </w:r>
    </w:p>
    <w:p>
      <w:pPr>
        <w:pStyle w:val="BodyText"/>
        <w:numPr>
          <w:ilvl w:val="1"/>
          <w:numId w:val="48"/>
        </w:numPr>
      </w:pPr>
      <w:r>
        <w:t>All VM classes must:</w:t>
      </w:r>
    </w:p>
    <w:p>
      <w:pPr>
        <w:pStyle w:val="BodyText"/>
        <w:numPr>
          <w:ilvl w:val="2"/>
          <w:numId w:val="48"/>
        </w:numPr>
      </w:pPr>
      <w:r>
        <w:t>Exist on all instances</w:t>
      </w:r>
    </w:p>
    <w:p>
      <w:pPr>
        <w:pStyle w:val="BodyText"/>
        <w:numPr>
          <w:ilvl w:val="2"/>
          <w:numId w:val="48"/>
        </w:numPr>
      </w:pPr>
      <w:r>
        <w:t>Have identical names</w:t>
      </w:r>
    </w:p>
    <w:p>
      <w:pPr>
        <w:pStyle w:val="BodyText"/>
        <w:numPr>
          <w:ilvl w:val="2"/>
          <w:numId w:val="48"/>
        </w:numPr>
      </w:pPr>
      <w:r>
        <w:t>Have consistent configuration, for example, CPU, memory and reservations</w:t>
      </w:r>
    </w:p>
    <w:p>
      <w:pPr>
        <w:pStyle w:val="BodyText"/>
        <w:numPr>
          <w:ilvl w:val="2"/>
          <w:numId w:val="48"/>
        </w:numPr>
      </w:pPr>
      <w:r>
        <w:t>Have consistent zone naming (optional for capacity pooling)</w:t>
      </w:r>
    </w:p>
    <w:p>
      <w:pPr>
        <w:pStyle w:val="BodyText"/>
        <w:numPr>
          <w:ilvl w:val="1"/>
          <w:numId w:val="48"/>
        </w:numPr>
      </w:pPr>
      <w:r>
        <w:t xml:space="preserve">If you want to group zones across </w:t>
      </w:r>
      <w:r>
        <w:t>Supervisor</w:t>
      </w:r>
      <w:r>
        <w:t>s into a shared capacity pool:</w:t>
      </w:r>
    </w:p>
    <w:p>
      <w:pPr>
        <w:pStyle w:val="BodyText"/>
        <w:numPr>
          <w:ilvl w:val="2"/>
          <w:numId w:val="48"/>
        </w:numPr>
      </w:pPr>
      <w:r>
        <w:t>The zone names must be the same across all vCenter instances.</w:t>
      </w:r>
    </w:p>
    <w:p>
      <w:pPr>
        <w:pStyle w:val="BodyText"/>
        <w:numPr>
          <w:ilvl w:val="1"/>
          <w:numId w:val="48"/>
        </w:numPr>
      </w:pPr>
      <w:r>
        <w:t xml:space="preserve">All </w:t>
      </w:r>
      <w:r>
        <w:t>Supervisor</w:t>
      </w:r>
      <w:r>
        <w:t>s must run the same Kubernetes version to ensure workload compatibility</w:t>
      </w:r>
    </w:p>
    <w:p>
      <w:pPr>
        <w:pStyle w:val="BodyText"/>
        <w:numPr>
          <w:ilvl w:val="1"/>
          <w:numId w:val="48"/>
        </w:numPr>
      </w:pPr>
      <w:r>
        <w:t xml:space="preserve">The same set of IaaS services, for example, VM Service, Storage Service, Load Balancer Service, must be enabled and configured consistently across </w:t>
      </w:r>
      <w:r>
        <w:t>Supervisor</w:t>
      </w:r>
      <w:r>
        <w:t>s.</w:t>
      </w:r>
    </w:p>
    <w:p>
      <w:pPr>
        <w:pStyle w:val="BodyText"/>
        <w:pBdr>
          <w:top w:val="single" w:sz="8" w:space="2" w:color="D3D3D3"/>
          <w:bottom w:val="single" w:sz="8" w:space="2" w:color="D3D3D3"/>
        </w:pBdr>
      </w:pPr>
      <w:r>
        <w:rPr>
          <w:rStyle w:val="NoteLeaderimportant"/>
        </w:rPr>
        <w:t>Important</w:t>
        <w:tab/>
      </w:r>
      <w:r>
        <w:t>VCF Automation</w:t>
      </w:r>
      <w:r>
        <w:t xml:space="preserve"> does not verify that a storage class or VM class is present in all </w:t>
      </w:r>
      <w:r>
        <w:t>vCenter</w:t>
      </w:r>
      <w:r>
        <w:t xml:space="preserve"> instances.</w:t>
      </w:r>
    </w:p>
    <w:p>
      <w:pPr>
        <w:pStyle w:val="BodyText"/>
      </w:pPr>
      <w:r>
        <w:rPr>
          <w:rStyle w:val="Strong"/>
        </w:rPr>
        <w:t>Procedure</w:t>
      </w:r>
    </w:p>
    <w:p>
      <w:pPr>
        <w:pStyle w:val="BodyText"/>
        <w:numPr>
          <w:numId w:val="49"/>
        </w:numPr>
      </w:pPr>
      <w:r>
        <w:t xml:space="preserve">Log in to the </w:t>
      </w:r>
      <w:r>
        <w:t>.</w:t>
      </w:r>
    </w:p>
    <w:p>
      <w:pPr>
        <w:pStyle w:val="BodyText"/>
        <w:numPr>
          <w:numId w:val="49"/>
        </w:numPr>
      </w:pPr>
      <w:r>
        <w:t xml:space="preserve">From the left navigation panel, under </w:t>
      </w:r>
      <w:r>
        <w:rPr>
          <w:rStyle w:val="InlineUI"/>
        </w:rPr>
        <w:t>Infrastructure</w:t>
      </w:r>
      <w:r>
        <w:t xml:space="preserve">, select </w:t>
      </w:r>
      <w:r>
        <w:rPr>
          <w:rStyle w:val="InlineUI"/>
        </w:rPr>
        <w:t>Regions</w:t>
      </w:r>
      <w:r>
        <w:t>.</w:t>
      </w:r>
    </w:p>
    <w:p>
      <w:pPr>
        <w:pStyle w:val="BodyText"/>
        <w:numPr>
          <w:numId w:val="49"/>
        </w:numPr>
      </w:pPr>
      <w:r>
        <w:t xml:space="preserve">Click </w:t>
      </w:r>
      <w:r>
        <w:rPr>
          <w:rStyle w:val="InlineUI"/>
        </w:rPr>
        <w:t>New</w:t>
      </w:r>
      <w:r>
        <w:t>.</w:t>
      </w:r>
    </w:p>
    <w:p>
      <w:pPr>
        <w:pStyle w:val="BodyText"/>
        <w:numPr>
          <w:numId w:val="49"/>
        </w:numPr>
      </w:pPr>
      <w:r>
        <w:t>Enter a name and, optionally, a description for the region.</w:t>
      </w:r>
    </w:p>
    <w:p>
      <w:pPr>
        <w:pStyle w:val="BodyText"/>
        <w:numPr>
          <w:numId w:val="49"/>
        </w:numPr>
      </w:pPr>
      <w:r>
        <w:t xml:space="preserve">Select the </w:t>
      </w:r>
      <w:r>
        <w:t>NSX Manager</w:t>
      </w:r>
      <w:r>
        <w:t xml:space="preserve"> instance that integrates with the </w:t>
      </w:r>
      <w:r>
        <w:t>vCenter</w:t>
      </w:r>
      <w:r>
        <w:t xml:space="preserve"> instances you want to use for the region.</w:t>
      </w:r>
    </w:p>
    <w:p>
      <w:pPr>
        <w:pStyle w:val="BodyText"/>
        <w:ind w:left="480"/>
      </w:pPr>
      <w:r>
        <w:t xml:space="preserve">A single </w:t>
      </w:r>
      <w:r>
        <w:t>NSX Manager</w:t>
      </w:r>
      <w:r>
        <w:t xml:space="preserve"> instance must be integrated with all </w:t>
      </w:r>
      <w:r>
        <w:t>vCenter</w:t>
      </w:r>
      <w:r>
        <w:t xml:space="preserve"> instances within a region.</w:t>
      </w:r>
    </w:p>
    <w:p>
      <w:pPr>
        <w:pStyle w:val="BodyText"/>
        <w:numPr>
          <w:numId w:val="49"/>
        </w:numPr>
      </w:pPr>
      <w:r>
        <w:t xml:space="preserve">Select one or more </w:t>
      </w:r>
      <w:r>
        <w:t>Supervisor</w:t>
      </w:r>
      <w:r>
        <w:t>s.</w:t>
      </w:r>
    </w:p>
    <w:p>
      <w:pPr>
        <w:pStyle w:val="BodyText"/>
        <w:ind w:left="480"/>
      </w:pPr>
      <w:r>
        <w:t xml:space="preserve">The list shows all available </w:t>
      </w:r>
      <w:r>
        <w:t>Supervisor</w:t>
      </w:r>
      <w:r>
        <w:t xml:space="preserve">s for this </w:t>
      </w:r>
      <w:r>
        <w:t>NSX Manager</w:t>
      </w:r>
      <w:r>
        <w:t xml:space="preserve"> instance.</w:t>
      </w:r>
    </w:p>
    <w:p>
      <w:pPr>
        <w:pStyle w:val="BodyText"/>
        <w:numPr>
          <w:numId w:val="49"/>
        </w:numPr>
      </w:pPr>
      <w:r>
        <w:t>Select one or more storage classes.</w:t>
      </w:r>
    </w:p>
    <w:p>
      <w:pPr>
        <w:pStyle w:val="BodyText"/>
        <w:ind w:left="480"/>
      </w:pPr>
      <w:r>
        <w:t xml:space="preserve">The list shows all storage classes across the selected </w:t>
      </w:r>
      <w:r>
        <w:t>Supervisor</w:t>
      </w:r>
      <w:r>
        <w:t>s.</w:t>
      </w:r>
    </w:p>
    <w:p>
      <w:pPr>
        <w:pStyle w:val="BodyText"/>
        <w:pBdr>
          <w:top w:val="single" w:sz="8" w:space="2" w:color="D3D3D3"/>
        </w:pBdr>
        <w:ind w:left="480"/>
      </w:pPr>
      <w:r>
        <w:rPr>
          <w:rStyle w:val="NoteLeaderimportant"/>
        </w:rPr>
        <w:t>Important</w:t>
        <w:tab/>
      </w:r>
      <w:r>
        <w:t xml:space="preserve">The storage classes within a region must be present and have the same names across all </w:t>
      </w:r>
      <w:r>
        <w:t>vCenter</w:t>
      </w:r>
      <w:r>
        <w:t xml:space="preserve"> instances within a region.</w:t>
      </w:r>
    </w:p>
    <w:p>
      <w:pPr>
        <w:pStyle w:val="BodyText"/>
        <w:pBdr>
          <w:bottom w:val="single" w:sz="8" w:space="2" w:color="D3D3D3"/>
        </w:pBdr>
        <w:ind w:left="480"/>
      </w:pPr>
      <w:r>
        <w:t>VCF Automation</w:t>
      </w:r>
      <w:r>
        <w:t xml:space="preserve"> does not verify that a storage class or VM class is present in all </w:t>
      </w:r>
      <w:r>
        <w:t>vCenter</w:t>
      </w:r>
      <w:r>
        <w:t xml:space="preserve"> instances.</w:t>
      </w:r>
    </w:p>
    <w:p>
      <w:pPr>
        <w:pStyle w:val="BodyText"/>
        <w:numPr>
          <w:numId w:val="49"/>
        </w:numPr>
      </w:pPr>
      <w:r>
        <w:t xml:space="preserve">Click </w:t>
      </w:r>
      <w:r>
        <w:rPr>
          <w:rStyle w:val="InlineUI"/>
        </w:rPr>
        <w:t>Submit</w:t>
      </w:r>
      <w:r>
        <w:t>.</w:t>
      </w:r>
    </w:p>
    <w:p>
      <w:pPr>
        <w:pStyle w:val="BodyText"/>
      </w:pPr>
      <w:r>
        <w:rPr>
          <w:rStyle w:val="Strong"/>
        </w:rPr>
        <w:t>What to do next</w:t>
      </w:r>
    </w:p>
    <w:p>
      <w:pPr>
        <w:pStyle w:val="BodyText"/>
        <w:numPr>
          <w:numId w:val="50"/>
        </w:numPr>
      </w:pPr>
      <w:r>
        <w:t xml:space="preserve">To view the region details, such as, description, status, </w:t>
      </w:r>
      <w:r>
        <w:t>Supervisor</w:t>
      </w:r>
      <w:r>
        <w:t xml:space="preserve">s, </w:t>
      </w:r>
      <w:r>
        <w:t>NSX Manager</w:t>
      </w:r>
      <w:r>
        <w:t xml:space="preserve"> instance, and CPU and memory utilization, click the button to the left of the region name to expand the region details pane.</w:t>
      </w:r>
    </w:p>
    <w:p>
      <w:pPr>
        <w:pStyle w:val="BodyText"/>
        <w:numPr>
          <w:numId w:val="50"/>
        </w:numPr>
      </w:pPr>
      <w:r>
        <w:t xml:space="preserve">To view the </w:t>
      </w:r>
      <w:r>
        <w:rPr>
          <w:rStyle w:val="InlineUI"/>
        </w:rPr>
        <w:t>Supervisors</w:t>
      </w:r>
      <w:r>
        <w:t xml:space="preserve">, </w:t>
      </w:r>
      <w:r>
        <w:rPr>
          <w:rStyle w:val="InlineUI"/>
        </w:rPr>
        <w:t>Classes</w:t>
      </w:r>
      <w:r>
        <w:t xml:space="preserve">, </w:t>
      </w:r>
      <w:r>
        <w:rPr>
          <w:rStyle w:val="InlineUI"/>
        </w:rPr>
        <w:t>Storage Classes</w:t>
      </w:r>
      <w:r>
        <w:t xml:space="preserve">, and </w:t>
      </w:r>
      <w:r>
        <w:rPr>
          <w:rStyle w:val="InlineUI"/>
        </w:rPr>
        <w:t>Reserved VM Classes</w:t>
      </w:r>
      <w:r>
        <w:t xml:space="preserve"> applicable to this region, click the region name.</w:t>
      </w:r>
    </w:p>
    <w:p>
      <w:pPr>
        <w:pStyle w:val="BodyText"/>
      </w:pPr>
      <w:r>
        <w:t xml:space="preserve">The </w:t>
      </w:r>
      <w:r>
        <w:rPr>
          <w:rStyle w:val="InlineUI"/>
        </w:rPr>
        <w:t>Zones</w:t>
      </w:r>
      <w:r>
        <w:t xml:space="preserve"> tab displays the zones from all </w:t>
      </w:r>
      <w:r>
        <w:t>Supervisor</w:t>
      </w:r>
      <w:r>
        <w:t xml:space="preserve">s added to the region. If you added two </w:t>
      </w:r>
      <w:r>
        <w:t>Supervisor</w:t>
      </w:r>
      <w:r>
        <w:t xml:space="preserve">s with three zones each, the page displays a total of six zones. If a region includes more than one </w:t>
      </w:r>
      <w:r>
        <w:t>Supervisor</w:t>
      </w:r>
      <w:r>
        <w:t xml:space="preserve"> and the zones in the </w:t>
      </w:r>
      <w:r>
        <w:t>Supervisor</w:t>
      </w:r>
      <w:r>
        <w:t xml:space="preserve">s have identical names, </w:t>
      </w:r>
      <w:r>
        <w:t>VCF Automation</w:t>
      </w:r>
      <w:r>
        <w:t xml:space="preserve"> displays the combined memory and CPU capacity of the zones with the same name. To see the zone details and capacity coming from each </w:t>
      </w:r>
      <w:r>
        <w:t>vCenter</w:t>
      </w:r>
      <w:r>
        <w:t>, expand the zone view by clicking the button to the left of the zone name.</w:t>
      </w:r>
    </w:p>
    <w:p>
      <w:pPr>
        <w:pStyle w:val="BodyText"/>
      </w:pPr>
      <w:r>
        <w:t xml:space="preserve">The </w:t>
      </w:r>
      <w:r>
        <w:rPr>
          <w:rStyle w:val="InlineUI"/>
        </w:rPr>
        <w:t>Reserved VM Classes</w:t>
      </w:r>
      <w:r>
        <w:t xml:space="preserve"> are a special VM class that defines one or more vGPU PCI devices in addition to the CPU and memory. These VM classes are reserved for each zone in which the Provider Administrator has actual matching GPU capacity available. You can reserve a VM class in </w:t>
      </w:r>
      <w:r>
        <w:t>vCenter</w:t>
      </w:r>
      <w:r>
        <w:t xml:space="preserve">. </w:t>
      </w:r>
      <w:r>
        <w:t>VCF Automation</w:t>
      </w:r>
      <w:r>
        <w:t xml:space="preserve"> detects the reserved counts of these VM classes per zone and shows them in the </w:t>
      </w:r>
      <w:r>
        <w:t>VCF Automation Provider Management Portal</w:t>
      </w:r>
      <w:r>
        <w:t xml:space="preserve"> under the </w:t>
      </w:r>
      <w:r>
        <w:rPr>
          <w:rStyle w:val="InlineUI"/>
        </w:rPr>
        <w:t>Reserved VM Classes</w:t>
      </w:r>
      <w:r>
        <w:t xml:space="preserve"> section of a region. The counts of these </w:t>
      </w:r>
      <w:r>
        <w:rPr>
          <w:rStyle w:val="InlineUI"/>
        </w:rPr>
        <w:t>Reserved VM Classes</w:t>
      </w:r>
      <w:r>
        <w:t xml:space="preserve"> are further given to organizations through region quotas.</w:t>
      </w:r>
    </w:p>
    <w:p>
      <w:pPr>
        <w:pStyle w:val="BodyText"/>
        <w:numPr>
          <w:numId w:val="51"/>
        </w:numPr>
      </w:pPr>
      <w:r>
        <w:t xml:space="preserve">To edit a region, click the name of the region, and click </w:t>
      </w:r>
      <w:r>
        <w:rPr>
          <w:rStyle w:val="InlineUI"/>
        </w:rPr>
        <w:t>Edit</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B3a8f427b40274cfdb9e56a5a46abc6ec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Edit a Region</w:t>
      </w:r>
      <w:r>
        <w:fldChar w:fldCharType="end"/>
      </w:r>
      <w:r>
        <w:t>.</w:t>
      </w:r>
    </w:p>
    <w:p>
      <w:pPr>
        <w:pStyle w:val="BodyText"/>
        <w:numPr>
          <w:numId w:val="51"/>
        </w:numPr>
      </w:pPr>
      <w:r>
        <w:t>Delete a region</w:t>
      </w:r>
    </w:p>
    <w:p>
      <w:pPr>
        <w:pStyle w:val="BodyText"/>
        <w:numPr>
          <w:ilvl w:val="1"/>
          <w:numId w:val="51"/>
        </w:numPr>
      </w:pPr>
      <w:r>
        <w:t xml:space="preserve">Remove all region quotas created from the region.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B31f47efab3a943ba9fdffc95067ccf09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Delete a VCF Automation Region Quota</w:t>
      </w:r>
      <w:r>
        <w:fldChar w:fldCharType="end"/>
      </w:r>
    </w:p>
    <w:p>
      <w:pPr>
        <w:pStyle w:val="BodyText"/>
        <w:numPr>
          <w:ilvl w:val="1"/>
          <w:numId w:val="51"/>
        </w:numPr>
      </w:pPr>
      <w:r>
        <w:t xml:space="preserve">Click the name of the region, and click </w:t>
      </w:r>
      <w:r>
        <w:rPr>
          <w:rStyle w:val="InlineUI"/>
        </w:rPr>
        <w:t>Delete</w:t>
      </w:r>
      <w:r>
        <w:t>.</w:t>
      </w:r>
    </w:p>
    <w:p>
      <w:pPr>
        <w:pStyle w:val="Heading3"/>
      </w:pPr>
      <w:bookmarkStart w:id="65" w:name="B3a8f427b40274cfdb9e56a5a46abc6ec"/>
      <w:bookmarkStart w:id="66" w:name="_Toc256000478"/>
      <w:r>
        <w:t>Edit a Region</w:t>
      </w:r>
      <w:bookmarkEnd w:id="66"/>
      <w:bookmarkEnd w:id="65"/>
    </w:p>
    <w:p>
      <w:pPr>
        <w:pStyle w:val="BodyText"/>
      </w:pPr>
      <w:r>
        <w:t xml:space="preserve">You can use the </w:t>
      </w:r>
      <w:r>
        <w:t>Provider Management Portal</w:t>
      </w:r>
      <w:r>
        <w:t xml:space="preserve"> to edit the region settings. You cannot edit the region name and </w:t>
      </w:r>
      <w:r>
        <w:t>NSX Manager</w:t>
      </w:r>
      <w:r>
        <w:t xml:space="preserve"> instance.</w:t>
      </w:r>
    </w:p>
    <w:p>
      <w:pPr>
        <w:pStyle w:val="BodyText"/>
      </w:pPr>
      <w:r>
        <w:t>If the entire capacity of a region is shared with an organization through a region quota, any changes you make to the region automatically apply also to the region quota.</w:t>
      </w:r>
    </w:p>
    <w:p>
      <w:pPr>
        <w:pStyle w:val="BodyText"/>
      </w:pPr>
      <w:r>
        <w:rPr>
          <w:rStyle w:val="Strong"/>
        </w:rPr>
        <w:t>Procedure</w:t>
      </w:r>
    </w:p>
    <w:p>
      <w:pPr>
        <w:pStyle w:val="BodyText"/>
        <w:numPr>
          <w:numId w:val="52"/>
        </w:numPr>
      </w:pPr>
      <w:r>
        <w:t xml:space="preserve">Log in to the </w:t>
      </w:r>
      <w:r>
        <w:t>.</w:t>
      </w:r>
    </w:p>
    <w:p>
      <w:pPr>
        <w:pStyle w:val="BodyText"/>
        <w:numPr>
          <w:numId w:val="52"/>
        </w:numPr>
      </w:pPr>
      <w:r>
        <w:t xml:space="preserve">From the left navigation panel, under </w:t>
      </w:r>
      <w:r>
        <w:rPr>
          <w:rStyle w:val="InlineUI"/>
        </w:rPr>
        <w:t>Infrastructure</w:t>
      </w:r>
      <w:r>
        <w:t xml:space="preserve">, select </w:t>
      </w:r>
      <w:r>
        <w:rPr>
          <w:rStyle w:val="InlineUI"/>
        </w:rPr>
        <w:t>Regions</w:t>
      </w:r>
      <w:r>
        <w:t>.</w:t>
      </w:r>
    </w:p>
    <w:p>
      <w:pPr>
        <w:pStyle w:val="BodyText"/>
        <w:numPr>
          <w:numId w:val="52"/>
        </w:numPr>
      </w:pPr>
      <w:r>
        <w:t>Click the name of the region that you want to edit.</w:t>
      </w:r>
    </w:p>
    <w:p>
      <w:pPr>
        <w:pStyle w:val="BodyText"/>
        <w:numPr>
          <w:numId w:val="52"/>
        </w:numPr>
      </w:pPr>
      <w:r>
        <w:t xml:space="preserve">Click </w:t>
      </w:r>
      <w:r>
        <w:rPr>
          <w:rStyle w:val="InlineUI"/>
        </w:rPr>
        <w:t>Edit</w:t>
      </w:r>
      <w:r>
        <w:t>.</w:t>
      </w:r>
    </w:p>
    <w:p>
      <w:pPr>
        <w:pStyle w:val="BodyText"/>
        <w:numPr>
          <w:numId w:val="52"/>
        </w:numPr>
      </w:pPr>
      <w:r>
        <w:t>(Optional) Change the description of the region.</w:t>
      </w:r>
    </w:p>
    <w:p>
      <w:pPr>
        <w:pStyle w:val="BodyText"/>
        <w:numPr>
          <w:numId w:val="52"/>
        </w:numPr>
      </w:pPr>
      <w:r>
        <w:t xml:space="preserve">(Optional) Increase or decrease the scope of the region by selecting or deselecting </w:t>
      </w:r>
      <w:r>
        <w:t>Supervisor</w:t>
      </w:r>
      <w:r>
        <w:t>s.</w:t>
      </w:r>
    </w:p>
    <w:p>
      <w:pPr>
        <w:pStyle w:val="BodyText"/>
        <w:ind w:left="480"/>
      </w:pPr>
      <w:r>
        <w:t xml:space="preserve">You cannot remove a </w:t>
      </w:r>
      <w:r>
        <w:t>Supervisor</w:t>
      </w:r>
      <w:r>
        <w:t xml:space="preserve"> from a region if resources from this </w:t>
      </w:r>
      <w:r>
        <w:t>Supervisor</w:t>
      </w:r>
      <w:r>
        <w:t xml:space="preserve"> are already allocated to the organizations as region quotas. You must delete the region quotas before removing the </w:t>
      </w:r>
      <w:r>
        <w:t>Supervisor</w:t>
      </w:r>
      <w:r>
        <w:t xml:space="preserve"> from the region.</w:t>
      </w:r>
    </w:p>
    <w:p>
      <w:pPr>
        <w:pStyle w:val="BodyText"/>
        <w:numPr>
          <w:numId w:val="52"/>
        </w:numPr>
      </w:pPr>
      <w:r>
        <w:t>(Optional) Select or deselect the storage classes applicable to the region.</w:t>
      </w:r>
    </w:p>
    <w:p>
      <w:pPr>
        <w:pStyle w:val="BodyText"/>
        <w:ind w:left="480"/>
      </w:pPr>
      <w:r>
        <w:t xml:space="preserve">The list shows all storage classes across the selected </w:t>
      </w:r>
      <w:r>
        <w:t>Supervisor</w:t>
      </w:r>
      <w:r>
        <w:t>s.</w:t>
      </w:r>
    </w:p>
    <w:p>
      <w:pPr>
        <w:pStyle w:val="BodyText"/>
        <w:pBdr>
          <w:top w:val="single" w:sz="8" w:space="2" w:color="D3D3D3"/>
        </w:pBdr>
        <w:ind w:left="480"/>
      </w:pPr>
      <w:r>
        <w:rPr>
          <w:rStyle w:val="NoteLeaderimportant"/>
        </w:rPr>
        <w:t>Important</w:t>
        <w:tab/>
      </w:r>
      <w:r>
        <w:t xml:space="preserve">The storage classes within a region must be present and have the same names across all </w:t>
      </w:r>
      <w:r>
        <w:t>vCenter</w:t>
      </w:r>
      <w:r>
        <w:t xml:space="preserve"> instances within a region.</w:t>
      </w:r>
    </w:p>
    <w:p>
      <w:pPr>
        <w:pStyle w:val="BodyText"/>
        <w:pBdr>
          <w:bottom w:val="single" w:sz="8" w:space="2" w:color="D3D3D3"/>
        </w:pBdr>
        <w:ind w:left="480"/>
      </w:pPr>
      <w:r>
        <w:t>VCF Automation</w:t>
      </w:r>
      <w:r>
        <w:t xml:space="preserve"> does not verify that a storage class or VM class is present in all </w:t>
      </w:r>
      <w:r>
        <w:t>vCenter</w:t>
      </w:r>
      <w:r>
        <w:t xml:space="preserve"> instances.</w:t>
      </w:r>
    </w:p>
    <w:p>
      <w:pPr>
        <w:pStyle w:val="BodyText"/>
        <w:ind w:left="480"/>
      </w:pPr>
      <w:r>
        <w:t>You cannot remove a storage class from a region if resources from this storage class are already allocated to the organizations as region quotas. You must delete the region quotas before removing the storage class from the region.</w:t>
      </w:r>
    </w:p>
    <w:p>
      <w:pPr>
        <w:pStyle w:val="Heading2"/>
      </w:pPr>
      <w:bookmarkStart w:id="67" w:name="Bbb42dca09f7c48d4bd1b2ce951ee6d41"/>
      <w:bookmarkStart w:id="68" w:name="_Toc256000479"/>
      <w:r>
        <w:t>Create a Content Library</w:t>
      </w:r>
      <w:bookmarkEnd w:id="68"/>
      <w:bookmarkEnd w:id="67"/>
    </w:p>
    <w:p>
      <w:pPr>
        <w:pStyle w:val="BodyText"/>
      </w:pPr>
      <w:r>
        <w:t xml:space="preserve">You can use the </w:t>
      </w:r>
      <w:r>
        <w:t>Provider Management Portal</w:t>
      </w:r>
      <w:r>
        <w:t xml:space="preserve"> to create a provider content library shared with all organizations in this </w:t>
      </w:r>
      <w:r>
        <w:t>VCF Automation</w:t>
      </w:r>
      <w:r>
        <w:t xml:space="preserve"> instance. The provider content libraries are read-only to the users of the organizations.</w:t>
      </w:r>
    </w:p>
    <w:p>
      <w:pPr>
        <w:pStyle w:val="BodyText"/>
      </w:pPr>
      <w:r>
        <w:t xml:space="preserve">A </w:t>
      </w:r>
      <w:r>
        <w:t>VCF Automation</w:t>
      </w:r>
      <w:r>
        <w:t xml:space="preserve"> provider content library is an abstraction in </w:t>
      </w:r>
      <w:r>
        <w:t>VCF Automation</w:t>
      </w:r>
      <w:r>
        <w:t xml:space="preserve"> that provides a single interface for cloud providers to manage their content across the regions. You create a provider content library by selecting one or more regions and a storage class from each region. To store the actual content in each </w:t>
      </w:r>
      <w:r>
        <w:t>vCenter</w:t>
      </w:r>
      <w:r>
        <w:t xml:space="preserve"> taking part in the region, when you create a provider content library, a content library is also automatically created in </w:t>
      </w:r>
      <w:r>
        <w:t>vCenter</w:t>
      </w:r>
      <w:r>
        <w:t xml:space="preserve"> on appropriate storage, compatible with the selected storage class. The content is automatically synced among all of the backing </w:t>
      </w:r>
      <w:r>
        <w:t>vCenter</w:t>
      </w:r>
      <w:r>
        <w:t xml:space="preserve"> content libraries. For this purpose, one of the </w:t>
      </w:r>
      <w:r>
        <w:t>vCenter</w:t>
      </w:r>
      <w:r>
        <w:t xml:space="preserve"> content libraries is randomly picked as a publisher. The rest of the </w:t>
      </w:r>
      <w:r>
        <w:t>vCenter</w:t>
      </w:r>
      <w:r>
        <w:t xml:space="preserve"> libraries subscribe to that publisher. Because of this underlying synchronization mechanism, you must ensure that that the </w:t>
      </w:r>
      <w:r>
        <w:t>vCenter</w:t>
      </w:r>
      <w:r>
        <w:t xml:space="preserve"> instances can communicate with each other and that there is network connectivity between the </w:t>
      </w:r>
      <w:r>
        <w:t>vCenter</w:t>
      </w:r>
      <w:r>
        <w:t xml:space="preserve"> instances. The connectivity between the </w:t>
      </w:r>
      <w:r>
        <w:t>vCenter</w:t>
      </w:r>
      <w:r>
        <w:t xml:space="preserve"> instances is critical to the distribution to all </w:t>
      </w:r>
      <w:r>
        <w:t>vCenter</w:t>
      </w:r>
      <w:r>
        <w:t xml:space="preserve"> instances of the regions that are part of a </w:t>
      </w:r>
      <w:r>
        <w:t>VCF Automation</w:t>
      </w:r>
      <w:r>
        <w:t xml:space="preserve"> provider content library.</w:t>
      </w:r>
    </w:p>
    <w:p>
      <w:pPr>
        <w:pStyle w:val="BodyText"/>
      </w:pPr>
      <w:r>
        <w:t>From your provider consumption organization, you can promote a content library to a provider content library and as a result, to make the content library shared with all organizations. See link.</w:t>
      </w:r>
    </w:p>
    <w:p>
      <w:pPr>
        <w:pStyle w:val="BodyText"/>
      </w:pPr>
      <w:r>
        <w:rPr>
          <w:rStyle w:val="Strong"/>
        </w:rPr>
        <w:t>Prerequisites</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B7c1d1a37e6c84e0293e7ae90ce69964f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Region in Your VCF Automation</w:t>
      </w:r>
      <w:r>
        <w:fldChar w:fldCharType="end"/>
      </w:r>
    </w:p>
    <w:p>
      <w:pPr>
        <w:pStyle w:val="BodyText"/>
      </w:pPr>
      <w:r>
        <w:rPr>
          <w:rStyle w:val="Strong"/>
        </w:rPr>
        <w:t>Procedure</w:t>
      </w:r>
    </w:p>
    <w:p>
      <w:pPr>
        <w:pStyle w:val="BodyText"/>
        <w:numPr>
          <w:numId w:val="53"/>
        </w:numPr>
      </w:pPr>
      <w:r>
        <w:t xml:space="preserve">Log in to the </w:t>
      </w:r>
      <w:r>
        <w:t>.</w:t>
      </w:r>
    </w:p>
    <w:p>
      <w:pPr>
        <w:pStyle w:val="BodyText"/>
        <w:numPr>
          <w:numId w:val="53"/>
        </w:numPr>
      </w:pPr>
      <w:r>
        <w:t xml:space="preserve">From the left navigation panel, under </w:t>
      </w:r>
      <w:r>
        <w:rPr>
          <w:rStyle w:val="InlineUI"/>
        </w:rPr>
        <w:t>Infrastructure</w:t>
      </w:r>
      <w:r>
        <w:t xml:space="preserve">, select </w:t>
      </w:r>
      <w:r>
        <w:rPr>
          <w:rStyle w:val="InlineUI"/>
        </w:rPr>
        <w:t>Content Libraries</w:t>
      </w:r>
      <w:r>
        <w:t>.</w:t>
      </w:r>
    </w:p>
    <w:p>
      <w:pPr>
        <w:pStyle w:val="BodyText"/>
        <w:numPr>
          <w:numId w:val="53"/>
        </w:numPr>
      </w:pPr>
      <w:r>
        <w:t xml:space="preserve">On the </w:t>
      </w:r>
      <w:r>
        <w:rPr>
          <w:rStyle w:val="InlineUI"/>
        </w:rPr>
        <w:t>Content Library</w:t>
      </w:r>
      <w:r>
        <w:t xml:space="preserve"> tab, click </w:t>
      </w:r>
      <w:r>
        <w:rPr>
          <w:rStyle w:val="InlineUI"/>
        </w:rPr>
        <w:t>New</w:t>
      </w:r>
      <w:r>
        <w:t>.</w:t>
      </w:r>
    </w:p>
    <w:p>
      <w:pPr>
        <w:pStyle w:val="BodyText"/>
        <w:numPr>
          <w:numId w:val="53"/>
        </w:numPr>
      </w:pPr>
      <w:r>
        <w:t>Enter a name, and optionally, a description of the content library.</w:t>
      </w:r>
    </w:p>
    <w:p>
      <w:pPr>
        <w:pStyle w:val="BodyText"/>
        <w:numPr>
          <w:numId w:val="53"/>
        </w:numPr>
      </w:pPr>
      <w:r>
        <w:t>To subscribe to an external library, turn on the toggle.</w:t>
      </w:r>
    </w:p>
    <w:p>
      <w:pPr>
        <w:pStyle w:val="BodyText"/>
        <w:ind w:left="480"/>
      </w:pPr>
      <w:r>
        <w:t>You can subscribe to any VCSP-compliant content library.</w:t>
      </w:r>
    </w:p>
    <w:p>
      <w:pPr>
        <w:pStyle w:val="BodyText"/>
        <w:numPr>
          <w:numId w:val="53"/>
        </w:numPr>
      </w:pPr>
      <w:r>
        <w:t xml:space="preserve">Click </w:t>
      </w:r>
      <w:r>
        <w:rPr>
          <w:rStyle w:val="InlineUI"/>
        </w:rPr>
        <w:t>Next</w:t>
      </w:r>
      <w:r>
        <w:t>.</w:t>
      </w:r>
    </w:p>
    <w:p>
      <w:pPr>
        <w:pStyle w:val="BodyText"/>
        <w:numPr>
          <w:numId w:val="53"/>
        </w:numPr>
      </w:pPr>
      <w:r>
        <w:t xml:space="preserve">If you want to subscribe to an external library, enter the library URL and password, and click </w:t>
      </w:r>
      <w:r>
        <w:rPr>
          <w:rStyle w:val="InlineUI"/>
        </w:rPr>
        <w:t>Next</w:t>
      </w:r>
      <w:r>
        <w:t>.</w:t>
      </w:r>
    </w:p>
    <w:p>
      <w:pPr>
        <w:pStyle w:val="BodyText"/>
        <w:numPr>
          <w:numId w:val="53"/>
        </w:numPr>
      </w:pPr>
      <w:r>
        <w:t>Select one or more regions and a corresponding storage class for each region.</w:t>
      </w:r>
    </w:p>
    <w:p>
      <w:pPr>
        <w:pStyle w:val="BodyText"/>
        <w:pBdr>
          <w:top w:val="single" w:sz="8" w:space="2" w:color="D3D3D3"/>
        </w:pBdr>
        <w:ind w:left="480"/>
      </w:pPr>
      <w:r>
        <w:rPr>
          <w:rStyle w:val="NoteLeaderimportant"/>
        </w:rPr>
        <w:t>Important</w:t>
        <w:tab/>
      </w:r>
      <w:r>
        <w:t xml:space="preserve">The storage classes within a region must be present and have the same names across all </w:t>
      </w:r>
      <w:r>
        <w:t>vCenter</w:t>
      </w:r>
      <w:r>
        <w:t xml:space="preserve"> instances within a region.</w:t>
      </w:r>
    </w:p>
    <w:p>
      <w:pPr>
        <w:pStyle w:val="BodyText"/>
        <w:pBdr>
          <w:bottom w:val="single" w:sz="8" w:space="2" w:color="D3D3D3"/>
        </w:pBdr>
        <w:ind w:left="480"/>
      </w:pPr>
      <w:r>
        <w:t>VCF Automation</w:t>
      </w:r>
      <w:r>
        <w:t xml:space="preserve"> does not verify that a storage class or VM class is present in all </w:t>
      </w:r>
      <w:r>
        <w:t>vCenter</w:t>
      </w:r>
      <w:r>
        <w:t xml:space="preserve"> instances.</w:t>
      </w:r>
    </w:p>
    <w:p>
      <w:pPr>
        <w:pStyle w:val="BodyText"/>
        <w:numPr>
          <w:numId w:val="53"/>
        </w:numPr>
      </w:pPr>
      <w:r>
        <w:t xml:space="preserve">Click </w:t>
      </w:r>
      <w:r>
        <w:rPr>
          <w:rStyle w:val="InlineUI"/>
        </w:rPr>
        <w:t>Next</w:t>
      </w:r>
      <w:r>
        <w:t>.</w:t>
      </w:r>
    </w:p>
    <w:p>
      <w:pPr>
        <w:pStyle w:val="BodyText"/>
        <w:numPr>
          <w:numId w:val="53"/>
        </w:numPr>
      </w:pPr>
      <w:r>
        <w:t xml:space="preserve">Review the content library settings, and click </w:t>
      </w:r>
      <w:r>
        <w:rPr>
          <w:rStyle w:val="InlineUI"/>
        </w:rPr>
        <w:t>Confirm</w:t>
      </w:r>
      <w:r>
        <w:t>.</w:t>
      </w:r>
    </w:p>
    <w:p>
      <w:pPr>
        <w:pStyle w:val="BodyText"/>
      </w:pPr>
      <w:r>
        <w:rPr>
          <w:rStyle w:val="Strong"/>
        </w:rPr>
        <w:t>Results</w:t>
      </w:r>
    </w:p>
    <w:p>
      <w:pPr>
        <w:pStyle w:val="BodyText"/>
      </w:pPr>
      <w:r>
        <w:t>VCF Automation</w:t>
      </w:r>
      <w:r>
        <w:t xml:space="preserve"> creates the provider content library in each selected region and shares it with all organizations.</w:t>
      </w:r>
    </w:p>
    <w:p>
      <w:pPr>
        <w:pStyle w:val="BodyText"/>
      </w:pPr>
      <w:r>
        <w:rPr>
          <w:rStyle w:val="Strong"/>
        </w:rPr>
        <w:t>What to do next</w:t>
      </w:r>
    </w:p>
    <w:p>
      <w:pPr>
        <w:pStyle w:val="BodyText"/>
      </w:pPr>
      <w:r>
        <w:t>To edit, refresh, or delete a provider content library, click the vertical ellipsis next to the content library name.</w:t>
      </w:r>
    </w:p>
    <w:p>
      <w:pPr>
        <w:pStyle w:val="BodyText"/>
        <w:numPr>
          <w:numId w:val="54"/>
        </w:numPr>
      </w:pPr>
      <w:r>
        <w:t xml:space="preserve">Edit a provider content library by clicking the vertical ellipsis next to the content library name and clicking </w:t>
      </w:r>
      <w:r>
        <w:rPr>
          <w:rStyle w:val="InlineUI"/>
        </w:rPr>
        <w:t>Edit</w:t>
      </w:r>
      <w:r>
        <w:t>.</w:t>
      </w:r>
    </w:p>
    <w:p>
      <w:pPr>
        <w:pStyle w:val="BodyText"/>
        <w:ind w:left="480"/>
      </w:pPr>
      <w:r>
        <w:t xml:space="preserve">You can edit a </w:t>
      </w:r>
      <w:r>
        <w:t>VCF Automation</w:t>
      </w:r>
      <w:r>
        <w:t xml:space="preserve"> provider content library to increase or decrease its scope. For example, you can add a new region to increase the distribution radius of the content library, alternatively, you can remove a region. You can also change the storage class of a content library to trigger a migration of content from an old to a new storage.</w:t>
      </w:r>
    </w:p>
    <w:p>
      <w:pPr>
        <w:pStyle w:val="BodyText"/>
        <w:numPr>
          <w:numId w:val="54"/>
        </w:numPr>
      </w:pPr>
      <w:r>
        <w:t xml:space="preserve">Refresh a provider content library by clicking the vertical ellipsis next to the content library name and clicking </w:t>
      </w:r>
      <w:r>
        <w:rPr>
          <w:rStyle w:val="InlineUI"/>
        </w:rPr>
        <w:t>Refresh</w:t>
      </w:r>
      <w:r>
        <w:t>.</w:t>
      </w:r>
    </w:p>
    <w:p>
      <w:pPr>
        <w:pStyle w:val="BodyText"/>
        <w:ind w:left="480"/>
      </w:pPr>
      <w:r>
        <w:t xml:space="preserve">You can use the refresh option to reconcile changes from underlying </w:t>
      </w:r>
      <w:r>
        <w:t>vCenter</w:t>
      </w:r>
      <w:r>
        <w:t xml:space="preserve"> instances. If a new content library item is added directly in the </w:t>
      </w:r>
      <w:r>
        <w:t>vCenter</w:t>
      </w:r>
      <w:r>
        <w:t xml:space="preserve"> content library backing the provider content library, the refresh action propagates this new item to the provider content library. If an item is directly deleted from a </w:t>
      </w:r>
      <w:r>
        <w:t>vCenter</w:t>
      </w:r>
      <w:r>
        <w:t xml:space="preserve"> content library, the refresh option removes the item from the provider content library.</w:t>
      </w:r>
    </w:p>
    <w:p>
      <w:pPr>
        <w:pStyle w:val="BodyText"/>
        <w:numPr>
          <w:numId w:val="54"/>
        </w:numPr>
      </w:pPr>
      <w:r>
        <w:t xml:space="preserve">Delete a provider content library by clicking the vertical ellipsis next to the content library name and clicking </w:t>
      </w:r>
      <w:r>
        <w:rPr>
          <w:rStyle w:val="InlineUI"/>
        </w:rPr>
        <w:t>Delete</w:t>
      </w:r>
      <w:r>
        <w:t>.</w:t>
      </w:r>
    </w:p>
    <w:p>
      <w:pPr>
        <w:pStyle w:val="Heading2"/>
      </w:pPr>
      <w:bookmarkStart w:id="69" w:name="_Toc256000480"/>
      <w:r>
        <w:t>Upload a Content Library Item</w:t>
      </w:r>
      <w:bookmarkEnd w:id="69"/>
    </w:p>
    <w:p>
      <w:pPr>
        <w:pStyle w:val="BodyText"/>
      </w:pPr>
      <w:r>
        <w:t xml:space="preserve">You can use the </w:t>
      </w:r>
      <w:r>
        <w:t>Provider Management Portal</w:t>
      </w:r>
      <w:r>
        <w:t xml:space="preserve"> to upload an item to a provider content library that is not subscribed. All items within a provider content library and the content library itself are automatically shared with all organizations.</w:t>
      </w:r>
    </w:p>
    <w:p>
      <w:pPr>
        <w:pStyle w:val="BodyText"/>
      </w:pPr>
      <w:r>
        <w:rPr>
          <w:rStyle w:val="Strong"/>
        </w:rPr>
        <w:t>Prerequisites</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Bbb42dca09f7c48d4bd1b2ce951ee6d41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Content Library</w:t>
      </w:r>
      <w:r>
        <w:fldChar w:fldCharType="end"/>
      </w:r>
    </w:p>
    <w:p>
      <w:pPr>
        <w:pStyle w:val="BodyText"/>
      </w:pPr>
      <w:r>
        <w:rPr>
          <w:rStyle w:val="Strong"/>
        </w:rPr>
        <w:t>Procedure</w:t>
      </w:r>
    </w:p>
    <w:p>
      <w:pPr>
        <w:pStyle w:val="BodyText"/>
        <w:numPr>
          <w:numId w:val="55"/>
        </w:numPr>
      </w:pPr>
      <w:r>
        <w:t xml:space="preserve">Log in to the </w:t>
      </w:r>
      <w:r>
        <w:t>.</w:t>
      </w:r>
    </w:p>
    <w:p>
      <w:pPr>
        <w:pStyle w:val="BodyText"/>
        <w:numPr>
          <w:numId w:val="55"/>
        </w:numPr>
      </w:pPr>
      <w:r>
        <w:t xml:space="preserve">From the left navigation panel, under </w:t>
      </w:r>
      <w:r>
        <w:rPr>
          <w:rStyle w:val="InlineUI"/>
        </w:rPr>
        <w:t>Infrastructure</w:t>
      </w:r>
      <w:r>
        <w:t xml:space="preserve">, select </w:t>
      </w:r>
      <w:r>
        <w:rPr>
          <w:rStyle w:val="InlineUI"/>
        </w:rPr>
        <w:t>Content Libraries</w:t>
      </w:r>
      <w:r>
        <w:t>.</w:t>
      </w:r>
    </w:p>
    <w:p>
      <w:pPr>
        <w:pStyle w:val="BodyText"/>
        <w:numPr>
          <w:numId w:val="55"/>
        </w:numPr>
      </w:pPr>
      <w:r>
        <w:t xml:space="preserve">On the </w:t>
      </w:r>
      <w:r>
        <w:rPr>
          <w:rStyle w:val="InlineUI"/>
        </w:rPr>
        <w:t>Content Library Items</w:t>
      </w:r>
      <w:r>
        <w:t xml:space="preserve"> tab, click </w:t>
      </w:r>
      <w:r>
        <w:rPr>
          <w:rStyle w:val="InlineUI"/>
        </w:rPr>
        <w:t>Upload</w:t>
      </w:r>
      <w:r>
        <w:t>.</w:t>
      </w:r>
    </w:p>
    <w:p>
      <w:pPr>
        <w:pStyle w:val="BodyText"/>
        <w:numPr>
          <w:numId w:val="55"/>
        </w:numPr>
      </w:pPr>
      <w:r>
        <w:t>Upload a source file.</w:t>
      </w:r>
    </w:p>
    <w:p>
      <w:pPr>
        <w:pStyle w:val="BodyText"/>
        <w:ind w:left="480"/>
      </w:pPr>
      <w:r>
        <w:t>You can upload an OVA, ISO, or an OVF file and all files that the OVF references.</w:t>
      </w:r>
    </w:p>
    <w:p>
      <w:pPr>
        <w:pStyle w:val="BodyText"/>
        <w:numPr>
          <w:numId w:val="55"/>
        </w:numPr>
      </w:pPr>
      <w:r>
        <w:t>From the drop-down menu, select a content library to which to add the item.</w:t>
      </w:r>
    </w:p>
    <w:p>
      <w:pPr>
        <w:pStyle w:val="BodyText"/>
        <w:numPr>
          <w:numId w:val="55"/>
        </w:numPr>
      </w:pPr>
      <w:r>
        <w:t>Enter a name, and optionally, a description for the content library item.</w:t>
      </w:r>
    </w:p>
    <w:p>
      <w:pPr>
        <w:pStyle w:val="BodyText"/>
        <w:numPr>
          <w:numId w:val="55"/>
        </w:numPr>
      </w:pPr>
      <w:r>
        <w:t xml:space="preserve">Click </w:t>
      </w:r>
      <w:r>
        <w:rPr>
          <w:rStyle w:val="InlineUI"/>
        </w:rPr>
        <w:t>Submit</w:t>
      </w:r>
      <w:r>
        <w:t>.</w:t>
      </w:r>
    </w:p>
    <w:p>
      <w:pPr>
        <w:pStyle w:val="BodyText"/>
      </w:pPr>
      <w:r>
        <w:rPr>
          <w:rStyle w:val="Strong"/>
        </w:rPr>
        <w:t>What to do next</w:t>
      </w:r>
    </w:p>
    <w:p>
      <w:pPr>
        <w:pStyle w:val="BodyText"/>
      </w:pPr>
      <w:r>
        <w:t xml:space="preserve">If you want to delete an item, click the vertical ellipsis next to the content library name, and click </w:t>
      </w:r>
      <w:r>
        <w:rPr>
          <w:rStyle w:val="InlineUI"/>
        </w:rPr>
        <w:t>Delete</w:t>
      </w:r>
      <w:r>
        <w:t>.</w:t>
      </w:r>
    </w:p>
    <w:p>
      <w:pPr>
        <w:pStyle w:val="Heading1"/>
      </w:pPr>
      <w:bookmarkStart w:id="70" w:name="_Toc256000481"/>
      <w:r>
        <w:t>Managing VCF Automation Organizations</w:t>
      </w:r>
      <w:bookmarkEnd w:id="70"/>
    </w:p>
    <w:p>
      <w:pPr>
        <w:pStyle w:val="BodyText"/>
      </w:pPr>
      <w:r>
        <w:t xml:space="preserve">You can use the </w:t>
      </w:r>
      <w:r>
        <w:t>VCF Automation Provider Management Portal</w:t>
      </w:r>
      <w:r>
        <w:t xml:space="preserve"> to create, configure, and manage </w:t>
      </w:r>
      <w:r>
        <w:t>VCF Automation</w:t>
      </w:r>
      <w:r>
        <w:t xml:space="preserve"> organizations.</w:t>
      </w:r>
    </w:p>
    <w:p>
      <w:pPr>
        <w:pStyle w:val="BodyText"/>
      </w:pPr>
      <w:r>
        <w:t>An organization is a top-level entity used to group and manage resources, users, policies, IaaS services, and catalog entities, while maintaining a secure boundary from other organizations. It offers a centralized structure for billing, access control, and resource sharing, facilitating collaboration and governance across teams and departments.</w:t>
      </w:r>
    </w:p>
    <w:p>
      <w:pPr>
        <w:pStyle w:val="BodyText"/>
      </w:pPr>
      <w:r>
        <w:t xml:space="preserve">Use </w:t>
      </w:r>
      <w:r>
        <w:t>VCF Automation Provider Management Portal</w:t>
      </w:r>
      <w:r>
        <w:t xml:space="preserve"> to manage organizations, set quotas and VM and storage classes to determine how users consume resources that are allocated to an organization.</w:t>
      </w:r>
    </w:p>
    <w:p>
      <w:pPr>
        <w:pStyle w:val="Heading2"/>
      </w:pPr>
      <w:bookmarkStart w:id="71" w:name="B4c65419ecb4b4ed1b0e9876456304bf8"/>
      <w:bookmarkStart w:id="72" w:name="_Toc256000482"/>
      <w:r>
        <w:t>Create a VCF Automation Organization for All Applications</w:t>
      </w:r>
      <w:bookmarkEnd w:id="72"/>
      <w:bookmarkEnd w:id="71"/>
    </w:p>
    <w:p>
      <w:pPr>
        <w:pStyle w:val="BodyText"/>
      </w:pPr>
      <w:r>
        <w:t xml:space="preserve">From the </w:t>
      </w:r>
      <w:r>
        <w:t>VCF Automation Provider Management Portal</w:t>
      </w:r>
      <w:r>
        <w:t xml:space="preserve">, you can create an organization using the underlying </w:t>
      </w:r>
      <w:r>
        <w:t xml:space="preserve"> infrastructure. The organizations for all applications are the primary multi-tenancy model within </w:t>
      </w:r>
      <w:r>
        <w:t>VCF Automation</w:t>
      </w:r>
      <w:r>
        <w:t>.</w:t>
      </w:r>
    </w:p>
    <w:p>
      <w:pPr>
        <w:pStyle w:val="BodyText"/>
      </w:pPr>
      <w:r>
        <w:t xml:space="preserve">Organizations for all applications use </w:t>
      </w:r>
      <w:r>
        <w:t>vSphere</w:t>
      </w:r>
      <w:r>
        <w:t xml:space="preserve"> Namespaces within </w:t>
      </w:r>
      <w:r>
        <w:t xml:space="preserve"> to abstract the users and groups of the organizations from the underlying </w:t>
      </w:r>
      <w:r>
        <w:t>vSphere</w:t>
      </w:r>
      <w:r>
        <w:t xml:space="preserve"> and </w:t>
      </w:r>
      <w:r>
        <w:t>NSX</w:t>
      </w:r>
      <w:r>
        <w:t xml:space="preserve"> infrastructure. Within an </w:t>
      </w:r>
      <w:r>
        <w:rPr>
          <w:rStyle w:val="InlineUI"/>
        </w:rPr>
        <w:t>Organization for All Apps</w:t>
      </w:r>
      <w:r>
        <w:t xml:space="preserve"> , there is further isolation at the project and namespace levels. You can use this organization to run a wide variety of applications, including virtual machines (VMs), Kubernetes, data services, and so on. You can also create multiple tenants with secure infrastructure isolation, quotas, and chargeback.</w:t>
      </w:r>
    </w:p>
    <w:p>
      <w:pPr>
        <w:pStyle w:val="BodyText"/>
        <w:pBdr>
          <w:top w:val="single" w:sz="8" w:space="2" w:color="D3D3D3"/>
          <w:bottom w:val="single" w:sz="8" w:space="2" w:color="D3D3D3"/>
        </w:pBdr>
      </w:pPr>
      <w:r>
        <w:rPr>
          <w:rStyle w:val="NoteLeadernote"/>
        </w:rPr>
        <w:t>Note</w:t>
        <w:tab/>
      </w:r>
      <w:r>
        <w:t xml:space="preserve">Using the </w:t>
      </w:r>
      <w:r>
        <w:t>VCF Automation Provider Management Portal</w:t>
      </w:r>
      <w:r>
        <w:t xml:space="preserve">, you can create only one organization for VM applications in your </w:t>
      </w:r>
      <w:r>
        <w:t>VCF Automation</w:t>
      </w:r>
      <w:r>
        <w:t xml:space="preserve">. After an organization for VM applications is created, the </w:t>
      </w:r>
      <w:r>
        <w:rPr>
          <w:rStyle w:val="InlineUI"/>
        </w:rPr>
        <w:t>Create Organization</w:t>
      </w:r>
      <w:r>
        <w:t xml:space="preserve"> wizard skips the step for selecting an organization type and continues with the wizard for the creation of an organization for all applications.</w:t>
      </w:r>
    </w:p>
    <w:p>
      <w:pPr>
        <w:pStyle w:val="BodyText"/>
      </w:pPr>
      <w:r>
        <w:rPr>
          <w:rStyle w:val="Strong"/>
        </w:rPr>
        <w:t>Prerequisites</w:t>
      </w:r>
    </w:p>
    <w:p>
      <w:pPr>
        <w:pStyle w:val="BodyText"/>
        <w:numPr>
          <w:numId w:val="56"/>
        </w:numPr>
      </w:pPr>
      <w:r>
        <w:t xml:space="preserve">Verify that your </w:t>
      </w:r>
      <w:r>
        <w:t>vCenter</w:t>
      </w:r>
      <w:r>
        <w:t xml:space="preserve"> instance has a Supervisor enabled.</w:t>
      </w:r>
    </w:p>
    <w:p>
      <w:pPr>
        <w:pStyle w:val="BodyText"/>
        <w:numPr>
          <w:numId w:val="56"/>
        </w:numPr>
      </w:pPr>
      <w:r>
        <w:t xml:space="preserve">If you want to assign a custom role to the first user of the organization, create a custom role.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Bc8277b1730fb4af6a1f50a66c6f52fae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Global Role in Your VCF Automation</w:t>
      </w:r>
      <w:r>
        <w:fldChar w:fldCharType="end"/>
      </w:r>
      <w:r>
        <w:t>.</w:t>
      </w:r>
    </w:p>
    <w:p>
      <w:pPr>
        <w:pStyle w:val="BodyText"/>
      </w:pPr>
      <w:r>
        <w:rPr>
          <w:rStyle w:val="Strong"/>
        </w:rPr>
        <w:t>Procedure</w:t>
      </w:r>
    </w:p>
    <w:p>
      <w:pPr>
        <w:pStyle w:val="BodyText"/>
        <w:numPr>
          <w:numId w:val="57"/>
        </w:numPr>
      </w:pPr>
      <w:r>
        <w:t xml:space="preserve">Log in to the </w:t>
      </w:r>
      <w:r>
        <w:t>.</w:t>
      </w:r>
    </w:p>
    <w:p>
      <w:pPr>
        <w:pStyle w:val="BodyText"/>
        <w:numPr>
          <w:numId w:val="57"/>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57"/>
        </w:numPr>
      </w:pPr>
      <w:r>
        <w:t xml:space="preserve">Click </w:t>
      </w:r>
      <w:r>
        <w:rPr>
          <w:rStyle w:val="InlineUI"/>
        </w:rPr>
        <w:t>Create Organization</w:t>
      </w:r>
      <w:r>
        <w:t>.</w:t>
      </w:r>
    </w:p>
    <w:p>
      <w:pPr>
        <w:pStyle w:val="BodyText"/>
        <w:numPr>
          <w:numId w:val="57"/>
        </w:numPr>
      </w:pPr>
      <w:r>
        <w:t xml:space="preserve">If applicable, select </w:t>
      </w:r>
      <w:r>
        <w:rPr>
          <w:rStyle w:val="InlineUI"/>
        </w:rPr>
        <w:t>Organization for All Apps</w:t>
      </w:r>
      <w:r>
        <w:t xml:space="preserve">, and click </w:t>
      </w:r>
      <w:r>
        <w:rPr>
          <w:rStyle w:val="InlineUI"/>
        </w:rPr>
        <w:t>Next</w:t>
      </w:r>
      <w:r>
        <w:t>.</w:t>
      </w:r>
    </w:p>
    <w:p>
      <w:pPr>
        <w:pStyle w:val="BodyText"/>
        <w:numPr>
          <w:numId w:val="57"/>
        </w:numPr>
      </w:pPr>
      <w:r>
        <w:t>Enter a name, and optionally, a description of the organization.</w:t>
      </w:r>
    </w:p>
    <w:p>
      <w:pPr>
        <w:pStyle w:val="BodyText"/>
        <w:ind w:left="480"/>
      </w:pPr>
      <w:r>
        <w:t xml:space="preserve">The name is the unique identifier that forms the URL for accessing the organization. You can use only alphanumeric characters, underscores, periods, commas, brackets, and the dollar sign - </w:t>
      </w:r>
      <w:r>
        <w:rPr>
          <w:rStyle w:val="InlineCode"/>
        </w:rPr>
        <w:t>_ . ( ) , $</w:t>
      </w:r>
      <w:r>
        <w:t>.</w:t>
      </w:r>
    </w:p>
    <w:p>
      <w:pPr>
        <w:pStyle w:val="BodyText"/>
        <w:numPr>
          <w:numId w:val="57"/>
        </w:numPr>
      </w:pPr>
      <w:r>
        <w:t xml:space="preserve">Click </w:t>
      </w:r>
      <w:r>
        <w:rPr>
          <w:rStyle w:val="InlineUI"/>
        </w:rPr>
        <w:t>Create and Continue</w:t>
      </w:r>
      <w:r>
        <w:t>.</w:t>
      </w:r>
    </w:p>
    <w:p>
      <w:pPr>
        <w:pStyle w:val="BodyText"/>
        <w:ind w:left="480"/>
      </w:pPr>
      <w:r>
        <w:t xml:space="preserve">After you click </w:t>
      </w:r>
      <w:r>
        <w:rPr>
          <w:rStyle w:val="InlineUI"/>
        </w:rPr>
        <w:t>Create and Continue</w:t>
      </w:r>
      <w:r>
        <w:t>, you cannot cancel the creation of the organization. If you want to delete the organization, you must disable it before you can delete it. If you want to continue setting up the organization later, you can close the wizard.</w:t>
      </w:r>
    </w:p>
    <w:p>
      <w:pPr>
        <w:pStyle w:val="BodyText"/>
        <w:numPr>
          <w:numId w:val="57"/>
        </w:numPr>
      </w:pPr>
      <w:r>
        <w:t xml:space="preserve">From the drop-down menus, select a region and a </w:t>
      </w:r>
      <w:r>
        <w:t>Supervisor</w:t>
      </w:r>
      <w:r>
        <w:t>.</w:t>
      </w:r>
    </w:p>
    <w:p>
      <w:pPr>
        <w:pStyle w:val="BodyText"/>
        <w:numPr>
          <w:numId w:val="57"/>
        </w:numPr>
      </w:pPr>
      <w:r>
        <w:t>Add and configure one or more zones by assigning CPU and memory limits and reservations.</w:t>
      </w:r>
    </w:p>
    <w:p>
      <w:pPr>
        <w:pStyle w:val="BodyText"/>
        <w:numPr>
          <w:numId w:val="57"/>
        </w:numPr>
      </w:pPr>
      <w:r>
        <w:t xml:space="preserve">Click </w:t>
      </w:r>
      <w:r>
        <w:rPr>
          <w:rStyle w:val="InlineUI"/>
        </w:rPr>
        <w:t>Assign and continue</w:t>
      </w:r>
      <w:r>
        <w:t>.</w:t>
      </w:r>
    </w:p>
    <w:p>
      <w:pPr>
        <w:pStyle w:val="BodyText"/>
        <w:numPr>
          <w:numId w:val="57"/>
        </w:numPr>
      </w:pPr>
      <w:r>
        <w:t>Select one or more VM classes and one or more storage classes applicable to the organization.</w:t>
      </w:r>
    </w:p>
    <w:p>
      <w:pPr>
        <w:pStyle w:val="BodyText"/>
        <w:ind w:left="480"/>
      </w:pPr>
      <w:r>
        <w:t xml:space="preserve">The list shows all VM and storage classes available in the selected </w:t>
      </w:r>
      <w:r>
        <w:t>Supervisor</w:t>
      </w:r>
      <w:r>
        <w:t>.</w:t>
      </w:r>
    </w:p>
    <w:p>
      <w:pPr>
        <w:pStyle w:val="BodyText"/>
        <w:numPr>
          <w:numId w:val="57"/>
        </w:numPr>
      </w:pPr>
      <w:r>
        <w:t xml:space="preserve">Click </w:t>
      </w:r>
      <w:r>
        <w:rPr>
          <w:rStyle w:val="InlineUI"/>
        </w:rPr>
        <w:t>Assign and continue</w:t>
      </w:r>
      <w:r>
        <w:t>.</w:t>
      </w:r>
    </w:p>
    <w:p>
      <w:pPr>
        <w:pStyle w:val="BodyText"/>
        <w:numPr>
          <w:numId w:val="57"/>
        </w:numPr>
      </w:pPr>
      <w:r>
        <w:t>Add the first user of the organization.</w:t>
      </w:r>
    </w:p>
    <w:p>
      <w:pPr>
        <w:pStyle w:val="BodyText"/>
        <w:ind w:left="480"/>
      </w:pPr>
      <w:r>
        <w:t xml:space="preserve">You can add only one user to the organization. Click the </w:t>
      </w:r>
      <w:r>
        <w:rPr>
          <w:rStyle w:val="InlineUI"/>
        </w:rPr>
        <w:t>Organization Administrator</w:t>
      </w:r>
      <w:r>
        <w:t xml:space="preserve"> role, or a role that can manage the organization and has user and IdP configuration management rights. After you create the organization, the first user logs in to it and connects it to an identity provider.</w:t>
      </w:r>
    </w:p>
    <w:p>
      <w:pPr>
        <w:pStyle w:val="BodyText"/>
        <w:numPr>
          <w:ilvl w:val="1"/>
          <w:numId w:val="57"/>
        </w:numPr>
      </w:pPr>
      <w:r>
        <w:t>Enter a user name.</w:t>
      </w:r>
    </w:p>
    <w:p>
      <w:pPr>
        <w:pStyle w:val="BodyText"/>
        <w:numPr>
          <w:ilvl w:val="1"/>
          <w:numId w:val="57"/>
        </w:numPr>
      </w:pPr>
      <w:r>
        <w:t>Enter and confirm the user password.</w:t>
      </w:r>
    </w:p>
    <w:p>
      <w:pPr>
        <w:pStyle w:val="BodyText"/>
        <w:ind w:left="960"/>
      </w:pPr>
      <w:r>
        <w:t>The password must be at least 15 characters long. It must contain at least one character of each of the following categories:</w:t>
      </w:r>
    </w:p>
    <w:p>
      <w:pPr>
        <w:pStyle w:val="BodyText"/>
        <w:numPr>
          <w:ilvl w:val="2"/>
          <w:numId w:val="57"/>
        </w:numPr>
      </w:pPr>
      <w:r>
        <w:t>lowercase letter</w:t>
      </w:r>
    </w:p>
    <w:p>
      <w:pPr>
        <w:pStyle w:val="BodyText"/>
        <w:numPr>
          <w:ilvl w:val="2"/>
          <w:numId w:val="57"/>
        </w:numPr>
      </w:pPr>
      <w:r>
        <w:t>uppercase letter</w:t>
      </w:r>
    </w:p>
    <w:p>
      <w:pPr>
        <w:pStyle w:val="BodyText"/>
        <w:numPr>
          <w:ilvl w:val="2"/>
          <w:numId w:val="57"/>
        </w:numPr>
      </w:pPr>
      <w:r>
        <w:t>number</w:t>
      </w:r>
    </w:p>
    <w:p>
      <w:pPr>
        <w:pStyle w:val="BodyText"/>
        <w:numPr>
          <w:ilvl w:val="2"/>
          <w:numId w:val="57"/>
        </w:numPr>
      </w:pPr>
      <w:r>
        <w:t xml:space="preserve">special character from the following list: </w:t>
      </w:r>
      <w:r>
        <w:rPr>
          <w:rStyle w:val="InlineCode"/>
        </w:rPr>
        <w:t>!"#$%&amp;'()*+,-./:;&lt;=&gt;?@[]^_`{|}~")</w:t>
      </w:r>
    </w:p>
    <w:p>
      <w:pPr>
        <w:pStyle w:val="BodyText"/>
        <w:numPr>
          <w:ilvl w:val="1"/>
          <w:numId w:val="57"/>
        </w:numPr>
      </w:pPr>
      <w:r>
        <w:t>From the drop-down menu, select the user role.</w:t>
      </w:r>
    </w:p>
    <w:p>
      <w:pPr>
        <w:pStyle w:val="BodyText"/>
        <w:numPr>
          <w:numId w:val="57"/>
        </w:numPr>
      </w:pPr>
      <w:r>
        <w:t xml:space="preserve">Click </w:t>
      </w:r>
      <w:r>
        <w:rPr>
          <w:rStyle w:val="InlineUI"/>
        </w:rPr>
        <w:t>Add User and Finish</w:t>
      </w:r>
      <w:r>
        <w:t>.</w:t>
      </w:r>
    </w:p>
    <w:p>
      <w:pPr>
        <w:pStyle w:val="BodyText"/>
      </w:pPr>
      <w:r>
        <w:rPr>
          <w:rStyle w:val="Strong"/>
        </w:rPr>
        <w:t>What to do next</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Befe02593e3a74ebb9c22f75da620371e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the Region Network Configurations of a VCF Automation Organization</w:t>
      </w:r>
      <w:r>
        <w:fldChar w:fldCharType="end"/>
      </w:r>
    </w:p>
    <w:p>
      <w:pPr>
        <w:pStyle w:val="Heading2"/>
      </w:pPr>
      <w:bookmarkStart w:id="73" w:name="B9da89ecb90064504b004bf9265178e09"/>
      <w:bookmarkStart w:id="74" w:name="_Toc256000483"/>
      <w:r>
        <w:t>Create a VCF Automation Organization for VM Applications</w:t>
      </w:r>
      <w:bookmarkEnd w:id="74"/>
      <w:bookmarkEnd w:id="73"/>
    </w:p>
    <w:p>
      <w:pPr>
        <w:pStyle w:val="BodyText"/>
      </w:pPr>
      <w:r>
        <w:t xml:space="preserve">From the </w:t>
      </w:r>
      <w:r>
        <w:t>VCF Automation Provider Management Portal</w:t>
      </w:r>
      <w:r>
        <w:t xml:space="preserve">, you can create one organization using </w:t>
      </w:r>
      <w:r>
        <w:t>vSphere</w:t>
      </w:r>
      <w:r>
        <w:t xml:space="preserve"> cluster capabilities which does not require a </w:t>
      </w:r>
      <w:r>
        <w:t>Supervisor</w:t>
      </w:r>
      <w:r>
        <w:t xml:space="preserve">, shared infrastructure, or tenancy isolation. This option is most suitable for </w:t>
      </w:r>
      <w:r>
        <w:t>VMware Aria Automation</w:t>
      </w:r>
      <w:r>
        <w:t xml:space="preserve"> customers who want to continue leveraging the capabilities to provision VM-based applications without any disruptions to your business operations.</w:t>
      </w:r>
    </w:p>
    <w:p>
      <w:pPr>
        <w:pStyle w:val="BodyText"/>
      </w:pPr>
      <w:r>
        <w:t xml:space="preserve">If you are upgrading from </w:t>
      </w:r>
      <w:r>
        <w:t>VMware Aria Automation</w:t>
      </w:r>
      <w:r>
        <w:t xml:space="preserve"> 8.18 and if you have multiple tenants, these tenants appear as multiple </w:t>
      </w:r>
      <w:r>
        <w:rPr>
          <w:rStyle w:val="InlineCode"/>
        </w:rPr>
        <w:t>VM App</w:t>
      </w:r>
      <w:r>
        <w:t xml:space="preserve"> organizations but you cannot use the </w:t>
      </w:r>
      <w:r>
        <w:t>VCF Automation Provider Management Portal</w:t>
      </w:r>
      <w:r>
        <w:t xml:space="preserve"> UI to create more </w:t>
      </w:r>
      <w:r>
        <w:rPr>
          <w:rStyle w:val="InlineCode"/>
        </w:rPr>
        <w:t>VM App</w:t>
      </w:r>
      <w:r>
        <w:t xml:space="preserve"> organizations.</w:t>
      </w:r>
    </w:p>
    <w:p>
      <w:pPr>
        <w:pStyle w:val="BodyText"/>
      </w:pPr>
      <w:r>
        <w:rPr>
          <w:rStyle w:val="Strong"/>
        </w:rPr>
        <w:t>Prerequisites</w:t>
      </w:r>
    </w:p>
    <w:p>
      <w:pPr>
        <w:pStyle w:val="BodyText"/>
        <w:numPr>
          <w:numId w:val="58"/>
        </w:numPr>
      </w:pPr>
      <w:r>
        <w:t xml:space="preserve">Verify that the </w:t>
      </w:r>
      <w:r>
        <w:rPr>
          <w:rStyle w:val="InlineUI"/>
        </w:rPr>
        <w:t>Classic Tenant Creation</w:t>
      </w:r>
      <w:r>
        <w:t xml:space="preserve"> feature flag is activated. You can manage feature flags by navigating to the </w:t>
      </w:r>
      <w:r>
        <w:rPr>
          <w:rStyle w:val="InlineUI"/>
        </w:rPr>
        <w:t>Feature Flags</w:t>
      </w:r>
      <w:r>
        <w:t xml:space="preserve"> page from the left navigation pane.</w:t>
      </w:r>
    </w:p>
    <w:p>
      <w:pPr>
        <w:pStyle w:val="BodyText"/>
        <w:numPr>
          <w:numId w:val="58"/>
        </w:numPr>
      </w:pPr>
      <w:r>
        <w:t xml:space="preserve">Verify that your </w:t>
      </w:r>
      <w:r>
        <w:t>VCF Automation</w:t>
      </w:r>
      <w:r>
        <w:t xml:space="preserve"> deployment does not have any existing organizations for VM applications.</w:t>
      </w:r>
    </w:p>
    <w:p>
      <w:pPr>
        <w:pStyle w:val="BodyText"/>
        <w:pBdr>
          <w:top w:val="single" w:sz="8" w:space="2" w:color="D3D3D3"/>
          <w:bottom w:val="single" w:sz="8" w:space="2" w:color="D3D3D3"/>
        </w:pBdr>
      </w:pPr>
      <w:r>
        <w:rPr>
          <w:rStyle w:val="NoteLeadernote"/>
        </w:rPr>
        <w:t>Note</w:t>
        <w:tab/>
      </w:r>
      <w:r>
        <w:t xml:space="preserve">Using the </w:t>
      </w:r>
      <w:r>
        <w:t>VCF Automation Provider Management Portal</w:t>
      </w:r>
      <w:r>
        <w:t xml:space="preserve">, you can create only one organization for VM applications in your </w:t>
      </w:r>
      <w:r>
        <w:t>VCF Automation</w:t>
      </w:r>
      <w:r>
        <w:t xml:space="preserve">. When an organization for VM applications is created, the </w:t>
      </w:r>
      <w:r>
        <w:rPr>
          <w:rStyle w:val="InlineUI"/>
        </w:rPr>
        <w:t>Create Organization</w:t>
      </w:r>
      <w:r>
        <w:t xml:space="preserve"> wizard skips the step for selecting an organization type and continues with the wizard for the creation of an organization for all applications.</w:t>
      </w:r>
    </w:p>
    <w:p>
      <w:pPr>
        <w:pStyle w:val="BodyText"/>
      </w:pPr>
      <w:r>
        <w:rPr>
          <w:rStyle w:val="Strong"/>
        </w:rPr>
        <w:t>Procedure</w:t>
      </w:r>
    </w:p>
    <w:p>
      <w:pPr>
        <w:pStyle w:val="BodyText"/>
        <w:numPr>
          <w:numId w:val="59"/>
        </w:numPr>
      </w:pPr>
      <w:r>
        <w:t xml:space="preserve">Log in to the </w:t>
      </w:r>
      <w:r>
        <w:t>.</w:t>
      </w:r>
    </w:p>
    <w:p>
      <w:pPr>
        <w:pStyle w:val="BodyText"/>
        <w:numPr>
          <w:numId w:val="59"/>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59"/>
        </w:numPr>
      </w:pPr>
      <w:r>
        <w:t xml:space="preserve">Click </w:t>
      </w:r>
      <w:r>
        <w:rPr>
          <w:rStyle w:val="InlineUI"/>
        </w:rPr>
        <w:t>Create Organization</w:t>
      </w:r>
      <w:r>
        <w:t xml:space="preserve"> and select </w:t>
      </w:r>
      <w:r>
        <w:rPr>
          <w:rStyle w:val="InlineUI"/>
        </w:rPr>
        <w:t>Organization for VM Apps</w:t>
      </w:r>
      <w:r>
        <w:t>.</w:t>
      </w:r>
    </w:p>
    <w:p>
      <w:pPr>
        <w:pStyle w:val="BodyText"/>
        <w:numPr>
          <w:numId w:val="59"/>
        </w:numPr>
      </w:pPr>
      <w:r>
        <w:t xml:space="preserve">Click </w:t>
      </w:r>
      <w:r>
        <w:rPr>
          <w:rStyle w:val="InlineUI"/>
        </w:rPr>
        <w:t>Next</w:t>
      </w:r>
      <w:r>
        <w:t>.</w:t>
      </w:r>
    </w:p>
    <w:p>
      <w:pPr>
        <w:pStyle w:val="BodyText"/>
        <w:numPr>
          <w:numId w:val="59"/>
        </w:numPr>
      </w:pPr>
      <w:r>
        <w:t>Enter a name, and optionally, a description of the organization.</w:t>
      </w:r>
    </w:p>
    <w:p>
      <w:pPr>
        <w:pStyle w:val="BodyText"/>
        <w:ind w:left="480"/>
      </w:pPr>
      <w:r>
        <w:t xml:space="preserve">The name is the unique identifier that forms the URL for accessing the organization. You can use only alphanumeric characters, underscores, periods, commas, brackets, and the dollar sign - </w:t>
      </w:r>
      <w:r>
        <w:rPr>
          <w:rStyle w:val="InlineCode"/>
        </w:rPr>
        <w:t>_ . ( ) , $</w:t>
      </w:r>
      <w:r>
        <w:t>.</w:t>
      </w:r>
    </w:p>
    <w:p>
      <w:pPr>
        <w:pStyle w:val="BodyText"/>
        <w:numPr>
          <w:numId w:val="59"/>
        </w:numPr>
      </w:pPr>
      <w:r>
        <w:t xml:space="preserve">Click </w:t>
      </w:r>
      <w:r>
        <w:rPr>
          <w:rStyle w:val="InlineUI"/>
        </w:rPr>
        <w:t>Create and Continue</w:t>
      </w:r>
      <w:r>
        <w:t>.</w:t>
      </w:r>
    </w:p>
    <w:p>
      <w:pPr>
        <w:pStyle w:val="BodyText"/>
        <w:ind w:left="480"/>
      </w:pPr>
      <w:r>
        <w:t xml:space="preserve">After you click </w:t>
      </w:r>
      <w:r>
        <w:rPr>
          <w:rStyle w:val="InlineUI"/>
        </w:rPr>
        <w:t>Create and Continue</w:t>
      </w:r>
      <w:r>
        <w:t>, you cannot cancel the creation of the organization. If you want to delete the organization, you must disable it before you can delete it.</w:t>
      </w:r>
    </w:p>
    <w:p>
      <w:pPr>
        <w:pStyle w:val="BodyText"/>
        <w:numPr>
          <w:numId w:val="59"/>
        </w:numPr>
      </w:pPr>
      <w:r>
        <w:t>Add the first user of the organization.</w:t>
      </w:r>
    </w:p>
    <w:p>
      <w:pPr>
        <w:pStyle w:val="BodyText"/>
        <w:ind w:left="480"/>
      </w:pPr>
      <w:r>
        <w:t xml:space="preserve">You can add only one user to the organization. Select the </w:t>
      </w:r>
      <w:r>
        <w:rPr>
          <w:rStyle w:val="InlineUI"/>
        </w:rPr>
        <w:t>Organization Administrator</w:t>
      </w:r>
      <w:r>
        <w:t xml:space="preserve"> role, or a role that can manage the organization and has user and IdP configuration management rights. After you create the organization, the first user logs in to it and connects it to an identity provider.</w:t>
      </w:r>
    </w:p>
    <w:p>
      <w:pPr>
        <w:pStyle w:val="BodyText"/>
        <w:numPr>
          <w:ilvl w:val="1"/>
          <w:numId w:val="59"/>
        </w:numPr>
      </w:pPr>
      <w:r>
        <w:t>Enter a user name.</w:t>
      </w:r>
    </w:p>
    <w:p>
      <w:pPr>
        <w:pStyle w:val="BodyText"/>
        <w:numPr>
          <w:ilvl w:val="1"/>
          <w:numId w:val="59"/>
        </w:numPr>
      </w:pPr>
      <w:r>
        <w:t>Enter and confirm the user password.</w:t>
      </w:r>
    </w:p>
    <w:p>
      <w:pPr>
        <w:pStyle w:val="BodyText"/>
        <w:ind w:left="960"/>
      </w:pPr>
      <w:r>
        <w:t>The password must be at least 15 characters long. It must contain at least one character of each of the following categories:</w:t>
      </w:r>
    </w:p>
    <w:p>
      <w:pPr>
        <w:pStyle w:val="BodyText"/>
        <w:numPr>
          <w:ilvl w:val="2"/>
          <w:numId w:val="59"/>
        </w:numPr>
      </w:pPr>
      <w:r>
        <w:t>lowercase letter</w:t>
      </w:r>
    </w:p>
    <w:p>
      <w:pPr>
        <w:pStyle w:val="BodyText"/>
        <w:numPr>
          <w:ilvl w:val="2"/>
          <w:numId w:val="59"/>
        </w:numPr>
      </w:pPr>
      <w:r>
        <w:t>uppercase letter</w:t>
      </w:r>
    </w:p>
    <w:p>
      <w:pPr>
        <w:pStyle w:val="BodyText"/>
        <w:numPr>
          <w:ilvl w:val="2"/>
          <w:numId w:val="59"/>
        </w:numPr>
      </w:pPr>
      <w:r>
        <w:t>number</w:t>
      </w:r>
    </w:p>
    <w:p>
      <w:pPr>
        <w:pStyle w:val="BodyText"/>
        <w:numPr>
          <w:ilvl w:val="2"/>
          <w:numId w:val="59"/>
        </w:numPr>
      </w:pPr>
      <w:r>
        <w:t xml:space="preserve">special character from the following list: </w:t>
      </w:r>
      <w:r>
        <w:rPr>
          <w:rStyle w:val="InlineCode"/>
        </w:rPr>
        <w:t>!"#$%&amp;'()*+,-./:;&lt;=&gt;?@[]^_`{|}~")</w:t>
      </w:r>
    </w:p>
    <w:p>
      <w:pPr>
        <w:pStyle w:val="BodyText"/>
        <w:numPr>
          <w:ilvl w:val="1"/>
          <w:numId w:val="59"/>
        </w:numPr>
      </w:pPr>
      <w:r>
        <w:t>From the drop-down menu, select the user role.</w:t>
      </w:r>
    </w:p>
    <w:p>
      <w:pPr>
        <w:pStyle w:val="BodyText"/>
        <w:numPr>
          <w:numId w:val="59"/>
        </w:numPr>
      </w:pPr>
      <w:r>
        <w:t xml:space="preserve">Click </w:t>
      </w:r>
      <w:r>
        <w:rPr>
          <w:rStyle w:val="InlineUI"/>
        </w:rPr>
        <w:t>Add User and Finish</w:t>
      </w:r>
      <w:r>
        <w:t>.</w:t>
      </w:r>
    </w:p>
    <w:p>
      <w:pPr>
        <w:pStyle w:val="Heading2"/>
      </w:pPr>
      <w:bookmarkStart w:id="75" w:name="_Toc256000484"/>
      <w:r>
        <w:t>Create a Provider Consumption Organization</w:t>
      </w:r>
      <w:bookmarkEnd w:id="75"/>
    </w:p>
    <w:p>
      <w:pPr>
        <w:pStyle w:val="BodyText"/>
      </w:pPr>
      <w:r>
        <w:t xml:space="preserve">As a provider administrator, you can create a provider consumption organization that you can use for easy access to the </w:t>
      </w:r>
      <w:r>
        <w:t>Organization Portal</w:t>
      </w:r>
      <w:r>
        <w:t xml:space="preserve"> for consuming your own infrastructure resources.</w:t>
      </w:r>
    </w:p>
    <w:p>
      <w:pPr>
        <w:pStyle w:val="BodyText"/>
      </w:pPr>
      <w:r>
        <w:t xml:space="preserve">From the provider consumption organization, you can see all other organizations in </w:t>
      </w:r>
      <w:r>
        <w:t>VCF Automation</w:t>
      </w:r>
      <w:r>
        <w:t xml:space="preserve"> and publish content to those organizations. For example, you can use this organization to publish blueprints and catalogs to the other organizations. As a provider administrator you can use the provider consumption organization to provision your own workloads.</w:t>
      </w:r>
    </w:p>
    <w:p>
      <w:pPr>
        <w:pStyle w:val="BodyText"/>
      </w:pPr>
      <w:r>
        <w:t xml:space="preserve">The provider consumption organization does not have access to the </w:t>
      </w:r>
      <w:r>
        <w:t>VCF Automation Provider Management Portal</w:t>
      </w:r>
      <w:r>
        <w:t xml:space="preserve"> and cannot manage regions, global roles, rights bundles, and so on. When creating the provider consumption organization, </w:t>
      </w:r>
      <w:r>
        <w:t>VCF Automation</w:t>
      </w:r>
      <w:r>
        <w:t xml:space="preserve"> configures it to use the same IdPs as the </w:t>
      </w:r>
      <w:r>
        <w:rPr>
          <w:rStyle w:val="InlineCode"/>
        </w:rPr>
        <w:t>System</w:t>
      </w:r>
      <w:r>
        <w:t xml:space="preserve"> organization.</w:t>
      </w:r>
    </w:p>
    <w:p>
      <w:pPr>
        <w:pStyle w:val="BodyText"/>
        <w:numPr>
          <w:numId w:val="60"/>
        </w:numPr>
      </w:pPr>
      <w:r>
        <w:t xml:space="preserve">If the </w:t>
      </w:r>
      <w:r>
        <w:rPr>
          <w:rStyle w:val="InlineCode"/>
        </w:rPr>
        <w:t>System</w:t>
      </w:r>
      <w:r>
        <w:t xml:space="preserve"> organization is configured to use VIDB, </w:t>
      </w:r>
      <w:r>
        <w:t>VCF Automation</w:t>
      </w:r>
      <w:r>
        <w:t xml:space="preserve"> performs all the steps of updating the VIDB's client to also allow redirects to the provider consumption organization.</w:t>
      </w:r>
    </w:p>
    <w:p>
      <w:pPr>
        <w:pStyle w:val="BodyText"/>
        <w:numPr>
          <w:numId w:val="60"/>
        </w:numPr>
      </w:pPr>
      <w:r>
        <w:t xml:space="preserve">If the </w:t>
      </w:r>
      <w:r>
        <w:rPr>
          <w:rStyle w:val="InlineCode"/>
        </w:rPr>
        <w:t>System</w:t>
      </w:r>
      <w:r>
        <w:t xml:space="preserve"> organization is configured to use any other IdP, the configuration is incomplete and you can update the clients in their IdPs to also contain the redirect URI for the provider consumption organization.</w:t>
      </w:r>
    </w:p>
    <w:p>
      <w:pPr>
        <w:pStyle w:val="BodyText"/>
      </w:pPr>
      <w:r>
        <w:rPr>
          <w:rStyle w:val="Strong"/>
        </w:rPr>
        <w:t>Procedure</w:t>
      </w:r>
    </w:p>
    <w:p>
      <w:pPr>
        <w:pStyle w:val="BodyText"/>
        <w:numPr>
          <w:numId w:val="61"/>
        </w:numPr>
      </w:pPr>
      <w:r>
        <w:t xml:space="preserve">Log in to the </w:t>
      </w:r>
      <w:r>
        <w:t>.</w:t>
      </w:r>
    </w:p>
    <w:p>
      <w:pPr>
        <w:pStyle w:val="BodyText"/>
        <w:numPr>
          <w:numId w:val="61"/>
        </w:numPr>
      </w:pPr>
      <w:r>
        <w:t xml:space="preserve">From the left navigation panel, under </w:t>
      </w:r>
      <w:r>
        <w:rPr>
          <w:rStyle w:val="InlineUI"/>
        </w:rPr>
        <w:t>Administration</w:t>
      </w:r>
      <w:r>
        <w:t xml:space="preserve">, select </w:t>
      </w:r>
      <w:r>
        <w:rPr>
          <w:rStyle w:val="InlineUI"/>
        </w:rPr>
        <w:t>Feature Flags</w:t>
      </w:r>
      <w:r>
        <w:t>.</w:t>
      </w:r>
    </w:p>
    <w:p>
      <w:pPr>
        <w:pStyle w:val="BodyText"/>
        <w:numPr>
          <w:numId w:val="61"/>
        </w:numPr>
      </w:pPr>
      <w:r>
        <w:t>Click the vertical ellipsis (</w:t>
      </w:r>
      <w:r>
        <w:t xml:space="preserve">) next to the </w:t>
      </w:r>
      <w:r>
        <w:rPr>
          <w:rStyle w:val="InlineUI"/>
        </w:rPr>
        <w:t>Provider Consumption Org</w:t>
      </w:r>
      <w:r>
        <w:t xml:space="preserve"> feature flag, and select </w:t>
      </w:r>
      <w:r>
        <w:rPr>
          <w:rStyle w:val="InlineUI"/>
        </w:rPr>
        <w:t>Enable</w:t>
      </w:r>
      <w:r>
        <w:t>.</w:t>
      </w:r>
    </w:p>
    <w:p>
      <w:pPr>
        <w:pStyle w:val="BodyText"/>
      </w:pPr>
      <w:r>
        <w:rPr>
          <w:rStyle w:val="Strong"/>
        </w:rPr>
        <w:t>Results</w:t>
      </w:r>
    </w:p>
    <w:p>
      <w:pPr>
        <w:pStyle w:val="BodyText"/>
      </w:pPr>
      <w:r>
        <w:t xml:space="preserve">In the list of organizations, a new organization with the </w:t>
      </w:r>
      <w:r>
        <w:rPr>
          <w:rStyle w:val="InlineCode"/>
        </w:rPr>
        <w:t>Provider Consumption Org</w:t>
      </w:r>
      <w:r>
        <w:t xml:space="preserve"> name appears.</w:t>
      </w:r>
    </w:p>
    <w:p>
      <w:pPr>
        <w:pStyle w:val="BodyText"/>
      </w:pPr>
      <w:r>
        <w:rPr>
          <w:rStyle w:val="Strong"/>
        </w:rPr>
        <w:t>What to do next</w:t>
      </w:r>
    </w:p>
    <w:p>
      <w:pPr>
        <w:pStyle w:val="BodyText"/>
        <w:numPr>
          <w:numId w:val="62"/>
        </w:numPr>
      </w:pPr>
      <w:r>
        <w:t xml:space="preserve">If you want to remove the provider consumption organization, you can turn off the feature flag to deactivate it. Deactivating the organization does not delete the provider consumption organization, but it cannot be accessed anymore through the UI or the </w:t>
      </w:r>
      <w:r>
        <w:t>Provider Management</w:t>
      </w:r>
      <w:r>
        <w:t xml:space="preserve"> API. Turning the flag on makes the organization available again.</w:t>
      </w:r>
    </w:p>
    <w:p>
      <w:pPr>
        <w:pStyle w:val="BodyText"/>
        <w:numPr>
          <w:numId w:val="62"/>
        </w:numPr>
      </w:pPr>
      <w:r>
        <w:t xml:space="preserve">You can change the branding of a provider consumption organization.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B2660930d36aa4aaa80807fe48289a08d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Changing the VCF Automation Portal Branding</w:t>
      </w:r>
      <w:r>
        <w:fldChar w:fldCharType="end"/>
      </w:r>
      <w:r>
        <w:t>.</w:t>
      </w:r>
    </w:p>
    <w:p>
      <w:pPr>
        <w:pStyle w:val="BodyText"/>
        <w:numPr>
          <w:numId w:val="6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Bdd33c188c1e24386ae109da1247d6d65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Add Region Quota to a VCF Automation Organization</w:t>
      </w:r>
      <w:r>
        <w:fldChar w:fldCharType="end"/>
      </w:r>
    </w:p>
    <w:p>
      <w:pPr>
        <w:pStyle w:val="BodyText"/>
        <w:numPr>
          <w:numId w:val="6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Befe02593e3a74ebb9c22f75da620371e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the Region Network Configurations of a VCF Automation Organization</w:t>
      </w:r>
      <w:r>
        <w:fldChar w:fldCharType="end"/>
      </w:r>
    </w:p>
    <w:p>
      <w:pPr>
        <w:pStyle w:val="BodyText"/>
        <w:numPr>
          <w:numId w:val="62"/>
        </w:numPr>
      </w:pPr>
      <w:r>
        <w:t>Getting Started with Organizations in</w:t>
      </w:r>
    </w:p>
    <w:p>
      <w:pPr>
        <w:pStyle w:val="Heading2"/>
      </w:pPr>
      <w:bookmarkStart w:id="76" w:name="Befe02593e3a74ebb9c22f75da620371e"/>
      <w:bookmarkStart w:id="77" w:name="_Toc256000485"/>
      <w:r>
        <w:t>Configure the Region Network Configurations of a VCF Automation Organization</w:t>
      </w:r>
      <w:bookmarkEnd w:id="77"/>
      <w:bookmarkEnd w:id="76"/>
    </w:p>
    <w:p>
      <w:pPr>
        <w:pStyle w:val="BodyText"/>
      </w:pPr>
      <w:r>
        <w:t xml:space="preserve">You can use the </w:t>
      </w:r>
      <w:r>
        <w:t>Provider Management Portal</w:t>
      </w:r>
      <w:r>
        <w:t xml:space="preserve"> to set up the region networking configurations of an organization.</w:t>
      </w:r>
    </w:p>
    <w:p>
      <w:pPr>
        <w:pStyle w:val="BodyText"/>
      </w:pPr>
      <w:r>
        <w:t xml:space="preserve">To create VPCs and connect them to the Internet, organizations need networking resources per region. You can use the organization regional network configuration to assign these resources to an organization. Completing this configuration creates an </w:t>
      </w:r>
      <w:r>
        <w:rPr>
          <w:rStyle w:val="InlineCite"/>
        </w:rPr>
        <w:t>NSX Project</w:t>
      </w:r>
      <w:r>
        <w:t xml:space="preserve">, an </w:t>
      </w:r>
      <w:r>
        <w:t>NSX</w:t>
      </w:r>
      <w:r>
        <w:t xml:space="preserve"> Transit Gateway, a default VPC, a default VPC connectivity profile, and an outbound SNAT rule which provide connectivity up to the tier-0 gateway.</w:t>
      </w:r>
    </w:p>
    <w:p>
      <w:pPr>
        <w:pStyle w:val="BodyText"/>
      </w:pPr>
      <w:r>
        <w:t xml:space="preserve">An </w:t>
      </w:r>
      <w:r>
        <w:rPr>
          <w:rStyle w:val="InlineCite"/>
        </w:rPr>
        <w:t>NSX Project</w:t>
      </w:r>
      <w:r>
        <w:t xml:space="preserve"> ties to an organization. It represents the organization in </w:t>
      </w:r>
      <w:r>
        <w:t>NSX Manager</w:t>
      </w:r>
      <w:r>
        <w:t xml:space="preserve">. Each organization has one </w:t>
      </w:r>
      <w:r>
        <w:rPr>
          <w:rStyle w:val="InlineCite"/>
        </w:rPr>
        <w:t>NSX Project</w:t>
      </w:r>
      <w:r>
        <w:t xml:space="preserve"> per </w:t>
      </w:r>
      <w:r>
        <w:t>NSX Manager</w:t>
      </w:r>
      <w:r>
        <w:t>.</w:t>
      </w:r>
    </w:p>
    <w:p>
      <w:pPr>
        <w:pStyle w:val="BodyText"/>
      </w:pPr>
      <w:r>
        <w:t xml:space="preserve">Organizations can use the default VPC and default VPC connectivity profiles to connect networking workloads using the </w:t>
      </w:r>
      <w:r>
        <w:t>Organization Portal</w:t>
      </w:r>
      <w:r>
        <w:t xml:space="preserve">. For more information about VPCs, see </w:t>
      </w:r>
      <w:r>
        <w:t>Virtual Private Cloud in NSX.</w:t>
      </w:r>
    </w:p>
    <w:p>
      <w:pPr>
        <w:pStyle w:val="BodyText"/>
      </w:pPr>
      <w:r>
        <w:rPr>
          <w:rStyle w:val="Strong"/>
        </w:rPr>
        <w:t>Prerequisites</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B4c65419ecb4b4ed1b0e9876456304bf8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VCF Automation Organization for All Applications</w:t>
      </w:r>
      <w:r>
        <w:fldChar w:fldCharType="end"/>
      </w:r>
    </w:p>
    <w:p>
      <w:pPr>
        <w:pStyle w:val="BodyText"/>
      </w:pPr>
      <w:r>
        <w:rPr>
          <w:rStyle w:val="Strong"/>
        </w:rPr>
        <w:t>Procedure</w:t>
      </w:r>
    </w:p>
    <w:p>
      <w:pPr>
        <w:pStyle w:val="BodyText"/>
        <w:numPr>
          <w:numId w:val="63"/>
        </w:numPr>
      </w:pPr>
      <w:r>
        <w:t xml:space="preserve">Log in to the </w:t>
      </w:r>
      <w:r>
        <w:t>.</w:t>
      </w:r>
    </w:p>
    <w:p>
      <w:pPr>
        <w:pStyle w:val="BodyText"/>
        <w:numPr>
          <w:numId w:val="63"/>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63"/>
        </w:numPr>
      </w:pPr>
      <w:r>
        <w:t>Click the name of an organization for all applications.</w:t>
      </w:r>
    </w:p>
    <w:p>
      <w:pPr>
        <w:pStyle w:val="BodyText"/>
        <w:ind w:left="480"/>
      </w:pPr>
      <w:r>
        <w:t xml:space="preserve">The </w:t>
      </w:r>
      <w:r>
        <w:rPr>
          <w:rStyle w:val="InlineUI"/>
        </w:rPr>
        <w:t>Organizations for All Apps</w:t>
      </w:r>
      <w:r>
        <w:t xml:space="preserve"> do not have the </w:t>
      </w:r>
      <w:r>
        <w:rPr>
          <w:rStyle w:val="InlineCode"/>
        </w:rPr>
        <w:t>VM Apps</w:t>
      </w:r>
      <w:r>
        <w:t xml:space="preserve"> label.</w:t>
      </w:r>
    </w:p>
    <w:p>
      <w:pPr>
        <w:pStyle w:val="BodyText"/>
        <w:numPr>
          <w:numId w:val="63"/>
        </w:numPr>
      </w:pPr>
      <w:r>
        <w:t xml:space="preserve">From the secondary left navigation, select </w:t>
      </w:r>
      <w:r>
        <w:rPr>
          <w:rStyle w:val="InlineUI"/>
        </w:rPr>
        <w:t>Networking</w:t>
      </w:r>
      <w:r>
        <w:t>.</w:t>
      </w:r>
    </w:p>
    <w:p>
      <w:pPr>
        <w:pStyle w:val="BodyText"/>
        <w:numPr>
          <w:numId w:val="63"/>
        </w:numPr>
      </w:pPr>
      <w:r>
        <w:t xml:space="preserve">If you do not have a log name for the organization, under </w:t>
      </w:r>
      <w:r>
        <w:rPr>
          <w:rStyle w:val="InlineUI"/>
        </w:rPr>
        <w:t>General</w:t>
      </w:r>
      <w:r>
        <w:t xml:space="preserve">, click </w:t>
      </w:r>
      <w:r>
        <w:rPr>
          <w:rStyle w:val="InlineUI"/>
        </w:rPr>
        <w:t>Edit</w:t>
      </w:r>
      <w:r>
        <w:t>, and enter a name.</w:t>
      </w:r>
    </w:p>
    <w:p>
      <w:pPr>
        <w:pStyle w:val="BodyText"/>
        <w:ind w:left="480"/>
      </w:pPr>
      <w:r>
        <w:t xml:space="preserve">The log name is a tag on the Syslog entries. It is used for identifying logs inside </w:t>
      </w:r>
      <w:r>
        <w:t>NSX</w:t>
      </w:r>
      <w:r>
        <w:t>.</w:t>
      </w:r>
    </w:p>
    <w:p>
      <w:pPr>
        <w:pStyle w:val="BodyText"/>
        <w:numPr>
          <w:numId w:val="63"/>
        </w:numPr>
      </w:pPr>
      <w:r>
        <w:t xml:space="preserve">Under </w:t>
      </w:r>
      <w:r>
        <w:rPr>
          <w:rStyle w:val="InlineUI"/>
        </w:rPr>
        <w:t>Regional Networking</w:t>
      </w:r>
      <w:r>
        <w:t xml:space="preserve">, click </w:t>
      </w:r>
      <w:r>
        <w:rPr>
          <w:rStyle w:val="InlineUI"/>
        </w:rPr>
        <w:t>New</w:t>
      </w:r>
      <w:r>
        <w:t>.</w:t>
      </w:r>
    </w:p>
    <w:p>
      <w:pPr>
        <w:pStyle w:val="BodyText"/>
        <w:numPr>
          <w:numId w:val="63"/>
        </w:numPr>
      </w:pPr>
      <w:r>
        <w:t xml:space="preserve">Select a region, and click </w:t>
      </w:r>
      <w:r>
        <w:rPr>
          <w:rStyle w:val="InlineUI"/>
        </w:rPr>
        <w:t>Next</w:t>
      </w:r>
      <w:r>
        <w:t>.</w:t>
      </w:r>
    </w:p>
    <w:p>
      <w:pPr>
        <w:pStyle w:val="BodyText"/>
        <w:numPr>
          <w:numId w:val="63"/>
        </w:numPr>
      </w:pPr>
      <w:r>
        <w:t xml:space="preserve">Select a provider gateway for the network, and click </w:t>
      </w:r>
      <w:r>
        <w:rPr>
          <w:rStyle w:val="InlineUI"/>
        </w:rPr>
        <w:t>Next</w:t>
      </w:r>
      <w:r>
        <w:t>.</w:t>
      </w:r>
    </w:p>
    <w:p>
      <w:pPr>
        <w:pStyle w:val="BodyText"/>
        <w:ind w:left="480"/>
      </w:pPr>
      <w:r>
        <w:t>The provider gateway is the interface that connects the network of the organization with external networks, such as the Internet.</w:t>
      </w:r>
    </w:p>
    <w:p>
      <w:pPr>
        <w:pStyle w:val="BodyText"/>
        <w:numPr>
          <w:numId w:val="63"/>
        </w:numPr>
      </w:pPr>
      <w:r>
        <w:t>Select the Edge cluster in which you want the VPC services of this organization to run on.</w:t>
      </w:r>
    </w:p>
    <w:p>
      <w:pPr>
        <w:pStyle w:val="BodyText"/>
        <w:ind w:left="480"/>
      </w:pPr>
      <w:r>
        <w:t>You can select the edge cluster associated with the tier-0 provider gateway or another cluster suitable for running VPC services.</w:t>
      </w:r>
    </w:p>
    <w:p>
      <w:pPr>
        <w:pStyle w:val="BodyText"/>
        <w:numPr>
          <w:numId w:val="63"/>
        </w:numPr>
      </w:pPr>
      <w:r>
        <w:t xml:space="preserve">Click </w:t>
      </w:r>
      <w:r>
        <w:rPr>
          <w:rStyle w:val="InlineUI"/>
        </w:rPr>
        <w:t>Next</w:t>
      </w:r>
      <w:r>
        <w:t>.</w:t>
      </w:r>
    </w:p>
    <w:p>
      <w:pPr>
        <w:pStyle w:val="BodyText"/>
        <w:numPr>
          <w:numId w:val="63"/>
        </w:numPr>
      </w:pPr>
      <w:r>
        <w:t xml:space="preserve">Review the network settings and click </w:t>
      </w:r>
      <w:r>
        <w:rPr>
          <w:rStyle w:val="InlineUI"/>
        </w:rPr>
        <w:t>Create</w:t>
      </w:r>
      <w:r>
        <w:t>.</w:t>
      </w:r>
    </w:p>
    <w:p>
      <w:pPr>
        <w:pStyle w:val="Heading3"/>
      </w:pPr>
      <w:bookmarkStart w:id="78" w:name="_Toc256000486"/>
      <w:r>
        <w:t>Override Edge Cluster Default QoS Configuration</w:t>
      </w:r>
      <w:bookmarkEnd w:id="78"/>
    </w:p>
    <w:p>
      <w:pPr>
        <w:pStyle w:val="BodyText"/>
      </w:pPr>
      <w:r>
        <w:t>You can override the default QoS configuration of an Edge cluster and create custom QoS profiles applicable to an organization.</w:t>
      </w:r>
    </w:p>
    <w:p>
      <w:pPr>
        <w:pStyle w:val="BodyText"/>
      </w:pPr>
      <w:r>
        <w:rPr>
          <w:rStyle w:val="Strong"/>
        </w:rPr>
        <w:t>Procedure</w:t>
      </w:r>
    </w:p>
    <w:p>
      <w:pPr>
        <w:pStyle w:val="BodyText"/>
        <w:numPr>
          <w:numId w:val="64"/>
        </w:numPr>
      </w:pPr>
      <w:r>
        <w:t xml:space="preserve">Log in to the </w:t>
      </w:r>
      <w:r>
        <w:t>.</w:t>
      </w:r>
    </w:p>
    <w:p>
      <w:pPr>
        <w:pStyle w:val="BodyText"/>
        <w:numPr>
          <w:numId w:val="64"/>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64"/>
        </w:numPr>
      </w:pPr>
      <w:r>
        <w:t>Click the name of an organization for all applications.</w:t>
      </w:r>
    </w:p>
    <w:p>
      <w:pPr>
        <w:pStyle w:val="BodyText"/>
        <w:ind w:left="480"/>
      </w:pPr>
      <w:r>
        <w:t xml:space="preserve">The </w:t>
      </w:r>
      <w:r>
        <w:rPr>
          <w:rStyle w:val="InlineUI"/>
        </w:rPr>
        <w:t>Organizations for All Apps</w:t>
      </w:r>
      <w:r>
        <w:t xml:space="preserve"> do not have the </w:t>
      </w:r>
      <w:r>
        <w:rPr>
          <w:rStyle w:val="InlineCode"/>
        </w:rPr>
        <w:t>VM Apps</w:t>
      </w:r>
      <w:r>
        <w:t xml:space="preserve"> label.</w:t>
      </w:r>
    </w:p>
    <w:p>
      <w:pPr>
        <w:pStyle w:val="BodyText"/>
        <w:numPr>
          <w:numId w:val="64"/>
        </w:numPr>
      </w:pPr>
      <w:r>
        <w:t xml:space="preserve">From the secondary left panel, select </w:t>
      </w:r>
      <w:r>
        <w:rPr>
          <w:rStyle w:val="InlineUI"/>
        </w:rPr>
        <w:t>Networking</w:t>
      </w:r>
      <w:r>
        <w:t>.</w:t>
      </w:r>
    </w:p>
    <w:p>
      <w:pPr>
        <w:pStyle w:val="BodyText"/>
        <w:numPr>
          <w:numId w:val="64"/>
        </w:numPr>
      </w:pPr>
      <w:r>
        <w:t xml:space="preserve">Under </w:t>
      </w:r>
      <w:r>
        <w:rPr>
          <w:rStyle w:val="InlineUI"/>
        </w:rPr>
        <w:t>Default VPC Connectivity Profile</w:t>
      </w:r>
      <w:r>
        <w:t xml:space="preserve">, click </w:t>
      </w:r>
      <w:r>
        <w:rPr>
          <w:rStyle w:val="InlineUI"/>
        </w:rPr>
        <w:t>Edit</w:t>
      </w:r>
      <w:r>
        <w:t>.</w:t>
      </w:r>
    </w:p>
    <w:p>
      <w:pPr>
        <w:pStyle w:val="BodyText"/>
        <w:numPr>
          <w:numId w:val="64"/>
        </w:numPr>
      </w:pPr>
      <w:r>
        <w:t xml:space="preserve">To override the QoS default settings, turn on the </w:t>
      </w:r>
      <w:r>
        <w:rPr>
          <w:rStyle w:val="InlineUI"/>
        </w:rPr>
        <w:t>Override Edge Cluster Defaults</w:t>
      </w:r>
      <w:r>
        <w:t xml:space="preserve"> toggle.</w:t>
      </w:r>
    </w:p>
    <w:p>
      <w:pPr>
        <w:pStyle w:val="BodyText"/>
        <w:numPr>
          <w:numId w:val="64"/>
        </w:numPr>
      </w:pPr>
      <w:r>
        <w:t>Enter the committed bandwidth limit that you want to set for the traffic.</w:t>
      </w:r>
    </w:p>
    <w:p>
      <w:pPr>
        <w:pStyle w:val="BodyText"/>
        <w:numPr>
          <w:numId w:val="64"/>
        </w:numPr>
      </w:pPr>
      <w:r>
        <w:t>Enter the burst size.</w:t>
      </w:r>
    </w:p>
    <w:p>
      <w:pPr>
        <w:pStyle w:val="BodyText"/>
        <w:numPr>
          <w:numId w:val="64"/>
        </w:numPr>
      </w:pPr>
      <w:r>
        <w:t xml:space="preserve">Click </w:t>
      </w:r>
      <w:r>
        <w:rPr>
          <w:rStyle w:val="InlineUI"/>
        </w:rPr>
        <w:t>Save</w:t>
      </w:r>
      <w:r>
        <w:t>.</w:t>
      </w:r>
    </w:p>
    <w:p>
      <w:pPr>
        <w:pStyle w:val="Heading3"/>
      </w:pPr>
      <w:bookmarkStart w:id="79" w:name="_Toc256000487"/>
      <w:r>
        <w:t>Manage the Storage Classes of a Region Quota</w:t>
      </w:r>
      <w:bookmarkEnd w:id="79"/>
    </w:p>
    <w:p>
      <w:pPr>
        <w:pStyle w:val="BodyText"/>
      </w:pPr>
      <w:r>
        <w:t xml:space="preserve">You can use the </w:t>
      </w:r>
      <w:r>
        <w:t>VCF Automation Provider Management Portal</w:t>
      </w:r>
      <w:r>
        <w:t xml:space="preserve"> to change the storage classes applicable to a region quota.</w:t>
      </w:r>
    </w:p>
    <w:p>
      <w:pPr>
        <w:pStyle w:val="BodyText"/>
      </w:pPr>
      <w:r>
        <w:rPr>
          <w:rStyle w:val="Strong"/>
        </w:rPr>
        <w:t>Procedure</w:t>
      </w:r>
    </w:p>
    <w:p>
      <w:pPr>
        <w:pStyle w:val="BodyText"/>
        <w:numPr>
          <w:numId w:val="65"/>
        </w:numPr>
      </w:pPr>
      <w:r>
        <w:t xml:space="preserve">Log in to the </w:t>
      </w:r>
      <w:r>
        <w:t>.</w:t>
      </w:r>
    </w:p>
    <w:p>
      <w:pPr>
        <w:pStyle w:val="BodyText"/>
        <w:numPr>
          <w:numId w:val="65"/>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65"/>
        </w:numPr>
      </w:pPr>
      <w:r>
        <w:t>Click the name of an organization for all applications.</w:t>
      </w:r>
    </w:p>
    <w:p>
      <w:pPr>
        <w:pStyle w:val="BodyText"/>
        <w:ind w:left="480"/>
      </w:pPr>
      <w:r>
        <w:t xml:space="preserve">The </w:t>
      </w:r>
      <w:r>
        <w:rPr>
          <w:rStyle w:val="InlineUI"/>
        </w:rPr>
        <w:t>Organizations for All Apps</w:t>
      </w:r>
      <w:r>
        <w:t xml:space="preserve"> do not have the </w:t>
      </w:r>
      <w:r>
        <w:rPr>
          <w:rStyle w:val="InlineCode"/>
        </w:rPr>
        <w:t>VM Apps</w:t>
      </w:r>
      <w:r>
        <w:t xml:space="preserve"> label.</w:t>
      </w:r>
    </w:p>
    <w:p>
      <w:pPr>
        <w:pStyle w:val="BodyText"/>
        <w:numPr>
          <w:numId w:val="65"/>
        </w:numPr>
      </w:pPr>
      <w:r>
        <w:t xml:space="preserve">From the secondary left panel, select </w:t>
      </w:r>
      <w:r>
        <w:rPr>
          <w:rStyle w:val="InlineUI"/>
        </w:rPr>
        <w:t>Region Quota</w:t>
      </w:r>
      <w:r>
        <w:t>.</w:t>
      </w:r>
    </w:p>
    <w:p>
      <w:pPr>
        <w:pStyle w:val="BodyText"/>
        <w:numPr>
          <w:numId w:val="65"/>
        </w:numPr>
      </w:pPr>
      <w:r>
        <w:t>Expand the region quota view by clicking the button to the left of the region name.</w:t>
      </w:r>
    </w:p>
    <w:p>
      <w:pPr>
        <w:pStyle w:val="BodyText"/>
        <w:numPr>
          <w:numId w:val="65"/>
        </w:numPr>
      </w:pPr>
      <w:r>
        <w:t xml:space="preserve">Scroll down to the </w:t>
      </w:r>
      <w:r>
        <w:rPr>
          <w:rStyle w:val="InlineUI"/>
        </w:rPr>
        <w:t>Storage Classes</w:t>
      </w:r>
      <w:r>
        <w:t xml:space="preserve"> section.</w:t>
      </w:r>
    </w:p>
    <w:p>
      <w:pPr>
        <w:pStyle w:val="BodyText"/>
        <w:numPr>
          <w:numId w:val="65"/>
        </w:numPr>
      </w:pPr>
      <w:r>
        <w:t xml:space="preserve">To add a storage class, click </w:t>
      </w:r>
      <w:r>
        <w:rPr>
          <w:rStyle w:val="InlineUI"/>
        </w:rPr>
        <w:t>Add</w:t>
      </w:r>
      <w:r>
        <w:t>, select one or more storage classes to include in the regional quota, and set their limits.</w:t>
      </w:r>
    </w:p>
    <w:p>
      <w:pPr>
        <w:pStyle w:val="BodyText"/>
        <w:numPr>
          <w:numId w:val="65"/>
        </w:numPr>
      </w:pPr>
      <w:r>
        <w:t xml:space="preserve">To update the storage class limit, select a storage class, and click </w:t>
      </w:r>
      <w:r>
        <w:rPr>
          <w:rStyle w:val="InlineUI"/>
        </w:rPr>
        <w:t>Edit</w:t>
      </w:r>
      <w:r>
        <w:t>.</w:t>
      </w:r>
    </w:p>
    <w:p>
      <w:pPr>
        <w:pStyle w:val="BodyText"/>
        <w:numPr>
          <w:numId w:val="65"/>
        </w:numPr>
      </w:pPr>
      <w:r>
        <w:t xml:space="preserve">To delete a storage class, select a storage class, and click </w:t>
      </w:r>
      <w:r>
        <w:rPr>
          <w:rStyle w:val="InlineUI"/>
        </w:rPr>
        <w:t>Delete</w:t>
      </w:r>
      <w:r>
        <w:t>.</w:t>
      </w:r>
    </w:p>
    <w:p>
      <w:pPr>
        <w:pStyle w:val="Heading2"/>
      </w:pPr>
      <w:bookmarkStart w:id="80" w:name="_Toc256000488"/>
      <w:r>
        <w:t>Edit an Organization for All Applications</w:t>
      </w:r>
      <w:bookmarkEnd w:id="80"/>
    </w:p>
    <w:p>
      <w:pPr>
        <w:pStyle w:val="BodyText"/>
      </w:pPr>
      <w:r>
        <w:t xml:space="preserve">From the </w:t>
      </w:r>
      <w:r>
        <w:t>VCF Automation Provider Management Portal</w:t>
      </w:r>
      <w:r>
        <w:t xml:space="preserve">, you can edit the settings of an organization using the </w:t>
      </w:r>
      <w:r>
        <w:t>VMware vSphere Supervisor</w:t>
      </w:r>
      <w:r>
        <w:t xml:space="preserve"> capabilities.</w:t>
      </w:r>
    </w:p>
    <w:p>
      <w:pPr>
        <w:pStyle w:val="BodyText"/>
      </w:pPr>
      <w:r>
        <w:rPr>
          <w:rStyle w:val="Strong"/>
        </w:rPr>
        <w:t>Procedure</w:t>
      </w:r>
    </w:p>
    <w:p>
      <w:pPr>
        <w:pStyle w:val="BodyText"/>
        <w:numPr>
          <w:numId w:val="66"/>
        </w:numPr>
      </w:pPr>
      <w:r>
        <w:t xml:space="preserve">Log in to the </w:t>
      </w:r>
      <w:r>
        <w:t>.</w:t>
      </w:r>
    </w:p>
    <w:p>
      <w:pPr>
        <w:pStyle w:val="BodyText"/>
        <w:numPr>
          <w:numId w:val="66"/>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66"/>
        </w:numPr>
      </w:pPr>
      <w:r>
        <w:t>Click the name of an organization for all applications.</w:t>
      </w:r>
    </w:p>
    <w:p>
      <w:pPr>
        <w:pStyle w:val="BodyText"/>
        <w:ind w:left="480"/>
      </w:pPr>
      <w:r>
        <w:t xml:space="preserve">The </w:t>
      </w:r>
      <w:r>
        <w:rPr>
          <w:rStyle w:val="InlineUI"/>
        </w:rPr>
        <w:t>Organizations for All Apps</w:t>
      </w:r>
      <w:r>
        <w:t xml:space="preserve"> do not have the </w:t>
      </w:r>
      <w:r>
        <w:rPr>
          <w:rStyle w:val="InlineCode"/>
        </w:rPr>
        <w:t>VM Apps</w:t>
      </w:r>
      <w:r>
        <w:t xml:space="preserve"> label.</w:t>
      </w:r>
    </w:p>
    <w:p>
      <w:pPr>
        <w:pStyle w:val="BodyText"/>
        <w:numPr>
          <w:numId w:val="66"/>
        </w:numPr>
      </w:pPr>
      <w:r>
        <w:t>(Optional) Edit the general organization settings.</w:t>
      </w:r>
    </w:p>
    <w:p>
      <w:pPr>
        <w:pStyle w:val="BodyText"/>
        <w:numPr>
          <w:ilvl w:val="1"/>
          <w:numId w:val="66"/>
        </w:numPr>
      </w:pPr>
      <w:r>
        <w:t xml:space="preserve">(Optional) Edit the organization name that appears in </w:t>
      </w:r>
      <w:r>
        <w:t>VCF Automation</w:t>
      </w:r>
      <w:r>
        <w:t>.</w:t>
      </w:r>
    </w:p>
    <w:p>
      <w:pPr>
        <w:pStyle w:val="BodyText"/>
        <w:ind w:left="960"/>
      </w:pPr>
      <w:r>
        <w:t>You cannot edit the unique identifier that forms the URL for accessing the organization.</w:t>
      </w:r>
    </w:p>
    <w:p>
      <w:pPr>
        <w:pStyle w:val="BodyText"/>
        <w:numPr>
          <w:ilvl w:val="1"/>
          <w:numId w:val="66"/>
        </w:numPr>
      </w:pPr>
      <w:r>
        <w:t>(Optional) Edit the description of the organization.</w:t>
      </w:r>
    </w:p>
    <w:p>
      <w:pPr>
        <w:pStyle w:val="BodyText"/>
        <w:numPr>
          <w:ilvl w:val="1"/>
          <w:numId w:val="66"/>
        </w:numPr>
      </w:pPr>
      <w:r>
        <w:t xml:space="preserve">Click </w:t>
      </w:r>
      <w:r>
        <w:rPr>
          <w:rStyle w:val="InlineUI"/>
        </w:rPr>
        <w:t>Save</w:t>
      </w:r>
      <w:r>
        <w:t>.</w:t>
      </w:r>
    </w:p>
    <w:p>
      <w:pPr>
        <w:pStyle w:val="BodyText"/>
        <w:numPr>
          <w:numId w:val="66"/>
        </w:numPr>
      </w:pPr>
      <w:r>
        <w:t>(Optional) Allow the organization to create subscribed content libraries.</w:t>
      </w:r>
    </w:p>
    <w:p>
      <w:pPr>
        <w:pStyle w:val="BodyText"/>
        <w:ind w:left="480"/>
      </w:pPr>
      <w:r>
        <w:t>You can create a subscribed content library when you want to share it with other organizations. The subscribed content library is read-only for the subscribing organizations.</w:t>
      </w:r>
    </w:p>
    <w:p>
      <w:pPr>
        <w:pStyle w:val="BodyText"/>
        <w:numPr>
          <w:ilvl w:val="1"/>
          <w:numId w:val="66"/>
        </w:numPr>
      </w:pPr>
      <w:r>
        <w:t xml:space="preserve">From the secondary left panel, select </w:t>
      </w:r>
      <w:r>
        <w:rPr>
          <w:rStyle w:val="InlineUI"/>
        </w:rPr>
        <w:t>Settings</w:t>
      </w:r>
      <w:r>
        <w:t xml:space="preserve">, and click </w:t>
      </w:r>
      <w:r>
        <w:rPr>
          <w:rStyle w:val="InlineUI"/>
        </w:rPr>
        <w:t>Edit</w:t>
      </w:r>
      <w:r>
        <w:t>.</w:t>
      </w:r>
    </w:p>
    <w:p>
      <w:pPr>
        <w:pStyle w:val="BodyText"/>
        <w:numPr>
          <w:ilvl w:val="1"/>
          <w:numId w:val="66"/>
        </w:numPr>
      </w:pPr>
      <w:r>
        <w:t xml:space="preserve">Turn on the </w:t>
      </w:r>
      <w:r>
        <w:rPr>
          <w:rStyle w:val="InlineUI"/>
        </w:rPr>
        <w:t>Allow this organization to create subscribed content libraries</w:t>
      </w:r>
      <w:r>
        <w:t xml:space="preserve"> toggle, and click </w:t>
      </w:r>
      <w:r>
        <w:rPr>
          <w:rStyle w:val="InlineUI"/>
        </w:rPr>
        <w:t>Save</w:t>
      </w:r>
      <w:r>
        <w:t>.</w:t>
      </w:r>
    </w:p>
    <w:p>
      <w:pPr>
        <w:pStyle w:val="BodyText"/>
        <w:numPr>
          <w:numId w:val="66"/>
        </w:numPr>
      </w:pPr>
      <w:r>
        <w:t>(Optional) Activate the validation of uploaded content library items.</w:t>
      </w:r>
    </w:p>
    <w:p>
      <w:pPr>
        <w:pStyle w:val="BodyText"/>
        <w:ind w:left="480"/>
      </w:pPr>
      <w:r>
        <w:t>When this option is active, the upload files of the organization remain in a temporary storage area awaiting your validation. You must write an extension against the blocked tasks, and scan the directory where the files are located.</w:t>
      </w:r>
    </w:p>
    <w:p>
      <w:pPr>
        <w:pStyle w:val="BodyText"/>
        <w:numPr>
          <w:ilvl w:val="1"/>
          <w:numId w:val="66"/>
        </w:numPr>
      </w:pPr>
      <w:r>
        <w:t xml:space="preserve">From the secondary left panel, select </w:t>
      </w:r>
      <w:r>
        <w:rPr>
          <w:rStyle w:val="InlineUI"/>
        </w:rPr>
        <w:t>Settings</w:t>
      </w:r>
      <w:r>
        <w:t xml:space="preserve">, and click </w:t>
      </w:r>
      <w:r>
        <w:rPr>
          <w:rStyle w:val="InlineUI"/>
        </w:rPr>
        <w:t>Edit</w:t>
      </w:r>
      <w:r>
        <w:t>.</w:t>
      </w:r>
    </w:p>
    <w:p>
      <w:pPr>
        <w:pStyle w:val="BodyText"/>
        <w:numPr>
          <w:ilvl w:val="1"/>
          <w:numId w:val="66"/>
        </w:numPr>
      </w:pPr>
      <w:r>
        <w:t xml:space="preserve">Turn on the </w:t>
      </w:r>
      <w:r>
        <w:rPr>
          <w:rStyle w:val="InlineUI"/>
        </w:rPr>
        <w:t>Enable blocking of content library items upload</w:t>
      </w:r>
      <w:r>
        <w:t xml:space="preserve"> toggle, and click </w:t>
      </w:r>
      <w:r>
        <w:rPr>
          <w:rStyle w:val="InlineUI"/>
        </w:rPr>
        <w:t>Save</w:t>
      </w:r>
      <w:r>
        <w:t>.</w:t>
      </w:r>
    </w:p>
    <w:p>
      <w:pPr>
        <w:pStyle w:val="Heading2"/>
      </w:pPr>
      <w:bookmarkStart w:id="81" w:name="_Toc256000489"/>
      <w:r>
        <w:t>Edit an Organization for VM Applications</w:t>
      </w:r>
      <w:bookmarkEnd w:id="81"/>
    </w:p>
    <w:p>
      <w:pPr>
        <w:pStyle w:val="BodyText"/>
      </w:pPr>
      <w:r>
        <w:t xml:space="preserve">From the </w:t>
      </w:r>
      <w:r>
        <w:t>VCF Automation Provider Management Portal</w:t>
      </w:r>
      <w:r>
        <w:t xml:space="preserve">, you can edit the settings of an organization using </w:t>
      </w:r>
      <w:r>
        <w:t>vSphere</w:t>
      </w:r>
      <w:r>
        <w:t xml:space="preserve"> cluster capabilities.</w:t>
      </w:r>
    </w:p>
    <w:p>
      <w:pPr>
        <w:pStyle w:val="BodyText"/>
      </w:pPr>
      <w:r>
        <w:rPr>
          <w:rStyle w:val="Strong"/>
        </w:rPr>
        <w:t>Procedure</w:t>
      </w:r>
    </w:p>
    <w:p>
      <w:pPr>
        <w:pStyle w:val="BodyText"/>
        <w:numPr>
          <w:numId w:val="67"/>
        </w:numPr>
      </w:pPr>
      <w:r>
        <w:t xml:space="preserve">Log in to the </w:t>
      </w:r>
      <w:r>
        <w:t>.</w:t>
      </w:r>
    </w:p>
    <w:p>
      <w:pPr>
        <w:pStyle w:val="BodyText"/>
        <w:numPr>
          <w:numId w:val="67"/>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67"/>
        </w:numPr>
      </w:pPr>
      <w:r>
        <w:t xml:space="preserve">Click the name of an organization with </w:t>
      </w:r>
      <w:r>
        <w:rPr>
          <w:rStyle w:val="InlineCode"/>
        </w:rPr>
        <w:t>VM Apps</w:t>
      </w:r>
      <w:r>
        <w:t xml:space="preserve"> label.</w:t>
      </w:r>
    </w:p>
    <w:p>
      <w:pPr>
        <w:pStyle w:val="BodyText"/>
        <w:numPr>
          <w:numId w:val="67"/>
        </w:numPr>
      </w:pPr>
      <w:r>
        <w:t xml:space="preserve">Click </w:t>
      </w:r>
      <w:r>
        <w:rPr>
          <w:rStyle w:val="InlineUI"/>
        </w:rPr>
        <w:t>Edit</w:t>
      </w:r>
      <w:r>
        <w:t>.</w:t>
      </w:r>
    </w:p>
    <w:p>
      <w:pPr>
        <w:pStyle w:val="BodyText"/>
        <w:numPr>
          <w:numId w:val="67"/>
        </w:numPr>
      </w:pPr>
      <w:r>
        <w:t xml:space="preserve">(Optional) Edit the organization name that appears in </w:t>
      </w:r>
      <w:r>
        <w:t>VCF Automation</w:t>
      </w:r>
      <w:r>
        <w:t>.</w:t>
      </w:r>
    </w:p>
    <w:p>
      <w:pPr>
        <w:pStyle w:val="BodyText"/>
        <w:ind w:left="480"/>
      </w:pPr>
      <w:r>
        <w:t>You cannot edit the unique identifier that forms the URL for accessing the organization.</w:t>
      </w:r>
    </w:p>
    <w:p>
      <w:pPr>
        <w:pStyle w:val="BodyText"/>
        <w:numPr>
          <w:numId w:val="67"/>
        </w:numPr>
      </w:pPr>
      <w:r>
        <w:t>(Optional) Edit the description of the organization.</w:t>
      </w:r>
    </w:p>
    <w:p>
      <w:pPr>
        <w:pStyle w:val="BodyText"/>
        <w:numPr>
          <w:numId w:val="67"/>
        </w:numPr>
      </w:pPr>
      <w:r>
        <w:t xml:space="preserve">Click </w:t>
      </w:r>
      <w:r>
        <w:rPr>
          <w:rStyle w:val="InlineUI"/>
        </w:rPr>
        <w:t>Save</w:t>
      </w:r>
      <w:r>
        <w:t>.</w:t>
      </w:r>
    </w:p>
    <w:p>
      <w:pPr>
        <w:pStyle w:val="Heading2"/>
      </w:pPr>
      <w:bookmarkStart w:id="82" w:name="B70b8087dfa9c480da1fa8cb8fb194051"/>
      <w:bookmarkStart w:id="83" w:name="_Toc256000490"/>
      <w:r>
        <w:t>Activate or Deactivate a VCF Automation Organization</w:t>
      </w:r>
      <w:bookmarkEnd w:id="83"/>
      <w:bookmarkEnd w:id="82"/>
    </w:p>
    <w:p>
      <w:pPr>
        <w:pStyle w:val="BodyText"/>
      </w:pPr>
      <w:r>
        <w:t xml:space="preserve">Deactivating a </w:t>
      </w:r>
      <w:r>
        <w:t>VCF Automation</w:t>
      </w:r>
      <w:r>
        <w:t xml:space="preserve"> organization prevents users from logging in to the organization and terminates the sessions of users that are currently logged in.</w:t>
      </w:r>
    </w:p>
    <w:p>
      <w:pPr>
        <w:pStyle w:val="BodyText"/>
      </w:pPr>
      <w:r>
        <w:t xml:space="preserve">As a </w:t>
      </w:r>
      <w:r>
        <w:rPr>
          <w:rStyle w:val="InlineUI"/>
        </w:rPr>
        <w:t>Provider Administrator</w:t>
      </w:r>
      <w:r>
        <w:t>, you can allocate resources, add networks, and so on, even after you deactivate an organization.</w:t>
      </w:r>
    </w:p>
    <w:p>
      <w:pPr>
        <w:pStyle w:val="BodyText"/>
      </w:pPr>
      <w:r>
        <w:rPr>
          <w:rStyle w:val="Strong"/>
        </w:rPr>
        <w:t>Procedure</w:t>
      </w:r>
    </w:p>
    <w:p>
      <w:pPr>
        <w:pStyle w:val="BodyText"/>
        <w:numPr>
          <w:numId w:val="68"/>
        </w:numPr>
      </w:pPr>
      <w:r>
        <w:t xml:space="preserve">Log in to the </w:t>
      </w:r>
      <w:r>
        <w:t>.</w:t>
      </w:r>
    </w:p>
    <w:p>
      <w:pPr>
        <w:pStyle w:val="BodyText"/>
        <w:numPr>
          <w:numId w:val="68"/>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68"/>
        </w:numPr>
      </w:pPr>
      <w:r>
        <w:t>Click the vertical ellipsis (</w:t>
      </w:r>
      <w:r>
        <w:t xml:space="preserve">) next to the name of the organization, and click </w:t>
      </w:r>
      <w:r>
        <w:rPr>
          <w:rStyle w:val="InlineUI"/>
        </w:rPr>
        <w:t>Enable</w:t>
      </w:r>
      <w:r>
        <w:t xml:space="preserve"> or </w:t>
      </w:r>
      <w:r>
        <w:rPr>
          <w:rStyle w:val="InlineUI"/>
        </w:rPr>
        <w:t>Disable</w:t>
      </w:r>
      <w:r>
        <w:t>.</w:t>
      </w:r>
    </w:p>
    <w:p>
      <w:pPr>
        <w:pStyle w:val="BodyText"/>
        <w:numPr>
          <w:numId w:val="68"/>
        </w:numPr>
      </w:pPr>
      <w:r>
        <w:t xml:space="preserve">To confirm, click </w:t>
      </w:r>
      <w:r>
        <w:rPr>
          <w:rStyle w:val="InlineUI"/>
        </w:rPr>
        <w:t>Disable</w:t>
      </w:r>
      <w:r>
        <w:t>.</w:t>
      </w:r>
    </w:p>
    <w:p>
      <w:pPr>
        <w:pStyle w:val="Heading2"/>
      </w:pPr>
      <w:bookmarkStart w:id="84" w:name="_Toc256000491"/>
      <w:r>
        <w:t>Delete a VCF Automation Organization</w:t>
      </w:r>
      <w:bookmarkEnd w:id="84"/>
    </w:p>
    <w:p>
      <w:pPr>
        <w:pStyle w:val="BodyText"/>
      </w:pPr>
      <w:r>
        <w:t xml:space="preserve">You can use the </w:t>
      </w:r>
      <w:r>
        <w:t>VCF Automation Provider Management Portal</w:t>
      </w:r>
      <w:r>
        <w:t xml:space="preserve"> to delete an organization and permanently remove it from </w:t>
      </w:r>
      <w:r>
        <w:t>VCF Automation</w:t>
      </w:r>
      <w:r>
        <w:t>.</w:t>
      </w:r>
    </w:p>
    <w:p>
      <w:pPr>
        <w:pStyle w:val="BodyText"/>
      </w:pPr>
      <w:r>
        <w:rPr>
          <w:rStyle w:val="Strong"/>
        </w:rPr>
        <w:t>Prerequisites</w:t>
      </w:r>
    </w:p>
    <w:p>
      <w:pPr>
        <w:pStyle w:val="BodyText"/>
        <w:numPr>
          <w:numId w:val="69"/>
        </w:numPr>
      </w:pPr>
      <w:r>
        <w:t xml:space="preserve">Deactivate the organization,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B70b8087dfa9c480da1fa8cb8fb194051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Activate or Deactivate a VCF Automation Organization</w:t>
      </w:r>
      <w:r>
        <w:fldChar w:fldCharType="end"/>
      </w:r>
      <w:r>
        <w:t>.</w:t>
      </w:r>
    </w:p>
    <w:p>
      <w:pPr>
        <w:pStyle w:val="BodyText"/>
        <w:numPr>
          <w:numId w:val="69"/>
        </w:numPr>
      </w:pPr>
      <w:r>
        <w:t xml:space="preserve">IF you want to delete an </w:t>
      </w:r>
      <w:r>
        <w:rPr>
          <w:rStyle w:val="InlineUI"/>
        </w:rPr>
        <w:t>Organization for All Apps,</w:t>
      </w:r>
      <w:r>
        <w:t xml:space="preserve"> delete all region quotas of the organization,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B31f47efab3a943ba9fdffc95067ccf09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Delete a VCF Automation Region Quota</w:t>
      </w:r>
      <w:r>
        <w:fldChar w:fldCharType="end"/>
      </w:r>
      <w:r>
        <w:t>.</w:t>
      </w:r>
    </w:p>
    <w:p>
      <w:pPr>
        <w:pStyle w:val="BodyText"/>
      </w:pPr>
      <w:r>
        <w:rPr>
          <w:rStyle w:val="Strong"/>
        </w:rPr>
        <w:t>Procedure</w:t>
      </w:r>
    </w:p>
    <w:p>
      <w:pPr>
        <w:pStyle w:val="BodyText"/>
        <w:numPr>
          <w:numId w:val="70"/>
        </w:numPr>
      </w:pPr>
      <w:r>
        <w:t xml:space="preserve">Log in to the </w:t>
      </w:r>
      <w:r>
        <w:t>.</w:t>
      </w:r>
    </w:p>
    <w:p>
      <w:pPr>
        <w:pStyle w:val="BodyText"/>
        <w:numPr>
          <w:numId w:val="70"/>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70"/>
        </w:numPr>
      </w:pPr>
      <w:r>
        <w:t>Click the vertical ellipsis (</w:t>
      </w:r>
      <w:r>
        <w:t xml:space="preserve">) next to the name of the organization, and click </w:t>
      </w:r>
      <w:r>
        <w:rPr>
          <w:rStyle w:val="InlineUI"/>
        </w:rPr>
        <w:t>Delete</w:t>
      </w:r>
      <w:r>
        <w:t>.</w:t>
      </w:r>
    </w:p>
    <w:p>
      <w:pPr>
        <w:pStyle w:val="BodyText"/>
        <w:numPr>
          <w:numId w:val="70"/>
        </w:numPr>
      </w:pPr>
      <w:r>
        <w:t xml:space="preserve">To confirm, click </w:t>
      </w:r>
      <w:r>
        <w:rPr>
          <w:rStyle w:val="InlineUI"/>
        </w:rPr>
        <w:t>Delete</w:t>
      </w:r>
      <w:r>
        <w:t>.</w:t>
      </w:r>
    </w:p>
    <w:p>
      <w:pPr>
        <w:pStyle w:val="Heading2"/>
      </w:pPr>
      <w:bookmarkStart w:id="85" w:name="Bb5246ff2597c4391872c337c2a365e73"/>
      <w:bookmarkStart w:id="86" w:name="_Toc256000492"/>
      <w:r>
        <w:t>Region Quota of a VCF Automation Organization</w:t>
      </w:r>
      <w:bookmarkEnd w:id="86"/>
      <w:bookmarkEnd w:id="85"/>
    </w:p>
    <w:p>
      <w:pPr>
        <w:pStyle w:val="BodyText"/>
      </w:pPr>
      <w:r>
        <w:t>A region quota defines the compute and storage quota that an organization gets against a given region. Region quotas are applicable only to organizations for all applications.</w:t>
      </w:r>
    </w:p>
    <w:p>
      <w:pPr>
        <w:pStyle w:val="BodyText"/>
      </w:pPr>
      <w:r>
        <w:t>One organization can get a quota from more than one region. For a multi-zone region, you can give quotas to organizations for all of the zones or a subset of the zones. When creating a region quota for an organization, you must give a quota for at least one zone from the region. You can assign compute capacity and vGPU Reserved VM class capacity only on a per zone basis. vGPU Reserved VM class capacity is optional and applicable only for environments where vGPUs are present. Storage classes and VM classes are not given on a per-zone basis and apply to all the zones that are part of the region quota.</w:t>
      </w:r>
    </w:p>
    <w:p>
      <w:pPr>
        <w:pStyle w:val="BodyText"/>
        <w:pBdr>
          <w:top w:val="single" w:sz="8" w:space="2" w:color="D3D3D3"/>
          <w:bottom w:val="single" w:sz="8" w:space="2" w:color="D3D3D3"/>
        </w:pBdr>
      </w:pPr>
      <w:r>
        <w:rPr>
          <w:rStyle w:val="NoteLeadernote"/>
        </w:rPr>
        <w:t>Note</w:t>
        <w:tab/>
      </w:r>
      <w:r>
        <w:t xml:space="preserve">You cannot set a region quota for </w:t>
      </w:r>
      <w:r>
        <w:rPr>
          <w:rStyle w:val="InlineCode"/>
        </w:rPr>
        <w:t>VM Apps</w:t>
      </w:r>
      <w:r>
        <w:t xml:space="preserve"> organizations, and you cannot set a region quota with unlimited capacity.</w:t>
      </w:r>
    </w:p>
    <w:p>
      <w:pPr>
        <w:pStyle w:val="BodyText"/>
      </w:pPr>
      <w:r>
        <w:t>Region quotas constrain the ability of organization users to consume storage and processing resources. One organization cannot get more than one region quota from a given region. An organization can get many region quotas if each region quota is coming from a different region.</w:t>
      </w:r>
    </w:p>
    <w:p>
      <w:pPr>
        <w:pStyle w:val="Heading3"/>
      </w:pPr>
      <w:bookmarkStart w:id="87" w:name="Bdd33c188c1e24386ae109da1247d6d65"/>
      <w:bookmarkStart w:id="88" w:name="_Toc256000493"/>
      <w:r>
        <w:t>Add Region Quota to a VCF Automation Organization</w:t>
      </w:r>
      <w:bookmarkEnd w:id="88"/>
      <w:bookmarkEnd w:id="87"/>
    </w:p>
    <w:p>
      <w:pPr>
        <w:pStyle w:val="BodyText"/>
      </w:pPr>
      <w:r>
        <w:t xml:space="preserve">You must add one or more region quotas to a </w:t>
      </w:r>
      <w:r>
        <w:t>VCF Automation</w:t>
      </w:r>
      <w:r>
        <w:t xml:space="preserve"> organization for it to create </w:t>
      </w:r>
      <w:r>
        <w:t>vSphere</w:t>
      </w:r>
      <w:r>
        <w:t xml:space="preserve"> Namespaces and content libraries.</w:t>
      </w:r>
    </w:p>
    <w:p>
      <w:pPr>
        <w:pStyle w:val="BodyText"/>
      </w:pPr>
      <w:r>
        <w:rPr>
          <w:rStyle w:val="Strong"/>
        </w:rPr>
        <w:t>Procedure</w:t>
      </w:r>
    </w:p>
    <w:p>
      <w:pPr>
        <w:pStyle w:val="BodyText"/>
        <w:numPr>
          <w:numId w:val="71"/>
        </w:numPr>
      </w:pPr>
      <w:r>
        <w:t xml:space="preserve">Log in to the </w:t>
      </w:r>
      <w:r>
        <w:t>.</w:t>
      </w:r>
    </w:p>
    <w:p>
      <w:pPr>
        <w:pStyle w:val="BodyText"/>
        <w:numPr>
          <w:numId w:val="71"/>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71"/>
        </w:numPr>
      </w:pPr>
      <w:r>
        <w:t>Click the name of an organization for all applications.</w:t>
      </w:r>
    </w:p>
    <w:p>
      <w:pPr>
        <w:pStyle w:val="BodyText"/>
        <w:ind w:left="480"/>
      </w:pPr>
      <w:r>
        <w:t xml:space="preserve">The </w:t>
      </w:r>
      <w:r>
        <w:rPr>
          <w:rStyle w:val="InlineUI"/>
        </w:rPr>
        <w:t>Organizations for All Apps</w:t>
      </w:r>
      <w:r>
        <w:t xml:space="preserve"> do not have the </w:t>
      </w:r>
      <w:r>
        <w:rPr>
          <w:rStyle w:val="InlineCode"/>
        </w:rPr>
        <w:t>VM Apps</w:t>
      </w:r>
      <w:r>
        <w:t xml:space="preserve"> label.</w:t>
      </w:r>
    </w:p>
    <w:p>
      <w:pPr>
        <w:pStyle w:val="BodyText"/>
        <w:numPr>
          <w:numId w:val="71"/>
        </w:numPr>
      </w:pPr>
      <w:r>
        <w:t xml:space="preserve">From the secondary left panel, select </w:t>
      </w:r>
      <w:r>
        <w:rPr>
          <w:rStyle w:val="InlineUI"/>
        </w:rPr>
        <w:t>Region Quota</w:t>
      </w:r>
      <w:r>
        <w:t>.</w:t>
      </w:r>
    </w:p>
    <w:p>
      <w:pPr>
        <w:pStyle w:val="BodyText"/>
        <w:numPr>
          <w:numId w:val="71"/>
        </w:numPr>
      </w:pPr>
      <w:r>
        <w:t xml:space="preserve">Click </w:t>
      </w:r>
      <w:r>
        <w:rPr>
          <w:rStyle w:val="InlineUI"/>
        </w:rPr>
        <w:t>New</w:t>
      </w:r>
      <w:r>
        <w:t>.</w:t>
      </w:r>
    </w:p>
    <w:p>
      <w:pPr>
        <w:pStyle w:val="BodyText"/>
        <w:numPr>
          <w:numId w:val="71"/>
        </w:numPr>
      </w:pPr>
      <w:r>
        <w:t xml:space="preserve">Select the region and </w:t>
      </w:r>
      <w:r>
        <w:t>Supervisor</w:t>
      </w:r>
      <w:r>
        <w:t xml:space="preserve"> from which you want to add a zone.</w:t>
      </w:r>
    </w:p>
    <w:p>
      <w:pPr>
        <w:pStyle w:val="BodyText"/>
        <w:numPr>
          <w:numId w:val="71"/>
        </w:numPr>
      </w:pPr>
      <w:r>
        <w:t>Add one or more zones and assign CPU and memory limits and reservations.</w:t>
      </w:r>
    </w:p>
    <w:p>
      <w:pPr>
        <w:pStyle w:val="BodyText"/>
        <w:numPr>
          <w:numId w:val="71"/>
        </w:numPr>
      </w:pPr>
      <w:r>
        <w:t xml:space="preserve">Click </w:t>
      </w:r>
      <w:r>
        <w:rPr>
          <w:rStyle w:val="InlineUI"/>
        </w:rPr>
        <w:t>Assign and Continue</w:t>
      </w:r>
      <w:r>
        <w:t>.</w:t>
      </w:r>
    </w:p>
    <w:p>
      <w:pPr>
        <w:pStyle w:val="BodyText"/>
        <w:numPr>
          <w:numId w:val="71"/>
        </w:numPr>
      </w:pPr>
      <w:r>
        <w:t>Select one or more VM classes and one or more storage classes applicable to the organization.</w:t>
      </w:r>
    </w:p>
    <w:p>
      <w:pPr>
        <w:pStyle w:val="BodyText"/>
        <w:ind w:left="480"/>
      </w:pPr>
      <w:r>
        <w:t xml:space="preserve">The list shows all VM and storage classes available in the selected </w:t>
      </w:r>
      <w:r>
        <w:t>Supervisor</w:t>
      </w:r>
      <w:r>
        <w:t>. You cannot assign a guaranteed VM class to a region quota that has 0 reservation. When adding storage classes, you can also edit the storage limit for the storage class.</w:t>
      </w:r>
    </w:p>
    <w:p>
      <w:pPr>
        <w:pStyle w:val="BodyText"/>
        <w:numPr>
          <w:numId w:val="71"/>
        </w:numPr>
      </w:pPr>
      <w:r>
        <w:t xml:space="preserve">Click </w:t>
      </w:r>
      <w:r>
        <w:rPr>
          <w:rStyle w:val="InlineUI"/>
        </w:rPr>
        <w:t>Assign and Continue</w:t>
      </w:r>
      <w:r>
        <w:t>.</w:t>
      </w:r>
    </w:p>
    <w:p>
      <w:pPr>
        <w:pStyle w:val="Heading3"/>
      </w:pPr>
      <w:bookmarkStart w:id="89" w:name="_Toc256000494"/>
      <w:r>
        <w:t>Edit the Zones of a Region Quota</w:t>
      </w:r>
      <w:bookmarkEnd w:id="89"/>
    </w:p>
    <w:p>
      <w:pPr>
        <w:pStyle w:val="BodyText"/>
      </w:pPr>
      <w:r>
        <w:t xml:space="preserve">After you create a full allocation region quota, you can use the </w:t>
      </w:r>
      <w:r>
        <w:t>VCF Automation Provider Management Portal</w:t>
      </w:r>
      <w:r>
        <w:t xml:space="preserve"> to change the zones and their resources which are allocated to an organization.</w:t>
      </w:r>
    </w:p>
    <w:p>
      <w:pPr>
        <w:pStyle w:val="BodyText"/>
      </w:pPr>
      <w:r>
        <w:rPr>
          <w:rStyle w:val="Strong"/>
        </w:rPr>
        <w:t>Procedure</w:t>
      </w:r>
    </w:p>
    <w:p>
      <w:pPr>
        <w:pStyle w:val="BodyText"/>
        <w:numPr>
          <w:numId w:val="72"/>
        </w:numPr>
      </w:pPr>
      <w:r>
        <w:t xml:space="preserve">Log in to the </w:t>
      </w:r>
      <w:r>
        <w:t>.</w:t>
      </w:r>
    </w:p>
    <w:p>
      <w:pPr>
        <w:pStyle w:val="BodyText"/>
        <w:numPr>
          <w:numId w:val="72"/>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72"/>
        </w:numPr>
      </w:pPr>
      <w:r>
        <w:t>Click the name of an organization for all applications.</w:t>
      </w:r>
    </w:p>
    <w:p>
      <w:pPr>
        <w:pStyle w:val="BodyText"/>
        <w:ind w:left="480"/>
      </w:pPr>
      <w:r>
        <w:t xml:space="preserve">The </w:t>
      </w:r>
      <w:r>
        <w:rPr>
          <w:rStyle w:val="InlineUI"/>
        </w:rPr>
        <w:t>Organizations for All Apps</w:t>
      </w:r>
      <w:r>
        <w:t xml:space="preserve"> do not have the </w:t>
      </w:r>
      <w:r>
        <w:rPr>
          <w:rStyle w:val="InlineCode"/>
        </w:rPr>
        <w:t>VM Apps</w:t>
      </w:r>
      <w:r>
        <w:t xml:space="preserve"> label.</w:t>
      </w:r>
    </w:p>
    <w:p>
      <w:pPr>
        <w:pStyle w:val="BodyText"/>
        <w:numPr>
          <w:numId w:val="72"/>
        </w:numPr>
      </w:pPr>
      <w:r>
        <w:t xml:space="preserve">From the secondary left panel, select </w:t>
      </w:r>
      <w:r>
        <w:rPr>
          <w:rStyle w:val="InlineUI"/>
        </w:rPr>
        <w:t>Region Quota</w:t>
      </w:r>
      <w:r>
        <w:t>.</w:t>
      </w:r>
    </w:p>
    <w:p>
      <w:pPr>
        <w:pStyle w:val="BodyText"/>
        <w:numPr>
          <w:numId w:val="72"/>
        </w:numPr>
      </w:pPr>
      <w:r>
        <w:t>Expand the region quota view by clicking the button to the left of the region name.</w:t>
      </w:r>
    </w:p>
    <w:p>
      <w:pPr>
        <w:pStyle w:val="BodyText"/>
        <w:numPr>
          <w:numId w:val="72"/>
        </w:numPr>
      </w:pPr>
      <w:r>
        <w:t xml:space="preserve">Under the </w:t>
      </w:r>
      <w:r>
        <w:rPr>
          <w:rStyle w:val="InlineUI"/>
        </w:rPr>
        <w:t>Capacity</w:t>
      </w:r>
      <w:r>
        <w:t xml:space="preserve"> section, click </w:t>
      </w:r>
      <w:r>
        <w:rPr>
          <w:rStyle w:val="InlineUI"/>
        </w:rPr>
        <w:t>Add</w:t>
      </w:r>
      <w:r>
        <w:t>.</w:t>
      </w:r>
    </w:p>
    <w:p>
      <w:pPr>
        <w:pStyle w:val="BodyText"/>
        <w:numPr>
          <w:numId w:val="72"/>
        </w:numPr>
      </w:pPr>
      <w:r>
        <w:t xml:space="preserve">If you want to share with the organization the full capacity of the selected region, select the </w:t>
      </w:r>
      <w:r>
        <w:rPr>
          <w:rStyle w:val="InlineUI"/>
        </w:rPr>
        <w:t>Add all zones and apply the same limits and reservations across all zones.</w:t>
      </w:r>
      <w:r>
        <w:t xml:space="preserve"> check box.</w:t>
      </w:r>
    </w:p>
    <w:p>
      <w:pPr>
        <w:pStyle w:val="BodyText"/>
        <w:numPr>
          <w:numId w:val="72"/>
        </w:numPr>
      </w:pPr>
      <w:r>
        <w:t xml:space="preserve">If you want to share part of the region capacity with the organization, deselect the </w:t>
      </w:r>
      <w:r>
        <w:rPr>
          <w:rStyle w:val="InlineUI"/>
        </w:rPr>
        <w:t>Add all zones and apply the same limits and reservations across all zones.</w:t>
      </w:r>
      <w:r>
        <w:t xml:space="preserve"> check box and share selected resources with the organization.</w:t>
      </w:r>
    </w:p>
    <w:p>
      <w:pPr>
        <w:pStyle w:val="BodyText"/>
        <w:numPr>
          <w:numId w:val="72"/>
        </w:numPr>
      </w:pPr>
      <w:r>
        <w:t>Add, edit, or delete zones and resources from the region quota.</w:t>
      </w:r>
    </w:p>
    <w:p>
      <w:pPr>
        <w:pStyle w:val="BodyText"/>
        <w:ind w:left="480"/>
      </w:pPr>
      <w:r>
        <w:t>Any changes you make to the zones of the parent region also affect the zones for any child full allocation region quota.</w:t>
      </w:r>
    </w:p>
    <w:p>
      <w:pPr>
        <w:pStyle w:val="BodyText"/>
        <w:numPr>
          <w:numId w:val="72"/>
        </w:numPr>
      </w:pPr>
      <w:r>
        <w:t xml:space="preserve">Click </w:t>
      </w:r>
      <w:r>
        <w:rPr>
          <w:rStyle w:val="InlineUI"/>
        </w:rPr>
        <w:t>Save</w:t>
      </w:r>
      <w:r>
        <w:t>.</w:t>
      </w:r>
    </w:p>
    <w:p>
      <w:pPr>
        <w:pStyle w:val="Heading3"/>
      </w:pPr>
      <w:bookmarkStart w:id="90" w:name="_Toc256000495"/>
      <w:r>
        <w:t>Edit the VM Classes, Storage Classes, and Reserved VM Classes of a Region Quota</w:t>
      </w:r>
      <w:bookmarkEnd w:id="90"/>
    </w:p>
    <w:p>
      <w:pPr>
        <w:pStyle w:val="BodyText"/>
      </w:pPr>
      <w:r>
        <w:t xml:space="preserve">You can use the </w:t>
      </w:r>
      <w:r>
        <w:t>VCF Automation Provider Management Portal</w:t>
      </w:r>
      <w:r>
        <w:t xml:space="preserve"> to change which VM classes are available for this organization in this region.</w:t>
      </w:r>
    </w:p>
    <w:p>
      <w:pPr>
        <w:pStyle w:val="BodyText"/>
      </w:pPr>
      <w:r>
        <w:t>Full allocation region quotas have the same VM and storage classes as the parent region. Any changes to the VM and storage classes of the parent region propagate to the full allocation region quota.</w:t>
      </w:r>
    </w:p>
    <w:p>
      <w:pPr>
        <w:pStyle w:val="BodyText"/>
      </w:pPr>
      <w:r>
        <w:rPr>
          <w:rStyle w:val="Strong"/>
        </w:rPr>
        <w:t>Procedure</w:t>
      </w:r>
    </w:p>
    <w:p>
      <w:pPr>
        <w:pStyle w:val="BodyText"/>
        <w:numPr>
          <w:numId w:val="73"/>
        </w:numPr>
      </w:pPr>
      <w:r>
        <w:t xml:space="preserve">Log in to the </w:t>
      </w:r>
      <w:r>
        <w:t>.</w:t>
      </w:r>
    </w:p>
    <w:p>
      <w:pPr>
        <w:pStyle w:val="BodyText"/>
        <w:numPr>
          <w:numId w:val="73"/>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73"/>
        </w:numPr>
      </w:pPr>
      <w:r>
        <w:t>Click the name of an organization for all applications.</w:t>
      </w:r>
    </w:p>
    <w:p>
      <w:pPr>
        <w:pStyle w:val="BodyText"/>
        <w:ind w:left="480"/>
      </w:pPr>
      <w:r>
        <w:t xml:space="preserve">The </w:t>
      </w:r>
      <w:r>
        <w:rPr>
          <w:rStyle w:val="InlineUI"/>
        </w:rPr>
        <w:t>Organizations for All Apps</w:t>
      </w:r>
      <w:r>
        <w:t xml:space="preserve"> do not have the </w:t>
      </w:r>
      <w:r>
        <w:rPr>
          <w:rStyle w:val="InlineCode"/>
        </w:rPr>
        <w:t>VM Apps</w:t>
      </w:r>
      <w:r>
        <w:t xml:space="preserve"> label.</w:t>
      </w:r>
    </w:p>
    <w:p>
      <w:pPr>
        <w:pStyle w:val="BodyText"/>
        <w:numPr>
          <w:numId w:val="73"/>
        </w:numPr>
      </w:pPr>
      <w:r>
        <w:t xml:space="preserve">From the secondary left panel, select </w:t>
      </w:r>
      <w:r>
        <w:rPr>
          <w:rStyle w:val="InlineUI"/>
        </w:rPr>
        <w:t>Region Quota</w:t>
      </w:r>
      <w:r>
        <w:t>.</w:t>
      </w:r>
    </w:p>
    <w:p>
      <w:pPr>
        <w:pStyle w:val="BodyText"/>
        <w:numPr>
          <w:numId w:val="73"/>
        </w:numPr>
      </w:pPr>
      <w:r>
        <w:t>Expand the region quota view by clicking the button to the left of the region name.</w:t>
      </w:r>
    </w:p>
    <w:p>
      <w:pPr>
        <w:pStyle w:val="BodyText"/>
        <w:numPr>
          <w:numId w:val="73"/>
        </w:numPr>
      </w:pPr>
      <w:r>
        <w:t xml:space="preserve">Under the </w:t>
      </w:r>
      <w:r>
        <w:rPr>
          <w:rStyle w:val="InlineUI"/>
        </w:rPr>
        <w:t>Capacity</w:t>
      </w:r>
      <w:r>
        <w:t xml:space="preserve"> section, click </w:t>
      </w:r>
      <w:r>
        <w:rPr>
          <w:rStyle w:val="InlineUI"/>
        </w:rPr>
        <w:t>Edit</w:t>
      </w:r>
      <w:r>
        <w:t>.</w:t>
      </w:r>
    </w:p>
    <w:p>
      <w:pPr>
        <w:pStyle w:val="BodyText"/>
        <w:numPr>
          <w:numId w:val="73"/>
        </w:numPr>
      </w:pPr>
      <w:r>
        <w:t xml:space="preserve">Select the </w:t>
      </w:r>
      <w:r>
        <w:rPr>
          <w:rStyle w:val="InlineUI"/>
        </w:rPr>
        <w:t>Share a portion of the capacity with this organization</w:t>
      </w:r>
      <w:r>
        <w:t xml:space="preserve"> option for </w:t>
      </w:r>
      <w:r>
        <w:rPr>
          <w:rStyle w:val="InlineUI"/>
        </w:rPr>
        <w:t>Region Capacity</w:t>
      </w:r>
      <w:r>
        <w:t>.</w:t>
      </w:r>
    </w:p>
    <w:p>
      <w:pPr>
        <w:pStyle w:val="BodyText"/>
        <w:numPr>
          <w:numId w:val="73"/>
        </w:numPr>
      </w:pPr>
      <w:r>
        <w:t>Expand the region quota view by clicking the button to the left of the region name.</w:t>
      </w:r>
    </w:p>
    <w:p>
      <w:pPr>
        <w:pStyle w:val="BodyText"/>
        <w:numPr>
          <w:numId w:val="73"/>
        </w:numPr>
      </w:pPr>
      <w:r>
        <w:t xml:space="preserve">(Optional) Edit the </w:t>
      </w:r>
      <w:r>
        <w:rPr>
          <w:rStyle w:val="InlineUI"/>
        </w:rPr>
        <w:t>VM Classes</w:t>
      </w:r>
      <w:r>
        <w:t>.</w:t>
      </w:r>
    </w:p>
    <w:p>
      <w:pPr>
        <w:pStyle w:val="BodyText"/>
        <w:numPr>
          <w:ilvl w:val="1"/>
          <w:numId w:val="73"/>
        </w:numPr>
      </w:pPr>
      <w:r>
        <w:t xml:space="preserve">Under the </w:t>
      </w:r>
      <w:r>
        <w:rPr>
          <w:rStyle w:val="InlineUI"/>
        </w:rPr>
        <w:t>VM Classes</w:t>
      </w:r>
      <w:r>
        <w:t xml:space="preserve"> section, click </w:t>
      </w:r>
      <w:r>
        <w:rPr>
          <w:rStyle w:val="InlineUI"/>
        </w:rPr>
        <w:t>Edit</w:t>
      </w:r>
      <w:r>
        <w:t>.</w:t>
      </w:r>
    </w:p>
    <w:p>
      <w:pPr>
        <w:pStyle w:val="BodyText"/>
        <w:numPr>
          <w:ilvl w:val="1"/>
          <w:numId w:val="73"/>
        </w:numPr>
      </w:pPr>
      <w:r>
        <w:t>Select or deselect VM classes to set the applicable VM classes for the region quota.</w:t>
      </w:r>
    </w:p>
    <w:p>
      <w:pPr>
        <w:pStyle w:val="BodyText"/>
        <w:numPr>
          <w:numId w:val="73"/>
        </w:numPr>
      </w:pPr>
      <w:r>
        <w:t xml:space="preserve">(Optional) Edit the </w:t>
      </w:r>
      <w:r>
        <w:rPr>
          <w:rStyle w:val="InlineUI"/>
        </w:rPr>
        <w:t>Storage Classes</w:t>
      </w:r>
      <w:r>
        <w:t>.</w:t>
      </w:r>
    </w:p>
    <w:p>
      <w:pPr>
        <w:pStyle w:val="BodyText"/>
        <w:numPr>
          <w:ilvl w:val="1"/>
          <w:numId w:val="73"/>
        </w:numPr>
      </w:pPr>
      <w:r>
        <w:t xml:space="preserve">Under the </w:t>
      </w:r>
      <w:r>
        <w:rPr>
          <w:rStyle w:val="InlineUI"/>
        </w:rPr>
        <w:t>Storage Classes</w:t>
      </w:r>
      <w:r>
        <w:t xml:space="preserve"> section, click </w:t>
      </w:r>
      <w:r>
        <w:rPr>
          <w:rStyle w:val="InlineUI"/>
        </w:rPr>
        <w:t>Edit</w:t>
      </w:r>
      <w:r>
        <w:t>.</w:t>
      </w:r>
    </w:p>
    <w:p>
      <w:pPr>
        <w:pStyle w:val="BodyText"/>
        <w:numPr>
          <w:ilvl w:val="1"/>
          <w:numId w:val="73"/>
        </w:numPr>
      </w:pPr>
      <w:r>
        <w:t>Edit the storage limit for the storage class.</w:t>
      </w:r>
    </w:p>
    <w:p>
      <w:pPr>
        <w:pStyle w:val="BodyText"/>
        <w:numPr>
          <w:numId w:val="73"/>
        </w:numPr>
      </w:pPr>
      <w:r>
        <w:t xml:space="preserve">(Optional) Edit the </w:t>
      </w:r>
      <w:r>
        <w:rPr>
          <w:rStyle w:val="InlineUI"/>
        </w:rPr>
        <w:t>Reserved VM Classes</w:t>
      </w:r>
      <w:r>
        <w:t>.</w:t>
      </w:r>
    </w:p>
    <w:p>
      <w:pPr>
        <w:pStyle w:val="BodyText"/>
        <w:numPr>
          <w:ilvl w:val="1"/>
          <w:numId w:val="73"/>
        </w:numPr>
      </w:pPr>
      <w:r>
        <w:t xml:space="preserve">Under the </w:t>
      </w:r>
      <w:r>
        <w:rPr>
          <w:rStyle w:val="InlineUI"/>
        </w:rPr>
        <w:t>Reserved VM Classes</w:t>
      </w:r>
      <w:r>
        <w:t xml:space="preserve"> section, click </w:t>
      </w:r>
      <w:r>
        <w:rPr>
          <w:rStyle w:val="InlineUI"/>
        </w:rPr>
        <w:t>Edit</w:t>
      </w:r>
      <w:r>
        <w:t>.</w:t>
      </w:r>
    </w:p>
    <w:p>
      <w:pPr>
        <w:pStyle w:val="BodyText"/>
        <w:numPr>
          <w:ilvl w:val="1"/>
          <w:numId w:val="73"/>
        </w:numPr>
      </w:pPr>
      <w:r>
        <w:t>Change the reserved VM classes applicable to a region quota that limit the vGPU use of an organization.</w:t>
      </w:r>
    </w:p>
    <w:p>
      <w:pPr>
        <w:pStyle w:val="BodyText"/>
        <w:numPr>
          <w:numId w:val="73"/>
        </w:numPr>
      </w:pPr>
      <w:r>
        <w:t xml:space="preserve">Click </w:t>
      </w:r>
      <w:r>
        <w:rPr>
          <w:rStyle w:val="InlineUI"/>
        </w:rPr>
        <w:t>Save</w:t>
      </w:r>
      <w:r>
        <w:t>.</w:t>
      </w:r>
    </w:p>
    <w:p>
      <w:pPr>
        <w:pStyle w:val="Heading3"/>
      </w:pPr>
      <w:bookmarkStart w:id="91" w:name="_Toc256000496"/>
      <w:r>
        <w:t>Export the Organization Data</w:t>
      </w:r>
      <w:bookmarkEnd w:id="91"/>
    </w:p>
    <w:p>
      <w:pPr>
        <w:pStyle w:val="BodyText"/>
      </w:pPr>
      <w:r>
        <w:t xml:space="preserve">You can use the </w:t>
      </w:r>
      <w:r>
        <w:t>VCF Automation Provider Management Portal</w:t>
      </w:r>
      <w:r>
        <w:t xml:space="preserve"> to export a CDV file with information about the IDs, names, and states of the organizations in </w:t>
      </w:r>
      <w:r>
        <w:t>VCF Automation</w:t>
      </w:r>
      <w:r>
        <w:t>.</w:t>
      </w:r>
    </w:p>
    <w:p>
      <w:pPr>
        <w:pStyle w:val="BodyText"/>
      </w:pPr>
      <w:r>
        <w:rPr>
          <w:rStyle w:val="Strong"/>
        </w:rPr>
        <w:t>Prerequisites</w:t>
      </w:r>
    </w:p>
    <w:p>
      <w:pPr>
        <w:pStyle w:val="BodyText"/>
      </w:pPr>
      <w:r>
        <w:t xml:space="preserve">Verify that your </w:t>
      </w:r>
      <w:r>
        <w:t>VCF Automation</w:t>
      </w:r>
      <w:r>
        <w:t xml:space="preserve"> instance has at least one organization.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B4c65419ecb4b4ed1b0e9876456304bf8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VCF Automation Organization for All Applications</w:t>
      </w:r>
      <w:r>
        <w:fldChar w:fldCharType="end"/>
      </w:r>
      <w:r>
        <w:t xml:space="preserve"> or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B9da89ecb90064504b004bf9265178e09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VCF Automation Organization for VM Applications</w:t>
      </w:r>
      <w:r>
        <w:fldChar w:fldCharType="end"/>
      </w:r>
      <w:r>
        <w:t>.</w:t>
      </w:r>
    </w:p>
    <w:p>
      <w:pPr>
        <w:pStyle w:val="BodyText"/>
      </w:pPr>
      <w:r>
        <w:rPr>
          <w:rStyle w:val="Strong"/>
        </w:rPr>
        <w:t>Procedure</w:t>
      </w:r>
    </w:p>
    <w:p>
      <w:pPr>
        <w:pStyle w:val="BodyText"/>
        <w:numPr>
          <w:numId w:val="74"/>
        </w:numPr>
      </w:pPr>
      <w:r>
        <w:t xml:space="preserve">Log in to the </w:t>
      </w:r>
      <w:r>
        <w:t>.</w:t>
      </w:r>
    </w:p>
    <w:p>
      <w:pPr>
        <w:pStyle w:val="BodyText"/>
        <w:numPr>
          <w:numId w:val="74"/>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74"/>
        </w:numPr>
      </w:pPr>
      <w:r>
        <w:t xml:space="preserve">Click </w:t>
      </w:r>
      <w:r>
        <w:rPr>
          <w:rStyle w:val="InlineUI"/>
        </w:rPr>
        <w:t>Export Orgs</w:t>
      </w:r>
      <w:r>
        <w:t>.</w:t>
      </w:r>
    </w:p>
    <w:p>
      <w:pPr>
        <w:pStyle w:val="Heading3"/>
      </w:pPr>
      <w:bookmarkStart w:id="92" w:name="_Toc256000497"/>
      <w:r>
        <w:t>Edit the Reserved VM Classes of a Region Quota</w:t>
      </w:r>
      <w:bookmarkEnd w:id="92"/>
    </w:p>
    <w:p>
      <w:pPr>
        <w:pStyle w:val="BodyText"/>
      </w:pPr>
      <w:r>
        <w:t xml:space="preserve">You can use the </w:t>
      </w:r>
      <w:r>
        <w:t>VCF Automation Provider Management Portal</w:t>
      </w:r>
      <w:r>
        <w:t xml:space="preserve"> to change the reserved virtual machine classes applicable to a region quota that limit the vGPU use of an organization.</w:t>
      </w:r>
    </w:p>
    <w:p>
      <w:pPr>
        <w:pStyle w:val="BodyText"/>
      </w:pPr>
      <w:r>
        <w:rPr>
          <w:rStyle w:val="Strong"/>
        </w:rPr>
        <w:t>Procedure</w:t>
      </w:r>
    </w:p>
    <w:p>
      <w:pPr>
        <w:pStyle w:val="BodyText"/>
        <w:numPr>
          <w:numId w:val="75"/>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75"/>
        </w:numPr>
      </w:pPr>
      <w:r>
        <w:t>Click the name of the organization for all applications.</w:t>
      </w:r>
    </w:p>
    <w:p>
      <w:pPr>
        <w:pStyle w:val="BodyText"/>
        <w:numPr>
          <w:numId w:val="75"/>
        </w:numPr>
      </w:pPr>
      <w:r>
        <w:t xml:space="preserve">From the secondary left panel, select </w:t>
      </w:r>
      <w:r>
        <w:rPr>
          <w:rStyle w:val="InlineUI"/>
        </w:rPr>
        <w:t>Region Quota</w:t>
      </w:r>
      <w:r>
        <w:t>.</w:t>
      </w:r>
    </w:p>
    <w:p>
      <w:pPr>
        <w:pStyle w:val="BodyText"/>
        <w:numPr>
          <w:numId w:val="75"/>
        </w:numPr>
      </w:pPr>
      <w:r>
        <w:t>Expand the region quota view by clicking the button to the left of the region name.</w:t>
      </w:r>
    </w:p>
    <w:p>
      <w:pPr>
        <w:pStyle w:val="BodyText"/>
        <w:numPr>
          <w:numId w:val="75"/>
        </w:numPr>
      </w:pPr>
      <w:r>
        <w:t xml:space="preserve">Under the </w:t>
      </w:r>
      <w:r>
        <w:rPr>
          <w:rStyle w:val="InlineUI"/>
        </w:rPr>
        <w:t>Reserved VM Classes</w:t>
      </w:r>
      <w:r>
        <w:t xml:space="preserve"> section, click </w:t>
      </w:r>
      <w:r>
        <w:rPr>
          <w:rStyle w:val="InlineUI"/>
        </w:rPr>
        <w:t>Edit</w:t>
      </w:r>
      <w:r>
        <w:t>.</w:t>
      </w:r>
    </w:p>
    <w:p>
      <w:pPr>
        <w:pStyle w:val="BodyText"/>
        <w:numPr>
          <w:numId w:val="75"/>
        </w:numPr>
      </w:pPr>
      <w:r>
        <w:t>Select or deselect VM classes applicable to the region quota.</w:t>
      </w:r>
    </w:p>
    <w:p>
      <w:pPr>
        <w:pStyle w:val="BodyText"/>
        <w:numPr>
          <w:numId w:val="75"/>
        </w:numPr>
      </w:pPr>
      <w:r>
        <w:t xml:space="preserve">Click </w:t>
      </w:r>
      <w:r>
        <w:rPr>
          <w:rStyle w:val="InlineUI"/>
        </w:rPr>
        <w:t>Save</w:t>
      </w:r>
      <w:r>
        <w:t>.</w:t>
      </w:r>
    </w:p>
    <w:p>
      <w:pPr>
        <w:pStyle w:val="Heading3"/>
      </w:pPr>
      <w:bookmarkStart w:id="93" w:name="B31f47efab3a943ba9fdffc95067ccf09"/>
      <w:bookmarkStart w:id="94" w:name="_Toc256000498"/>
      <w:r>
        <w:t>Delete a VCF Automation Region Quota</w:t>
      </w:r>
      <w:bookmarkEnd w:id="94"/>
      <w:bookmarkEnd w:id="93"/>
    </w:p>
    <w:p>
      <w:pPr>
        <w:pStyle w:val="BodyText"/>
      </w:pPr>
      <w:r>
        <w:t xml:space="preserve">You can use the </w:t>
      </w:r>
      <w:r>
        <w:t>VCF Automation Provider Management Portal</w:t>
      </w:r>
      <w:r>
        <w:t xml:space="preserve"> to delete a region quota.</w:t>
      </w:r>
    </w:p>
    <w:p>
      <w:pPr>
        <w:pStyle w:val="BodyText"/>
      </w:pPr>
      <w:r>
        <w:rPr>
          <w:rStyle w:val="Strong"/>
        </w:rPr>
        <w:t>Prerequisites</w:t>
      </w:r>
    </w:p>
    <w:p>
      <w:pPr>
        <w:pStyle w:val="BodyText"/>
        <w:numPr>
          <w:numId w:val="76"/>
        </w:numPr>
      </w:pPr>
      <w:r>
        <w:t xml:space="preserve">Delete the </w:t>
      </w:r>
      <w:r>
        <w:t>vSphere</w:t>
      </w:r>
      <w:r>
        <w:t xml:space="preserve"> Namespaces associated with this region.</w:t>
      </w:r>
    </w:p>
    <w:p>
      <w:pPr>
        <w:pStyle w:val="BodyText"/>
        <w:numPr>
          <w:numId w:val="76"/>
        </w:numPr>
      </w:pPr>
      <w:r>
        <w:t>Delete the content libraries built within the organization using resources from the region quota.</w:t>
      </w:r>
    </w:p>
    <w:p>
      <w:pPr>
        <w:pStyle w:val="BodyText"/>
      </w:pPr>
      <w:r>
        <w:rPr>
          <w:rStyle w:val="Strong"/>
        </w:rPr>
        <w:t>Procedure</w:t>
      </w:r>
    </w:p>
    <w:p>
      <w:pPr>
        <w:pStyle w:val="BodyText"/>
        <w:numPr>
          <w:numId w:val="77"/>
        </w:numPr>
      </w:pPr>
      <w:r>
        <w:t xml:space="preserve">Log in to the </w:t>
      </w:r>
      <w:r>
        <w:t>.</w:t>
      </w:r>
    </w:p>
    <w:p>
      <w:pPr>
        <w:pStyle w:val="BodyText"/>
        <w:numPr>
          <w:numId w:val="77"/>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77"/>
        </w:numPr>
      </w:pPr>
      <w:r>
        <w:t>Click the name of the organization for which you want to delete the region quota.</w:t>
      </w:r>
    </w:p>
    <w:p>
      <w:pPr>
        <w:pStyle w:val="BodyText"/>
        <w:ind w:left="480"/>
      </w:pPr>
      <w:r>
        <w:t>You must select an organization for all applications.</w:t>
      </w:r>
    </w:p>
    <w:p>
      <w:pPr>
        <w:pStyle w:val="BodyText"/>
        <w:numPr>
          <w:numId w:val="77"/>
        </w:numPr>
      </w:pPr>
      <w:r>
        <w:t xml:space="preserve">From the secondary left panel, select </w:t>
      </w:r>
      <w:r>
        <w:rPr>
          <w:rStyle w:val="InlineUI"/>
        </w:rPr>
        <w:t>Region Quota</w:t>
      </w:r>
      <w:r>
        <w:t>.</w:t>
      </w:r>
    </w:p>
    <w:p>
      <w:pPr>
        <w:pStyle w:val="BodyText"/>
        <w:numPr>
          <w:numId w:val="77"/>
        </w:numPr>
      </w:pPr>
      <w:r>
        <w:t>Click the vertical ellipsis (</w:t>
      </w:r>
      <w:r>
        <w:t xml:space="preserve">) next to the name of the region to which the region quota is applicable, and click </w:t>
      </w:r>
      <w:r>
        <w:rPr>
          <w:rStyle w:val="InlineUI"/>
        </w:rPr>
        <w:t>Delete</w:t>
      </w:r>
      <w:r>
        <w:t>.</w:t>
      </w:r>
    </w:p>
    <w:p>
      <w:pPr>
        <w:pStyle w:val="BodyText"/>
        <w:numPr>
          <w:numId w:val="77"/>
        </w:numPr>
      </w:pPr>
      <w:r>
        <w:t xml:space="preserve">To confirm, click </w:t>
      </w:r>
      <w:r>
        <w:rPr>
          <w:rStyle w:val="InlineUI"/>
        </w:rPr>
        <w:t>Delete</w:t>
      </w:r>
      <w:r>
        <w:t>.</w:t>
      </w:r>
    </w:p>
    <w:p>
      <w:pPr>
        <w:pStyle w:val="Heading2"/>
      </w:pPr>
      <w:bookmarkStart w:id="95" w:name="_Toc256000499"/>
      <w:r>
        <w:t>Modify the Metadata for a VCF Automation Organization</w:t>
      </w:r>
      <w:bookmarkEnd w:id="95"/>
    </w:p>
    <w:p>
      <w:pPr>
        <w:pStyle w:val="BodyText"/>
      </w:pPr>
      <w:r>
        <w:t xml:space="preserve">You can use the </w:t>
      </w:r>
      <w:r>
        <w:t>VCF Automation Provider Management Portal</w:t>
      </w:r>
      <w:r>
        <w:t xml:space="preserve"> to add, edit, and delete metadata for an organization.</w:t>
      </w:r>
    </w:p>
    <w:p>
      <w:pPr>
        <w:pStyle w:val="BodyText"/>
      </w:pPr>
      <w:r>
        <w:t xml:space="preserve">By using object metadata, you can associate user-defined </w:t>
      </w:r>
      <w:r>
        <w:rPr>
          <w:rStyle w:val="InlineVar"/>
        </w:rPr>
        <w:t>name</w:t>
      </w:r>
      <w:r>
        <w:rPr>
          <w:rStyle w:val="InlineCode"/>
        </w:rPr>
        <w:t>=</w:t>
      </w:r>
      <w:r>
        <w:rPr>
          <w:rStyle w:val="InlineVar"/>
        </w:rPr>
        <w:t>value</w:t>
      </w:r>
      <w:r>
        <w:t xml:space="preserve"> pairs with an organization. You can use object metadata in </w:t>
      </w:r>
      <w:r>
        <w:t>VCF Automation</w:t>
      </w:r>
      <w:r>
        <w:t xml:space="preserve"> API query filter expressions.</w:t>
      </w:r>
    </w:p>
    <w:p>
      <w:pPr>
        <w:pStyle w:val="BodyText"/>
      </w:pPr>
      <w:r>
        <w:rPr>
          <w:rStyle w:val="Strong"/>
        </w:rPr>
        <w:t>Procedure</w:t>
      </w:r>
    </w:p>
    <w:p>
      <w:pPr>
        <w:pStyle w:val="BodyText"/>
        <w:numPr>
          <w:numId w:val="78"/>
        </w:numPr>
      </w:pPr>
      <w:r>
        <w:t xml:space="preserve">Log in to the </w:t>
      </w:r>
      <w:r>
        <w:t>.</w:t>
      </w:r>
    </w:p>
    <w:p>
      <w:pPr>
        <w:pStyle w:val="BodyText"/>
        <w:numPr>
          <w:numId w:val="78"/>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78"/>
        </w:numPr>
      </w:pPr>
      <w:r>
        <w:t>Click the name of the organization.</w:t>
      </w:r>
    </w:p>
    <w:p>
      <w:pPr>
        <w:pStyle w:val="BodyText"/>
        <w:numPr>
          <w:numId w:val="78"/>
        </w:numPr>
      </w:pPr>
      <w:r>
        <w:t xml:space="preserve">From the secondary left panel, select </w:t>
      </w:r>
      <w:r>
        <w:rPr>
          <w:rStyle w:val="InlineUI"/>
        </w:rPr>
        <w:t>Metadata</w:t>
      </w:r>
      <w:r>
        <w:t>.</w:t>
      </w:r>
    </w:p>
    <w:p>
      <w:pPr>
        <w:pStyle w:val="BodyText"/>
        <w:numPr>
          <w:numId w:val="78"/>
        </w:numPr>
      </w:pPr>
      <w:r>
        <w:t xml:space="preserve">Click </w:t>
      </w:r>
      <w:r>
        <w:rPr>
          <w:rStyle w:val="InlineUI"/>
        </w:rPr>
        <w:t>Edit</w:t>
      </w:r>
      <w:r>
        <w:t>.</w:t>
      </w:r>
    </w:p>
    <w:p>
      <w:pPr>
        <w:pStyle w:val="BodyText"/>
        <w:numPr>
          <w:numId w:val="78"/>
        </w:numPr>
      </w:pPr>
      <w:r>
        <w:t xml:space="preserve">(Optional) </w:t>
      </w:r>
      <w:r>
        <w:t xml:space="preserve">(Optional) To add a key-value pair, click </w:t>
      </w:r>
      <w:r>
        <w:rPr>
          <w:rStyle w:val="InlineUI"/>
        </w:rPr>
        <w:t>Add</w:t>
      </w:r>
      <w:r>
        <w:t>, enter a name and a value, and select a type for the new key-value pair.</w:t>
      </w:r>
    </w:p>
    <w:p>
      <w:pPr>
        <w:pStyle w:val="BodyText"/>
        <w:numPr>
          <w:numId w:val="78"/>
        </w:numPr>
      </w:pPr>
      <w:r>
        <w:t xml:space="preserve">(Optional) </w:t>
      </w:r>
      <w:r>
        <w:t>(Optional) To edit a key-value pair, enter a new name and a value, and select a new type for the key-value pair.</w:t>
      </w:r>
    </w:p>
    <w:p>
      <w:pPr>
        <w:pStyle w:val="BodyText"/>
        <w:numPr>
          <w:numId w:val="78"/>
        </w:numPr>
      </w:pPr>
      <w:r>
        <w:t xml:space="preserve">(Optional) </w:t>
      </w:r>
      <w:r>
        <w:t xml:space="preserve">(Optional) To remove a key-value pair, in the right end of the row, click the </w:t>
      </w:r>
      <w:r>
        <w:rPr>
          <w:rStyle w:val="InlineUI"/>
        </w:rPr>
        <w:t>Delete</w:t>
      </w:r>
      <w:r>
        <w:t xml:space="preserve"> icon.</w:t>
      </w:r>
    </w:p>
    <w:p>
      <w:pPr>
        <w:pStyle w:val="BodyText"/>
        <w:numPr>
          <w:numId w:val="78"/>
        </w:numPr>
      </w:pPr>
      <w:r>
        <w:t xml:space="preserve">Click </w:t>
      </w:r>
      <w:r>
        <w:rPr>
          <w:rStyle w:val="InlineUI"/>
        </w:rPr>
        <w:t>Save</w:t>
      </w:r>
      <w:r>
        <w:t xml:space="preserve">, and click </w:t>
      </w:r>
      <w:r>
        <w:rPr>
          <w:rStyle w:val="InlineUI"/>
        </w:rPr>
        <w:t>OK</w:t>
      </w:r>
      <w:r>
        <w:t>.</w:t>
      </w:r>
    </w:p>
    <w:p>
      <w:pPr>
        <w:pStyle w:val="Heading2"/>
      </w:pPr>
      <w:bookmarkStart w:id="96" w:name="Bc48e0dd89e8b419d873509bf0f20ffac"/>
      <w:bookmarkStart w:id="97" w:name="_Toc256000500"/>
      <w:r>
        <w:t>Edit the First User Details for a VCF Automation Organization</w:t>
      </w:r>
      <w:bookmarkEnd w:id="97"/>
      <w:bookmarkEnd w:id="96"/>
    </w:p>
    <w:p>
      <w:pPr>
        <w:pStyle w:val="BodyText"/>
      </w:pPr>
      <w:r>
        <w:t xml:space="preserve">After you create an organization, you can use the </w:t>
      </w:r>
      <w:r>
        <w:t>VCF Automation Provider Management Portal</w:t>
      </w:r>
      <w:r>
        <w:t xml:space="preserve"> to change the first user details.</w:t>
      </w:r>
    </w:p>
    <w:p>
      <w:pPr>
        <w:pStyle w:val="BodyText"/>
      </w:pPr>
      <w:r>
        <w:rPr>
          <w:rStyle w:val="Strong"/>
        </w:rPr>
        <w:t>Procedure</w:t>
      </w:r>
    </w:p>
    <w:p>
      <w:pPr>
        <w:pStyle w:val="BodyText"/>
        <w:numPr>
          <w:numId w:val="79"/>
        </w:numPr>
      </w:pPr>
      <w:r>
        <w:t xml:space="preserve">Log in to the </w:t>
      </w:r>
      <w:r>
        <w:t>.</w:t>
      </w:r>
    </w:p>
    <w:p>
      <w:pPr>
        <w:pStyle w:val="BodyText"/>
        <w:numPr>
          <w:numId w:val="79"/>
        </w:numPr>
      </w:pPr>
      <w:r>
        <w:t xml:space="preserve">From the left navigation panel, under </w:t>
      </w:r>
      <w:r>
        <w:rPr>
          <w:rStyle w:val="InlineUI"/>
        </w:rPr>
        <w:t>Infrastructure</w:t>
      </w:r>
      <w:r>
        <w:t xml:space="preserve">, select </w:t>
      </w:r>
      <w:r>
        <w:rPr>
          <w:rStyle w:val="InlineUI"/>
        </w:rPr>
        <w:t>Organizations</w:t>
      </w:r>
      <w:r>
        <w:t>.</w:t>
      </w:r>
    </w:p>
    <w:p>
      <w:pPr>
        <w:pStyle w:val="BodyText"/>
        <w:numPr>
          <w:numId w:val="79"/>
        </w:numPr>
      </w:pPr>
      <w:r>
        <w:t>Click the name of the organization.</w:t>
      </w:r>
    </w:p>
    <w:p>
      <w:pPr>
        <w:pStyle w:val="BodyText"/>
        <w:numPr>
          <w:numId w:val="79"/>
        </w:numPr>
      </w:pPr>
      <w:r>
        <w:t xml:space="preserve">From the secondary left panel, select </w:t>
      </w:r>
      <w:r>
        <w:rPr>
          <w:rStyle w:val="InlineUI"/>
        </w:rPr>
        <w:t>First User</w:t>
      </w:r>
      <w:r>
        <w:t>.</w:t>
      </w:r>
    </w:p>
    <w:p>
      <w:pPr>
        <w:pStyle w:val="BodyText"/>
        <w:numPr>
          <w:numId w:val="79"/>
        </w:numPr>
      </w:pPr>
      <w:r>
        <w:t xml:space="preserve">Click </w:t>
      </w:r>
      <w:r>
        <w:rPr>
          <w:rStyle w:val="InlineUI"/>
        </w:rPr>
        <w:t>Edit</w:t>
      </w:r>
      <w:r>
        <w:t>.</w:t>
      </w:r>
    </w:p>
    <w:p>
      <w:pPr>
        <w:pStyle w:val="BodyText"/>
        <w:numPr>
          <w:numId w:val="79"/>
        </w:numPr>
      </w:pPr>
      <w:r>
        <w:t>Change the user details.</w:t>
      </w:r>
    </w:p>
    <w:p>
      <w:pPr>
        <w:pStyle w:val="BodyText"/>
        <w:ind w:left="480"/>
      </w:pPr>
      <w:r>
        <w:t>You can change the user name, password, and role.</w:t>
      </w:r>
    </w:p>
    <w:p>
      <w:pPr>
        <w:pStyle w:val="BodyText"/>
        <w:numPr>
          <w:numId w:val="79"/>
        </w:numPr>
      </w:pPr>
      <w:r>
        <w:t xml:space="preserve">Click </w:t>
      </w:r>
      <w:r>
        <w:rPr>
          <w:rStyle w:val="InlineUI"/>
        </w:rPr>
        <w:t>Save</w:t>
      </w:r>
      <w:r>
        <w:t>.</w:t>
      </w:r>
    </w:p>
    <w:p>
      <w:pPr>
        <w:pStyle w:val="Heading1"/>
      </w:pPr>
      <w:bookmarkStart w:id="98" w:name="B0de95dc465e74bbaa05ab57d61b2bcc4"/>
      <w:bookmarkStart w:id="99" w:name="_Toc256000501"/>
      <w:r>
        <w:t>Configuring the VCF Automation Access Control</w:t>
      </w:r>
      <w:bookmarkEnd w:id="99"/>
      <w:bookmarkEnd w:id="98"/>
    </w:p>
    <w:p>
      <w:pPr>
        <w:pStyle w:val="BodyText"/>
      </w:pPr>
      <w:r>
        <w:t xml:space="preserve">By using the </w:t>
      </w:r>
      <w:r>
        <w:t>VCF Automation Provider Management Portal</w:t>
      </w:r>
      <w:r>
        <w:t xml:space="preserve">, you can import </w:t>
      </w:r>
      <w:r>
        <w:rPr>
          <w:rStyle w:val="InlineUI"/>
        </w:rPr>
        <w:t>Provider Administrators</w:t>
      </w:r>
      <w:r>
        <w:t xml:space="preserve"> to </w:t>
      </w:r>
      <w:r>
        <w:t>VCF Automation</w:t>
      </w:r>
      <w:r>
        <w:t xml:space="preserve"> individually, or as part of an IdP group. You can also create and modify global roles that determine what rights a user has within their organization.</w:t>
      </w:r>
    </w:p>
    <w:p>
      <w:pPr>
        <w:pStyle w:val="Heading2"/>
      </w:pPr>
      <w:bookmarkStart w:id="100" w:name="_Toc256000502"/>
      <w:r>
        <w:t>Managing VCF Automation Rights and Roles</w:t>
      </w:r>
      <w:bookmarkEnd w:id="100"/>
    </w:p>
    <w:p>
      <w:pPr>
        <w:pStyle w:val="BodyText"/>
      </w:pPr>
      <w:r>
        <w:t xml:space="preserve">A right is the fundamental unit of access control in </w:t>
      </w:r>
      <w:r>
        <w:t>VCF Automation</w:t>
      </w:r>
      <w:r>
        <w:t>. A role associates a role name with a set of rights. Each organization can have different rights and roles.</w:t>
      </w:r>
    </w:p>
    <w:p>
      <w:pPr>
        <w:pStyle w:val="BodyText"/>
      </w:pPr>
      <w:r>
        <w:t>VCF Automation</w:t>
      </w:r>
      <w:r>
        <w:t xml:space="preserve"> uses roles and their associated rights to determine whether a user or group is authorized to perform an operation. Many of the procedures documented in the </w:t>
      </w:r>
      <w:r>
        <w:t>VCF Automation</w:t>
      </w:r>
      <w:r>
        <w:t xml:space="preserve"> guides include a prerequisite role. These prerequisites assume that the named role is the unmodified predefined role or a role that includes an equivalent set of rights.</w:t>
      </w:r>
    </w:p>
    <w:p>
      <w:pPr>
        <w:pStyle w:val="BodyText"/>
      </w:pPr>
      <w:r>
        <w:t>System</w:t>
      </w:r>
      <w:r>
        <w:rPr>
          <w:rStyle w:val="InlineUI"/>
        </w:rPr>
        <w:t>Administrators</w:t>
      </w:r>
      <w:r>
        <w:t>can use rights bundles and global roles to manage the rights and roles that are available to each organization.</w:t>
      </w:r>
    </w:p>
    <w:p>
      <w:pPr>
        <w:pStyle w:val="BodyText"/>
      </w:pPr>
      <w:r>
        <w:t xml:space="preserve">The </w:t>
      </w:r>
      <w:r>
        <w:rPr>
          <w:rStyle w:val="InlineCode"/>
        </w:rPr>
        <w:t>System Rights Bundle</w:t>
      </w:r>
      <w:r>
        <w:t xml:space="preserve"> is not published to any organization. The system also contains built-in global roles that are published to all organizations managed by the </w:t>
      </w:r>
      <w:r>
        <w:rPr>
          <w:rStyle w:val="InlineCode"/>
        </w:rPr>
        <w:t>system</w:t>
      </w:r>
      <w:r>
        <w:t xml:space="preserve"> organization. For information about the predefined roles, see </w:t>
      </w:r>
      <w:r>
        <w:t>Predefined VCF Automation Roles and Their Rights</w:t>
      </w:r>
      <w:r>
        <w:t>.</w:t>
      </w:r>
    </w:p>
    <w:p>
      <w:pPr>
        <w:pStyle w:val="SectionHeading3"/>
      </w:pPr>
      <w:bookmarkStart w:id="101" w:name="_Toc256000503"/>
      <w:r>
        <w:t>Rights Terminology</w:t>
      </w:r>
      <w:bookmarkEnd w:id="101"/>
    </w:p>
    <w:p>
      <w:pPr>
        <w:pStyle w:val="ditaDT"/>
      </w:pPr>
      <w:r>
        <w:t>Right</w:t>
      </w:r>
    </w:p>
    <w:p>
      <w:pPr>
        <w:pStyle w:val="ditaDD"/>
      </w:pPr>
      <w:r>
        <w:t xml:space="preserve">Each right provides view or manage access to a particular object type in </w:t>
      </w:r>
      <w:r>
        <w:t>VCF Automation</w:t>
      </w:r>
      <w:r>
        <w:t xml:space="preserve">. Rights belong to different categories depending on the objects to which they relate, for example, </w:t>
      </w:r>
      <w:r>
        <w:rPr>
          <w:rStyle w:val="InlineCode"/>
        </w:rPr>
        <w:t>Catalog</w:t>
      </w:r>
      <w:r>
        <w:t xml:space="preserve">, </w:t>
      </w:r>
      <w:r>
        <w:rPr>
          <w:rStyle w:val="InlineCode"/>
        </w:rPr>
        <w:t>Organization</w:t>
      </w:r>
      <w:r>
        <w:t xml:space="preserve">, and so on. The provider organization contains all rights available in the system. The </w:t>
      </w:r>
      <w:r>
        <w:rPr>
          <w:rStyle w:val="InlineUI"/>
        </w:rPr>
        <w:t>System Administrator</w:t>
      </w:r>
      <w:r>
        <w:t xml:space="preserve"> defines the rights that are available to each organization. You cannot create or modify the rights included in </w:t>
      </w:r>
      <w:r>
        <w:t>VCF Automation</w:t>
      </w:r>
      <w:r>
        <w:t>.</w:t>
      </w:r>
    </w:p>
    <w:p>
      <w:pPr>
        <w:pStyle w:val="ditaDT"/>
      </w:pPr>
      <w:r>
        <w:t>Rights Bundle</w:t>
      </w:r>
    </w:p>
    <w:p>
      <w:pPr>
        <w:pStyle w:val="ditaDD"/>
        <w:pBdr>
          <w:top w:val="single" w:sz="8" w:space="2" w:color="D3D3D3"/>
          <w:bottom w:val="single" w:sz="8" w:space="2" w:color="D3D3D3"/>
        </w:pBdr>
      </w:pPr>
      <w:r>
        <w:rPr>
          <w:rStyle w:val="NoteLeadernote"/>
        </w:rPr>
        <w:t>Note</w:t>
        <w:tab/>
      </w:r>
      <w:r>
        <w:t xml:space="preserve">By default, </w:t>
      </w:r>
      <w:r>
        <w:t>VCF Automation</w:t>
      </w:r>
      <w:r>
        <w:t xml:space="preserve"> shows the rights bundles in </w:t>
      </w:r>
      <w:r>
        <w:rPr>
          <w:rStyle w:val="InlineCode"/>
        </w:rPr>
        <w:t>Simple Mode</w:t>
      </w:r>
      <w:r>
        <w:t xml:space="preserve"> and you can only view the built-in read-only rights bundles and publish the </w:t>
      </w:r>
      <w:r>
        <w:rPr>
          <w:rStyle w:val="InlineCode"/>
        </w:rPr>
        <w:t>Orchestrator Rights Bundle</w:t>
      </w:r>
      <w:r>
        <w:t xml:space="preserve"> to organizations in which you want to enable </w:t>
      </w:r>
      <w:r>
        <w:t>VCF Operations orchestrator</w:t>
      </w:r>
      <w:r>
        <w:t>.</w:t>
      </w:r>
    </w:p>
    <w:p>
      <w:pPr>
        <w:pStyle w:val="ditaDD"/>
      </w:pPr>
      <w:r>
        <w:t xml:space="preserve">If you enable the </w:t>
      </w:r>
      <w:r>
        <w:rPr>
          <w:rStyle w:val="InlineUI"/>
        </w:rPr>
        <w:t>Advanced Rights Bundle Mode</w:t>
      </w:r>
      <w:r>
        <w:t xml:space="preserve"> feature flag, you can use rights bundles to manage the rights that are available to each organization. You can manage feature flags by navigating to the </w:t>
      </w:r>
      <w:r>
        <w:rPr>
          <w:rStyle w:val="InlineUI"/>
        </w:rPr>
        <w:t>Feature Flags</w:t>
      </w:r>
      <w:r>
        <w:t xml:space="preserve"> page from the left navigation pane.</w:t>
      </w:r>
    </w:p>
    <w:p>
      <w:pPr>
        <w:pStyle w:val="ditaDD"/>
      </w:pPr>
      <w:r>
        <w:t xml:space="preserve">A rights bundle is a set of rights that you as a </w:t>
      </w:r>
      <w:r>
        <w:rPr>
          <w:rStyle w:val="InlineUI"/>
        </w:rPr>
        <w:t>System Administrator</w:t>
      </w:r>
      <w:r>
        <w:t xml:space="preserve"> can publish to one or more organizations. You can create and publish rights bundles that correspond to tiers of service, separately monetizable functionality, or any other arbitrary rights grouping. Only </w:t>
      </w:r>
      <w:r>
        <w:rPr>
          <w:rStyle w:val="InlineUI"/>
        </w:rPr>
        <w:t>System Administrators</w:t>
      </w:r>
      <w:r>
        <w:t>can view and manage the rights bundles. You can publish multiple bundles to the same organization.</w:t>
      </w:r>
    </w:p>
    <w:p>
      <w:pPr>
        <w:pStyle w:val="ditaDT"/>
      </w:pPr>
      <w:r>
        <w:t>Organization Rights</w:t>
      </w:r>
    </w:p>
    <w:p>
      <w:pPr>
        <w:pStyle w:val="ditaDD"/>
      </w:pPr>
      <w:r>
        <w:t xml:space="preserve">Organization rights are the full set of rights that are available to an organization. Organization rights can comprise multiple rights bundles, but the </w:t>
      </w:r>
      <w:r>
        <w:rPr>
          <w:rStyle w:val="InlineUI"/>
        </w:rPr>
        <w:t>organization administrators</w:t>
      </w:r>
      <w:r>
        <w:t xml:space="preserve"> and users see a flat set of rights that they can use to create and modify tenant-specific roles.</w:t>
      </w:r>
    </w:p>
    <w:p>
      <w:pPr>
        <w:pStyle w:val="SectionHeading3"/>
      </w:pPr>
      <w:bookmarkStart w:id="102" w:name="_Toc256000504"/>
      <w:r>
        <w:t>Roles Terminology</w:t>
      </w:r>
      <w:bookmarkEnd w:id="102"/>
    </w:p>
    <w:p>
      <w:pPr>
        <w:pStyle w:val="ditaDT"/>
      </w:pPr>
      <w:r>
        <w:t>Role</w:t>
      </w:r>
    </w:p>
    <w:p>
      <w:pPr>
        <w:pStyle w:val="ditaDD"/>
      </w:pPr>
      <w:r>
        <w:t>A role is a set of rights that is assignable to one or more users and groups. When you create or import a user or group, you must assign it a role.</w:t>
      </w:r>
    </w:p>
    <w:p>
      <w:pPr>
        <w:pStyle w:val="ditaDT"/>
      </w:pPr>
      <w:r>
        <w:t>Provider Roles</w:t>
      </w:r>
    </w:p>
    <w:p>
      <w:pPr>
        <w:pStyle w:val="ditaDD"/>
      </w:pPr>
      <w:r>
        <w:t xml:space="preserve">Provider roles are the set of roles that are available only to the provider organization. </w:t>
      </w:r>
      <w:r>
        <w:rPr>
          <w:rStyle w:val="InlineUI"/>
        </w:rPr>
        <w:t>System Administrators</w:t>
      </w:r>
      <w:r>
        <w:t xml:space="preserve"> can assign provider roles only to provider users. </w:t>
      </w:r>
      <w:r>
        <w:rPr>
          <w:rStyle w:val="InlineUI"/>
        </w:rPr>
        <w:t>System Administrators</w:t>
      </w:r>
      <w:r>
        <w:t xml:space="preserve"> can create custom provider roles.</w:t>
      </w:r>
    </w:p>
    <w:p>
      <w:pPr>
        <w:pStyle w:val="ditaDT"/>
      </w:pPr>
      <w:r>
        <w:t>Global Roles</w:t>
      </w:r>
    </w:p>
    <w:p>
      <w:pPr>
        <w:pStyle w:val="ditaDD"/>
      </w:pPr>
      <w:r>
        <w:t>Global roles are the set of roles available to an organization.</w:t>
      </w:r>
    </w:p>
    <w:p>
      <w:pPr>
        <w:pStyle w:val="ditaDD"/>
      </w:pPr>
      <w:r>
        <w:rPr>
          <w:rStyle w:val="InlineUI"/>
        </w:rPr>
        <w:t>System Administrators</w:t>
      </w:r>
      <w:r>
        <w:t xml:space="preserve"> can create and edit global roles and publish them to one or more organizations. Administrators can assign global roles to users in the organizations to which they are published. </w:t>
      </w:r>
      <w:r>
        <w:rPr>
          <w:rStyle w:val="InlineUI"/>
        </w:rPr>
        <w:t>Organization administrators</w:t>
      </w:r>
      <w:r>
        <w:t xml:space="preserve"> cannot edit global roles.</w:t>
      </w:r>
    </w:p>
    <w:p>
      <w:pPr>
        <w:pStyle w:val="ditaDD"/>
        <w:pBdr>
          <w:top w:val="single" w:sz="8" w:space="2" w:color="D3D3D3"/>
          <w:bottom w:val="single" w:sz="8" w:space="2" w:color="D3D3D3"/>
        </w:pBdr>
      </w:pPr>
      <w:r>
        <w:rPr>
          <w:rStyle w:val="NoteLeadernote"/>
        </w:rPr>
        <w:t>Note</w:t>
        <w:tab/>
      </w:r>
      <w:r>
        <w:t>Organization users can use only those rights from their roles that are published to their organizations.</w:t>
      </w:r>
    </w:p>
    <w:p>
      <w:pPr>
        <w:pStyle w:val="ditaDT"/>
      </w:pPr>
      <w:r>
        <w:t>Organization-Specific Roles</w:t>
      </w:r>
    </w:p>
    <w:p>
      <w:pPr>
        <w:pStyle w:val="ditaDD"/>
      </w:pPr>
      <w:r>
        <w:rPr>
          <w:rStyle w:val="InlineUI"/>
        </w:rPr>
        <w:t>Organization administrators</w:t>
      </w:r>
      <w:r>
        <w:t xml:space="preserve"> can create and edit organization-specific roles, which are local to their organizations. Organization-specific roles can be assigned only to users in the organization to which they belong. Organization-specific roles can contain a subset of the organization rights only.</w:t>
      </w:r>
    </w:p>
    <w:p>
      <w:pPr>
        <w:pStyle w:val="Heading3"/>
      </w:pPr>
      <w:bookmarkStart w:id="103" w:name="B92dd8ce7751d45e0b1b8f58a41ad3ef9"/>
      <w:bookmarkStart w:id="104" w:name="_Toc256000505"/>
      <w:r>
        <w:t>Predefined VCF Automation Roles and Their Rights</w:t>
      </w:r>
      <w:bookmarkEnd w:id="104"/>
      <w:bookmarkEnd w:id="103"/>
    </w:p>
    <w:p>
      <w:pPr>
        <w:pStyle w:val="BodyText"/>
      </w:pPr>
      <w:r>
        <w:t xml:space="preserve">Each </w:t>
      </w:r>
      <w:r>
        <w:t>VCF Automation</w:t>
      </w:r>
      <w:r>
        <w:t xml:space="preserve"> predefined role contains a default set of rights required to perform operations included in common workflows. By default, all predefined global roles are published to every organization in the system.</w:t>
      </w:r>
    </w:p>
    <w:p>
      <w:pPr>
        <w:pStyle w:val="SectionHeading4"/>
      </w:pPr>
      <w:bookmarkStart w:id="105" w:name="_Toc256000506"/>
      <w:r>
        <w:t>Predefined Provider Roles</w:t>
      </w:r>
      <w:bookmarkEnd w:id="105"/>
    </w:p>
    <w:p>
      <w:pPr>
        <w:pStyle w:val="BodyText"/>
      </w:pPr>
      <w:r>
        <w:t xml:space="preserve">By default, the provider roles that are local only to the provider organization are the </w:t>
      </w:r>
      <w:r>
        <w:rPr>
          <w:rStyle w:val="InlineUI"/>
        </w:rPr>
        <w:t>System Administrator</w:t>
      </w:r>
      <w:r>
        <w:t xml:space="preserve"> roles. </w:t>
      </w:r>
      <w:r>
        <w:rPr>
          <w:rStyle w:val="InlineUI"/>
        </w:rPr>
        <w:t>System administrators</w:t>
      </w:r>
      <w:r>
        <w:t xml:space="preserve"> can create additional custom provider roles.</w:t>
      </w:r>
    </w:p>
    <w:p>
      <w:pPr>
        <w:pStyle w:val="BodyText"/>
      </w:pPr>
      <w:r>
        <w:t xml:space="preserve">The </w:t>
      </w:r>
      <w:r>
        <w:rPr>
          <w:rStyle w:val="InlineUI"/>
        </w:rPr>
        <w:t>System Administrator</w:t>
      </w:r>
      <w:r>
        <w:t xml:space="preserve"> role exists only in the provider organization. The </w:t>
      </w:r>
      <w:r>
        <w:rPr>
          <w:rStyle w:val="InlineUI"/>
        </w:rPr>
        <w:t>System Administrator</w:t>
      </w:r>
      <w:r>
        <w:t xml:space="preserve"> role includes all rights in the system. For a list of rights available only to the </w:t>
      </w:r>
      <w:r>
        <w:rPr>
          <w:rStyle w:val="InlineUI"/>
        </w:rPr>
        <w:t>System administrator</w:t>
      </w:r>
      <w:r>
        <w:t xml:space="preserve"> role, see </w:t>
      </w:r>
      <w:r>
        <w:t>System Administrator Rights in VCF Automation</w:t>
      </w:r>
      <w:r>
        <w:t xml:space="preserve">. The </w:t>
      </w:r>
      <w:r>
        <w:rPr>
          <w:rStyle w:val="InlineUI"/>
        </w:rPr>
        <w:t>System administrator</w:t>
      </w:r>
      <w:r>
        <w:t xml:space="preserve"> credentials are established during installation and configuration. A </w:t>
      </w:r>
      <w:r>
        <w:rPr>
          <w:rStyle w:val="InlineUI"/>
        </w:rPr>
        <w:t>System Administrator</w:t>
      </w:r>
      <w:r>
        <w:t xml:space="preserve"> can create other system administrator and user accounts in the provider organization.</w:t>
      </w:r>
    </w:p>
    <w:p>
      <w:pPr>
        <w:pStyle w:val="SectionHeading4"/>
      </w:pPr>
      <w:bookmarkStart w:id="106" w:name="_Toc256000507"/>
      <w:r>
        <w:t>Predefined Global Roles</w:t>
      </w:r>
      <w:bookmarkEnd w:id="106"/>
    </w:p>
    <w:p>
      <w:pPr>
        <w:pStyle w:val="BodyText"/>
      </w:pPr>
      <w:r>
        <w:t xml:space="preserve">By default, the predefined global roles and the rights they contain, are published to all organizations. </w:t>
      </w:r>
      <w:r>
        <w:rPr>
          <w:rStyle w:val="InlineUI"/>
        </w:rPr>
        <w:t>System Administrators</w:t>
      </w:r>
      <w:r>
        <w:t xml:space="preserve"> can unpublish rights and global roles from individual organizations. </w:t>
      </w:r>
      <w:r>
        <w:rPr>
          <w:rStyle w:val="InlineUI"/>
        </w:rPr>
        <w:t>System Administrators</w:t>
      </w:r>
      <w:r>
        <w:t xml:space="preserve"> can edit or delete predefined global roles. </w:t>
      </w:r>
      <w:r>
        <w:rPr>
          <w:rStyle w:val="InlineUI"/>
        </w:rPr>
        <w:t>System administrators</w:t>
      </w:r>
      <w:r>
        <w:t xml:space="preserve"> can create and publish other global roles.</w:t>
      </w:r>
    </w:p>
    <w:p>
      <w:pPr>
        <w:pStyle w:val="ditaDT"/>
      </w:pPr>
      <w:r>
        <w:rPr>
          <w:rStyle w:val="InlineUI"/>
        </w:rPr>
        <w:t>Defer to Identity Provider</w:t>
      </w:r>
    </w:p>
    <w:p>
      <w:pPr>
        <w:pStyle w:val="ditaDD"/>
      </w:pPr>
      <w:r>
        <w:t xml:space="preserve">Rights associated with the predefined </w:t>
      </w:r>
      <w:r>
        <w:rPr>
          <w:rStyle w:val="InlineUI"/>
        </w:rPr>
        <w:t>Defer to Identity Provider</w:t>
      </w:r>
      <w:r>
        <w:t xml:space="preserve"> role are determined based on information received from the user's OAuth or SAML Identity Provider. To qualify for inclusion when a user or group is assigned the </w:t>
      </w:r>
      <w:r>
        <w:rPr>
          <w:rStyle w:val="InlineUI"/>
        </w:rPr>
        <w:t>Defer to Identity Provider</w:t>
      </w:r>
      <w:r>
        <w:t xml:space="preserve"> role, a role or group name supplied by the Identity Provider must be an exact, case-sensitive match for a role or group name defined in your organization.</w:t>
      </w:r>
    </w:p>
    <w:p>
      <w:pPr>
        <w:pStyle w:val="ditaDD"/>
        <w:numPr>
          <w:numId w:val="80"/>
        </w:numPr>
      </w:pPr>
      <w:r>
        <w:t xml:space="preserve">If an OAuth Identity Provider defines the user, the user is assigned the roles named in the </w:t>
      </w:r>
      <w:r>
        <w:rPr>
          <w:rStyle w:val="InlineCode"/>
        </w:rPr>
        <w:t>roles</w:t>
      </w:r>
      <w:r>
        <w:t xml:space="preserve"> array of the user's OAuth token.</w:t>
      </w:r>
    </w:p>
    <w:p>
      <w:pPr>
        <w:pStyle w:val="ditaDD"/>
        <w:numPr>
          <w:numId w:val="80"/>
        </w:numPr>
      </w:pPr>
      <w:r>
        <w:t xml:space="preserve">If a SAML Identity Provider defines the user, the user is assigned the roles named in the SAML attribute whose name appears in the </w:t>
      </w:r>
      <w:r>
        <w:rPr>
          <w:rStyle w:val="InlineCode"/>
        </w:rPr>
        <w:t>RoleAttributeName</w:t>
      </w:r>
      <w:r>
        <w:t xml:space="preserve"> element, which is in the </w:t>
      </w:r>
      <w:r>
        <w:rPr>
          <w:rStyle w:val="InlineCode"/>
        </w:rPr>
        <w:t>SamlAttributeMapping</w:t>
      </w:r>
      <w:r>
        <w:t xml:space="preserve"> element in the organization's </w:t>
      </w:r>
      <w:r>
        <w:rPr>
          <w:rStyle w:val="InlineCode"/>
        </w:rPr>
        <w:t>OrgFederationSettings</w:t>
      </w:r>
      <w:r>
        <w:t>.</w:t>
      </w:r>
    </w:p>
    <w:p>
      <w:pPr>
        <w:pStyle w:val="ditaDD"/>
      </w:pPr>
      <w:r>
        <w:t xml:space="preserve">If a user is assigned the </w:t>
      </w:r>
      <w:r>
        <w:rPr>
          <w:rStyle w:val="InlineUI"/>
        </w:rPr>
        <w:t>Defer to Identity Provider</w:t>
      </w:r>
      <w:r>
        <w:t xml:space="preserve"> role but no matching role or group name is available in your organization, the user can log in to the organization but has no rights. If an Identity Provider associates a user with a system-level role such as </w:t>
      </w:r>
      <w:r>
        <w:rPr>
          <w:rStyle w:val="InlineUI"/>
        </w:rPr>
        <w:t>System Administrator</w:t>
      </w:r>
      <w:r>
        <w:t>, the user can log in to the organization but has no rights. You must manually assign a role to such users.</w:t>
      </w:r>
    </w:p>
    <w:p>
      <w:pPr>
        <w:pStyle w:val="ditaDT"/>
      </w:pPr>
      <w:r>
        <w:rPr>
          <w:rStyle w:val="InlineUI"/>
        </w:rPr>
        <w:t>Organization Administrator</w:t>
      </w:r>
    </w:p>
    <w:p>
      <w:pPr>
        <w:pStyle w:val="ditaDD"/>
      </w:pPr>
      <w:r>
        <w:t xml:space="preserve">After creating an organization, a </w:t>
      </w:r>
      <w:r>
        <w:rPr>
          <w:rStyle w:val="InlineUI"/>
        </w:rPr>
        <w:t>System Administrator</w:t>
      </w:r>
      <w:r>
        <w:t xml:space="preserve"> can assign the role of </w:t>
      </w:r>
      <w:r>
        <w:rPr>
          <w:rStyle w:val="InlineUI"/>
        </w:rPr>
        <w:t>Organization Administrator</w:t>
      </w:r>
      <w:r>
        <w:t xml:space="preserve"> to the first user of the organization. A user with the predefined </w:t>
      </w:r>
      <w:r>
        <w:rPr>
          <w:rStyle w:val="InlineUI"/>
        </w:rPr>
        <w:t>Organization Administrator</w:t>
      </w:r>
      <w:r>
        <w:t xml:space="preserve"> role can manage users and groups in their organization and assign them roles, including the predefined </w:t>
      </w:r>
      <w:r>
        <w:rPr>
          <w:rStyle w:val="InlineUI"/>
        </w:rPr>
        <w:t>Organization Administrator</w:t>
      </w:r>
      <w:r>
        <w:t xml:space="preserve"> role. Roles created or modified by an </w:t>
      </w:r>
      <w:r>
        <w:rPr>
          <w:rStyle w:val="InlineUI"/>
        </w:rPr>
        <w:t>Organization Administrator</w:t>
      </w:r>
      <w:r>
        <w:t xml:space="preserve"> are not visible to other organizations.</w:t>
      </w:r>
    </w:p>
    <w:p>
      <w:pPr>
        <w:pStyle w:val="ditaDT"/>
      </w:pPr>
      <w:r>
        <w:rPr>
          <w:rStyle w:val="InlineUI"/>
        </w:rPr>
        <w:t>Organization Auditor</w:t>
      </w:r>
    </w:p>
    <w:p>
      <w:pPr>
        <w:pStyle w:val="ditaDD"/>
      </w:pPr>
      <w:r>
        <w:t xml:space="preserve">The </w:t>
      </w:r>
      <w:r>
        <w:rPr>
          <w:rStyle w:val="InlineUI"/>
        </w:rPr>
        <w:t>Organization Auditor</w:t>
      </w:r>
      <w:r>
        <w:t xml:space="preserve"> is a read-only role that can view anything that an </w:t>
      </w:r>
      <w:r>
        <w:rPr>
          <w:rStyle w:val="InlineUI"/>
        </w:rPr>
        <w:t>Organization Administrator</w:t>
      </w:r>
      <w:r>
        <w:t xml:space="preserve"> can see, however, they cannot edit or manage users and groups in their organization.</w:t>
      </w:r>
    </w:p>
    <w:p>
      <w:pPr>
        <w:pStyle w:val="ditaDT"/>
      </w:pPr>
      <w:r>
        <w:rPr>
          <w:rStyle w:val="InlineUI"/>
        </w:rPr>
        <w:t>Organization User</w:t>
      </w:r>
    </w:p>
    <w:p>
      <w:pPr>
        <w:pStyle w:val="ditaDD"/>
      </w:pPr>
      <w:r>
        <w:t>A base-level role that allows users to log in and be added to projects.</w:t>
      </w:r>
    </w:p>
    <w:p>
      <w:pPr>
        <w:pStyle w:val="BodyText"/>
      </w:pPr>
      <w:r>
        <w:t xml:space="preserve">Except the </w:t>
      </w:r>
      <w:r>
        <w:rPr>
          <w:rStyle w:val="InlineUI"/>
        </w:rPr>
        <w:t>Defer to Identity Provider</w:t>
      </w:r>
      <w:r>
        <w:t xml:space="preserve"> role, each predefined role includes a set of default rights. Only a </w:t>
      </w:r>
      <w:r>
        <w:rPr>
          <w:rStyle w:val="InlineUI"/>
        </w:rPr>
        <w:t>System Administrator</w:t>
      </w:r>
      <w:r>
        <w:t xml:space="preserve"> can modify the rights in a predefined role. If a </w:t>
      </w:r>
      <w:r>
        <w:rPr>
          <w:rStyle w:val="InlineUI"/>
        </w:rPr>
        <w:t>System Administrator</w:t>
      </w:r>
      <w:r>
        <w:t xml:space="preserve"> modifies a predefined role, the modifications propagate to all instances of the role in the system.</w:t>
      </w:r>
    </w:p>
    <w:p>
      <w:pPr>
        <w:pStyle w:val="SectionHeading4"/>
      </w:pPr>
      <w:bookmarkStart w:id="107" w:name="_Toc256000508"/>
      <w:r>
        <w:t>Rights in Predefined Global Roles</w:t>
      </w:r>
      <w:bookmarkEnd w:id="107"/>
    </w:p>
    <w:p>
      <w:pPr>
        <w:pStyle w:val="BodyText"/>
      </w:pPr>
      <w:r>
        <w:t xml:space="preserve">A </w:t>
      </w:r>
      <w:r>
        <w:rPr>
          <w:rStyle w:val="InlineUI"/>
        </w:rPr>
        <w:t>System Administrator</w:t>
      </w:r>
      <w:r>
        <w:t xml:space="preserve"> can use the </w:t>
      </w:r>
      <w:r>
        <w:t>Provider Management Portal</w:t>
      </w:r>
      <w:r>
        <w:t xml:space="preserve"> to view the list of rights included in a role.</w:t>
      </w:r>
    </w:p>
    <w:p>
      <w:pPr>
        <w:pStyle w:val="BodyText"/>
        <w:numPr>
          <w:numId w:val="81"/>
        </w:numPr>
      </w:pPr>
      <w:r>
        <w:t xml:space="preserve">From the primary left navigation panel, click </w:t>
      </w:r>
      <w:r>
        <w:rPr>
          <w:rStyle w:val="InlineUI"/>
        </w:rPr>
        <w:t>Access Control</w:t>
      </w:r>
      <w:r>
        <w:t>.</w:t>
      </w:r>
    </w:p>
    <w:p>
      <w:pPr>
        <w:pStyle w:val="BodyText"/>
        <w:numPr>
          <w:numId w:val="81"/>
        </w:numPr>
      </w:pPr>
      <w:r>
        <w:t xml:space="preserve">Click the </w:t>
      </w:r>
      <w:r>
        <w:rPr>
          <w:rStyle w:val="InlineUI"/>
        </w:rPr>
        <w:t>Global Roles</w:t>
      </w:r>
      <w:r>
        <w:t xml:space="preserve"> tab.</w:t>
      </w:r>
    </w:p>
    <w:p>
      <w:pPr>
        <w:pStyle w:val="BodyText"/>
        <w:numPr>
          <w:numId w:val="81"/>
        </w:numPr>
      </w:pPr>
      <w:r>
        <w:t>Click the name of the role you want to view.</w:t>
      </w:r>
    </w:p>
    <w:p>
      <w:pPr>
        <w:pStyle w:val="BodyText"/>
      </w:pPr>
      <w:r>
        <w:t xml:space="preserve">An </w:t>
      </w:r>
      <w:r>
        <w:rPr>
          <w:rStyle w:val="InlineUI"/>
        </w:rPr>
        <w:t>Organization Administrator</w:t>
      </w:r>
      <w:r>
        <w:t xml:space="preserve"> can log in to their organization to view the rights in a role or create roles local to the organization.</w:t>
      </w:r>
    </w:p>
    <w:p>
      <w:pPr>
        <w:pStyle w:val="BodyText"/>
      </w:pPr>
      <w:r>
        <w:t xml:space="preserve">Various rights are common to multiple predefined global roles. These rights are granted by default to all new organizations, and are available for use in other roles created by the </w:t>
      </w:r>
      <w:r>
        <w:rPr>
          <w:rStyle w:val="InlineUI"/>
        </w:rPr>
        <w:t>Organization Administrator</w:t>
      </w:r>
      <w:r>
        <w:t xml:space="preserve">. For a list of the rights in predefined tenant roles, see </w:t>
      </w:r>
      <w:r>
        <w:t>VCF Automation Rights in Predefined Global Roles</w:t>
      </w:r>
      <w:r>
        <w:t>.</w:t>
      </w:r>
    </w:p>
    <w:p>
      <w:pPr>
        <w:pStyle w:val="Heading3"/>
      </w:pPr>
      <w:bookmarkStart w:id="108" w:name="B94116329a766466b8a00a97848b706b1"/>
      <w:bookmarkStart w:id="109" w:name="_Toc256000509"/>
      <w:r>
        <w:t>System Administrator Rights in VCF Automation</w:t>
      </w:r>
      <w:bookmarkEnd w:id="109"/>
      <w:bookmarkEnd w:id="108"/>
    </w:p>
    <w:p>
      <w:pPr>
        <w:pStyle w:val="BodyText"/>
      </w:pPr>
      <w:r>
        <w:t xml:space="preserve">The </w:t>
      </w:r>
      <w:r>
        <w:rPr>
          <w:rStyle w:val="InlineUI"/>
        </w:rPr>
        <w:t>System Administrator</w:t>
      </w:r>
      <w:r>
        <w:t xml:space="preserve"> role exists only in the provider organization. By default, the </w:t>
      </w:r>
      <w:r>
        <w:rPr>
          <w:rStyle w:val="InlineUI"/>
        </w:rPr>
        <w:t>System Administrator</w:t>
      </w:r>
      <w:r>
        <w:t xml:space="preserve"> role has all </w:t>
      </w:r>
      <w:r>
        <w:t>VCF Automation</w:t>
      </w:r>
      <w:r>
        <w:t xml:space="preserve"> rights.</w:t>
      </w:r>
    </w:p>
    <w:p>
      <w:pPr>
        <w:pStyle w:val="BodyText"/>
      </w:pPr>
      <w:r>
        <w:t xml:space="preserve">The </w:t>
      </w:r>
      <w:r>
        <w:rPr>
          <w:rStyle w:val="InlineUI"/>
        </w:rPr>
        <w:t>System Administrator</w:t>
      </w:r>
      <w:r>
        <w:t xml:space="preserve"> role has all </w:t>
      </w:r>
      <w:r>
        <w:t>VCF Automation</w:t>
      </w:r>
      <w:r>
        <w:t xml:space="preserve"> rights. This list consists of the rights available only to </w:t>
      </w:r>
      <w:r>
        <w:rPr>
          <w:rStyle w:val="InlineUI"/>
        </w:rPr>
        <w:t>System Administrators</w:t>
      </w:r>
      <w:r>
        <w:t xml:space="preserve">. The </w:t>
      </w:r>
      <w:r>
        <w:rPr>
          <w:rStyle w:val="InlineUI"/>
        </w:rPr>
        <w:t>System Administrator</w:t>
      </w:r>
      <w:r>
        <w:t xml:space="preserve"> role has also the </w:t>
      </w:r>
      <w:r>
        <w:t>VCF Automation Rights in Predefined Global Roles</w:t>
      </w:r>
      <w:r>
        <w:t>.</w:t>
      </w:r>
    </w:p>
    <w:p>
      <w:pPr>
        <w:pStyle w:val="BodyText"/>
      </w:pPr>
      <w:r>
        <w:t xml:space="preserve">The rights' names in the table below are the </w:t>
      </w:r>
      <w:r>
        <w:t xml:space="preserve"> API rights' names. The API and UI rights' names might be different. If you want to see a list of all </w:t>
      </w:r>
      <w:r>
        <w:t xml:space="preserve"> rights with API rights' names, UI rights' names, right classifications, UI right categories, and so on, see the </w:t>
      </w:r>
      <w:hyperlink r:id="rId11" w:tooltip="VCF Automation 9.0.1 Rights" w:history="1">
        <w:r>
          <w:rPr>
            <w:color w:val="0000FF"/>
            <w:u w:val="single"/>
          </w:rPr>
          <w:t>VCF Automation 9.0.1 Rights</w:t>
        </w:r>
      </w:hyperlink>
      <w:r>
        <w:t xml:space="preserve"> file in CSV format.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6</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Rights Available by Default Only to System Administrators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643"/>
        <w:gridCol w:w="63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New in This Release</w:t>
            </w:r>
          </w:p>
        </w:tc>
        <w:tc>
          <w:tcPr>
            <w:tcBorders>
              <w:left w:val="nil"/>
              <w:right w:val="nil"/>
            </w:tcBorders>
            <w:shd w:val="clear" w:color="auto" w:fill="E1E1E1"/>
            <w:tcMar>
              <w:top w:w="60" w:type="dxa"/>
              <w:bottom w:w="60" w:type="dxa"/>
            </w:tcMar>
          </w:tcPr>
          <w:p>
            <w:pPr>
              <w:pStyle w:val="TableHeaderText"/>
            </w:pPr>
            <w:r>
              <w:t>API Name of the System Administrator Right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Access Any Namespace with Elevated Privileges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Access Any Namespace: Edit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Access Any Namespace: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Access Control List: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Access Control List: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Access Metrics Endpoint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Advisory Definitions: Create and Delete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Advisory Definitions: Read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Allowed Origins: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Allowed Origins: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Alternate Admin Entity: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API Explorer: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API Tokens: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API Tokens: Manage All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Approvals: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Approvals: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Audit: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Billing: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Blueprint Request: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Blueprint Request: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Blueprint: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Blueprint: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Catalog Instance: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Catalog: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Catalog: Manage Distribution Settings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Catalog: Request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Catalog: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Catalog: View Distribution Settings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Cell Configuration: Edit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Cell Configuration: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Certificate Library: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Certificate Library: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Connectivity Profile: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Connectivity Profile: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Content Library Item: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Content Library Item: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Content Library: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Content Library: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Content Orchestrator Action: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Content Orchestrator Workflow: Publish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Content Orchestrator Workflow: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Custom entity: Create custom entity definitions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Custom entity: Delete custom entity definitions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Custom entity: Edit custom entity definitions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Custom entity: Manage any custom entity definition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Custom entity: View all custom entity instances in org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Custom entity: View any custom entity definition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Custom entity: View custom entity definitions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Custom entity: View custom entity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Custom Resources: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Custom Resources: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Datastore: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Edge Cluster: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Edge Cluster: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Extensibility: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Extensibility: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Extension Service API Definition: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Extension Service API Definition: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Extension Services: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Extensions: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External Service: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External Service: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General: Administrator Control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General: Administrator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General: View Error Details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Global Role: Edit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Global Role: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Group / User: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Group / User: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Host: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Integrations Orchestrator: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Integrations Orchestrator: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Integrations: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Integrations: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Inventory: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IP Blocks: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IP Blocks: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LDAP Settings: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LDAP Settings: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Localization Resources: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Metadata File Entry: Create/Modify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Metrics: Token Exchange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Metrics: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Namespace Class: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Namespace Class: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Namespace Lifecycle: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Namespace Lifecycle: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Namespace Usage: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Namespace Usage: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Namespace: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Namespace: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Notifications: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Notifications: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NSX Manager: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NSX Manager: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OIDC Server: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OIDC Server: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Orchestrator: Administrator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Orchestrator: Designer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Orchestrator: Viewer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Quotas: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vDC Storage Policy: View Capabilities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vDC: Create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vDC: Delete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vDC: Enable or Disable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vDC: Extended Edit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vDC: Extended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vDC: Simple Edit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vDC: User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Activate or Deactivate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Create or Delete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Edit Federation Settings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Edit LDAP Settings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Edit Limits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Edit Name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Edit OAuth Settings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Edit Password Policy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Edit Properties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Edit Quotas Policy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Edit SMTP Settings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Edit Username Mask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Perform Administrator Queries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Traversal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Use Provider LDAP as Tenant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View Federation Settings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View LDAP Settings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View OAuth Settings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View Other Orgs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Policy: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Policy: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Project Assignment: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Project Assignment: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Projects: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Projects: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Property Group: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Property Group: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Provider Gateway: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Provider Gateway: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Provider Network: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Provider vDC Resource Pool: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Provider vDC Storage Policy: Limited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Provider vDC: Limited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Public Endpoints: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 Storage Policy: Edit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 Storage Policy: Limited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 Storage Policy: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 Limited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 Simple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Regional Networking Setting: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Regional Networking Setting: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Resource Actions: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Resource Actions: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Resource Class Action: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Resource Class Action: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Resource Pool: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Right: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Right: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Rights Bundle: Edit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Rights Bundle: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Role: Create, Edit, Delete, or Copy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Secrets: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Secrets: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Account: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Account: Simple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Account: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Authorization: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Configuration: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Configuration: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Link: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Link: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Resource Type: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Resource Type: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Resource: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Resource: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Settings: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Settings: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Site: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SSL Settings: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SSL Settings: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SSL: Test Connection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Storage Classes: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Supervisor Inventory: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System IP Spaces: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System IP Spaces: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System Organization: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System Organization: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System Settings: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System Settings: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System: Manage Proxy Rules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System: View Proxy Rules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Task: Resume, Abort, or Fail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Task: Update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Task: View Tasks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Toggles: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Token: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Token: Manage All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Transit Gateway: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Transparent Proxy: NSX Proxy Usage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Transparent Proxy: vCenter Proxy Usage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Transparent Proxy: VCF Operations API Proxy Usage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Truststore: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Truststore: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UI Plugins: Define, Upload, Modify, Delete, Associate or Disassociate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UI Plugins: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vApp: Delete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vApp: Edit VM Network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vApp: Edit VM Properties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vApp: Import Options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vApp: Sharing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vApp: Use Console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vApp: View ACL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vApp: VM Check Compliance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vCenter: Attach or Detach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vCenter: Enable or Disable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vCenter: Open in vSphere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vCenter: Refresh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vCenter: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VCF Infra Endpoint :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VCF Infra Endpoint :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VCF Service Registry Capability :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VCF Service Registry Capability :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VCFA: Internal Service Access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Virtual Datacenter: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Virtual Datacenter: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(Available in version 9.0.1 and later)</w:t>
            </w:r>
          </w:p>
        </w:tc>
        <w:tc>
          <w:tcPr>
            <w:tcBorders>
              <w:left w:val="nil"/>
              <w:right w:val="nil"/>
            </w:tcBorders>
          </w:tcPr>
          <w:p>
            <w:pPr>
              <w:pStyle w:val="TableBodyText"/>
            </w:pPr>
            <w:r>
              <w:t>VKSm: Attach/Detach Clusters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(Available in version 9.0.1 and later)</w:t>
            </w:r>
          </w:p>
        </w:tc>
        <w:tc>
          <w:tcPr>
            <w:tcBorders>
              <w:left w:val="nil"/>
              <w:right w:val="nil"/>
            </w:tcBorders>
          </w:tcPr>
          <w:p>
            <w:pPr>
              <w:pStyle w:val="TableBodyText"/>
            </w:pPr>
            <w:r>
              <w:t>VKSm: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(Available in version 9.0.1 and later)</w:t>
            </w:r>
          </w:p>
        </w:tc>
        <w:tc>
          <w:tcPr>
            <w:tcBorders>
              <w:left w:val="nil"/>
              <w:right w:val="nil"/>
            </w:tcBorders>
          </w:tcPr>
          <w:p>
            <w:pPr>
              <w:pStyle w:val="TableBodyText"/>
            </w:pPr>
            <w:r>
              <w:t>VKSm: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VM Group OS association: Delete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VM Group OS association: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VM Group OS association: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VPC: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VPC: View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Server: Manage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Server: Manage Proxy Configuration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Server: View</w:t>
            </w:r>
          </w:p>
        </w:tc>
      </w:tr>
    </w:tbl>
    <w:p>
      <w:pPr>
        <w:pStyle w:val="Heading3"/>
        <w:spacing w:before="320"/>
      </w:pPr>
      <w:bookmarkStart w:id="110" w:name="B3c6f733527d44826b7dff5b30533122e"/>
      <w:bookmarkStart w:id="111" w:name="_Toc256000510"/>
      <w:r>
        <w:t>VCF Automation Rights in Predefined Global Roles</w:t>
      </w:r>
      <w:bookmarkEnd w:id="111"/>
      <w:bookmarkEnd w:id="110"/>
    </w:p>
    <w:p>
      <w:pPr>
        <w:pStyle w:val="BodyText"/>
      </w:pPr>
      <w:r>
        <w:t xml:space="preserve">Various </w:t>
      </w:r>
      <w:r>
        <w:t>VCF Automation</w:t>
      </w:r>
      <w:r>
        <w:t xml:space="preserve"> rights are common to multiple predefined global roles. These rights are granted by default to all new organizations and are available for use in other roles created by the </w:t>
      </w:r>
      <w:r>
        <w:rPr>
          <w:rStyle w:val="InlineUI"/>
        </w:rPr>
        <w:t>organization administrator</w:t>
      </w:r>
      <w:r>
        <w:t>.</w:t>
      </w:r>
    </w:p>
    <w:p>
      <w:pPr>
        <w:pStyle w:val="SectionHeading4"/>
      </w:pPr>
      <w:bookmarkStart w:id="112" w:name="_Toc256000511"/>
      <w:r>
        <w:t>Rights Included in the Global Roles in VCF Automation</w:t>
      </w:r>
      <w:bookmarkEnd w:id="112"/>
    </w:p>
    <w:p>
      <w:pPr>
        <w:pStyle w:val="BodyText"/>
      </w:pPr>
      <w:r>
        <w:t xml:space="preserve">This list consists of the rights available to user roles in the </w:t>
      </w:r>
      <w:r>
        <w:t>VCF Automation</w:t>
      </w:r>
      <w:r>
        <w:t xml:space="preserve"> organizations. For the rights available to </w:t>
      </w:r>
      <w:r>
        <w:rPr>
          <w:rStyle w:val="InlineUI"/>
        </w:rPr>
        <w:t>System Administrators</w:t>
      </w:r>
      <w:r>
        <w:t xml:space="preserve">, see </w:t>
      </w:r>
      <w:r>
        <w:t>System Administrator Rights in VCF Automation</w:t>
      </w:r>
      <w:r>
        <w:t>.</w:t>
      </w:r>
    </w:p>
    <w:p>
      <w:pPr>
        <w:pStyle w:val="BodyText"/>
      </w:pPr>
      <w:r>
        <w:t xml:space="preserve">The rights' names in the table below are the </w:t>
      </w:r>
      <w:r>
        <w:t xml:space="preserve"> API rights' names. The API and UI rights' names might be different. If you want to see a list of all </w:t>
      </w:r>
      <w:r>
        <w:t xml:space="preserve"> rights with API rights' names, UI rights' names, right classifications, UI right categories, and so on, see the </w:t>
      </w:r>
      <w:hyperlink r:id="rId11" w:tooltip="VCF Automation 9.0.1 Rights" w:history="1">
        <w:r>
          <w:rPr>
            <w:color w:val="0000FF"/>
            <w:u w:val="single"/>
          </w:rPr>
          <w:t>VCF Automation 9.0.1 Rights</w:t>
        </w:r>
      </w:hyperlink>
      <w:r>
        <w:t xml:space="preserve"> file in CSV format.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2"/>
        <w:gridCol w:w="2274"/>
        <w:gridCol w:w="2193"/>
        <w:gridCol w:w="1952"/>
        <w:gridCol w:w="187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API Name of the Right</w:t>
            </w:r>
          </w:p>
        </w:tc>
        <w:tc>
          <w:tcPr>
            <w:tcBorders>
              <w:left w:val="nil"/>
              <w:right w:val="nil"/>
            </w:tcBorders>
            <w:shd w:val="clear" w:color="auto" w:fill="E1E1E1"/>
            <w:tcMar>
              <w:top w:w="60" w:type="dxa"/>
              <w:bottom w:w="60" w:type="dxa"/>
            </w:tcMar>
          </w:tcPr>
          <w:p>
            <w:pPr>
              <w:pStyle w:val="TableHeaderText"/>
            </w:pPr>
            <w:r>
              <w:rPr>
                <w:rStyle w:val="InlineUI"/>
              </w:rPr>
              <w:t>Organization Administrator</w:t>
            </w:r>
          </w:p>
        </w:tc>
        <w:tc>
          <w:tcPr>
            <w:tcBorders>
              <w:left w:val="nil"/>
              <w:right w:val="nil"/>
            </w:tcBorders>
            <w:shd w:val="clear" w:color="auto" w:fill="E1E1E1"/>
            <w:tcMar>
              <w:top w:w="60" w:type="dxa"/>
              <w:bottom w:w="60" w:type="dxa"/>
            </w:tcMar>
          </w:tcPr>
          <w:p>
            <w:pPr>
              <w:pStyle w:val="TableHeaderText"/>
            </w:pPr>
            <w:r>
              <w:rPr>
                <w:rStyle w:val="InlineUI"/>
              </w:rPr>
              <w:t>Organization Auditor</w:t>
            </w:r>
          </w:p>
        </w:tc>
        <w:tc>
          <w:tcPr>
            <w:tcBorders>
              <w:left w:val="nil"/>
              <w:right w:val="nil"/>
            </w:tcBorders>
            <w:shd w:val="clear" w:color="auto" w:fill="E1E1E1"/>
            <w:tcMar>
              <w:top w:w="60" w:type="dxa"/>
              <w:bottom w:w="60" w:type="dxa"/>
            </w:tcMar>
          </w:tcPr>
          <w:p>
            <w:pPr>
              <w:pStyle w:val="TableHeaderText"/>
            </w:pPr>
            <w:r>
              <w:rPr>
                <w:rStyle w:val="InlineUI"/>
              </w:rPr>
              <w:t>Organization User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Access Any Namespace: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Access Control List: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Advisory Definitions: Read</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Allowed Origins: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Alternate Admin Entity: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API Explorer: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r>
              <w:t>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Approvals: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Blueprint: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Catalog Instance: Manage</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Catalog: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Catalog: View Distribution Settings</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Cell Configuration: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Certificate Library: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Connectivity Profile: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Content Library Item: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Content Library: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Content Orchestrator Action: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Content Orchestrator Workflow: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Custom entity: View all custom entity instances in org</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Custom entity: View any custom entity definition</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r>
              <w:t>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Datastore: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Edge Cluster: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Extensibility: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Extension Service API Definition: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Extension Services: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Extensions: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External Service: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General: View Error Details</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Global Role: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Group / User: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Host: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Integrations Orchestrator: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Integrations: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LDAP Settings: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Metrics: Token Exchange</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Namespace Class: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Namespace Lifecycle: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Namespace Usage: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Namespace: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Notifications: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NSX Manager: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OIDC Server: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vDC Storage Policy: View Capabilities</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vDC: Extended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vDC: User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Use Provider LDAP as Tenant</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View Federation Settings</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View LDAP Settings</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View OAuth Settings</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Organization: View Other Orgs</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Policy: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Project Assignment: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Projects: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Property Group: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Provider Network: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Provider vDC Resource Pool: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 Storage Policy: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 Simple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Regional Networking Setting: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Regions: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Resource Actions: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Resource Class Action: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Resource Pool: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Right: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Rights Bundle: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Secrets: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Account: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Authorization: Manage</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Configuration: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Link: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Resource Type: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Service Resource: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Settings: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Site: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SSL Settings: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SSL: Test Connection</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Storage Classes: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Supervisor Inventory: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System IP Spaces: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System: View Proxy Rules</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Task: Resume, Abort, or Fail</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r>
              <w:t>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Task: Update</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Task: View Tasks</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Transit Gateway: View</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Transparent Proxy: NSX Proxy Usage</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Transparent Proxy: vCenter Proxy Usage</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Transparent Proxy: VCF Operations API Proxy Usage</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Truststore: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UI Plugins: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vApp: Sharing</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vApp: View ACL</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vApp: VM Check Compliance</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vCenter: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r>
              <w:t>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VCF Infra Endpoint :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VCF Service Registry Capability :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w:t>
            </w:r>
          </w:p>
          <w:p>
            <w:pPr>
              <w:pStyle w:val="TableBodyText"/>
            </w:pPr>
            <w:r>
              <w:t>(Available in version 9.0.1 and later)</w:t>
            </w:r>
          </w:p>
        </w:tc>
        <w:tc>
          <w:tcPr>
            <w:tcBorders>
              <w:left w:val="nil"/>
              <w:right w:val="nil"/>
            </w:tcBorders>
          </w:tcPr>
          <w:p>
            <w:pPr>
              <w:pStyle w:val="TableBodyText"/>
            </w:pPr>
            <w:r>
              <w:t>VKSm: Manage</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w:t>
            </w:r>
          </w:p>
          <w:p>
            <w:pPr>
              <w:pStyle w:val="TableBodyText"/>
            </w:pPr>
            <w:r>
              <w:t>(Available in version 9.0.1 and later)</w:t>
            </w:r>
          </w:p>
        </w:tc>
        <w:tc>
          <w:tcPr>
            <w:tcBorders>
              <w:left w:val="nil"/>
              <w:right w:val="nil"/>
            </w:tcBorders>
          </w:tcPr>
          <w:p>
            <w:pPr>
              <w:pStyle w:val="TableBodyText"/>
            </w:pPr>
            <w:r>
              <w:t>VKSm: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VM Group OS association: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t>vSphere Server: View</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p>
        </w:tc>
      </w:tr>
    </w:tbl>
    <w:p>
      <w:pPr>
        <w:pStyle w:val="Heading3"/>
        <w:spacing w:before="320"/>
      </w:pPr>
      <w:bookmarkStart w:id="113" w:name="_Toc256000512"/>
      <w:r>
        <w:t>Managing Rights Bundles in VCF Automation</w:t>
      </w:r>
      <w:bookmarkEnd w:id="113"/>
    </w:p>
    <w:p>
      <w:pPr>
        <w:pStyle w:val="BodyText"/>
      </w:pPr>
      <w:r>
        <w:t xml:space="preserve">By default, </w:t>
      </w:r>
      <w:r>
        <w:t>VCF Automation</w:t>
      </w:r>
      <w:r>
        <w:t xml:space="preserve"> shows the rights bundles in </w:t>
      </w:r>
      <w:r>
        <w:rPr>
          <w:rStyle w:val="InlineCode"/>
        </w:rPr>
        <w:t>Simple Mode</w:t>
      </w:r>
      <w:r>
        <w:t xml:space="preserve"> and you can only view the built-in read-only rights bundles and publish the </w:t>
      </w:r>
      <w:r>
        <w:rPr>
          <w:rStyle w:val="InlineCode"/>
        </w:rPr>
        <w:t>Orchestrator Rights Bundle</w:t>
      </w:r>
      <w:r>
        <w:t xml:space="preserve"> to organizations in which you want to enable </w:t>
      </w:r>
      <w:r>
        <w:t>VCF Operations orchestrator</w:t>
      </w:r>
      <w:r>
        <w:t>.</w:t>
      </w:r>
    </w:p>
    <w:p>
      <w:pPr>
        <w:pStyle w:val="BodyText"/>
      </w:pPr>
      <w:r>
        <w:t xml:space="preserve">As a </w:t>
      </w:r>
      <w:r>
        <w:rPr>
          <w:rStyle w:val="InlineUI"/>
        </w:rPr>
        <w:t>system administrator</w:t>
      </w:r>
      <w:r>
        <w:t xml:space="preserve">, you can activate the feature flag for </w:t>
      </w:r>
      <w:r>
        <w:rPr>
          <w:rStyle w:val="InlineUI"/>
        </w:rPr>
        <w:t>Advanced Rights Bundle Mode</w:t>
      </w:r>
      <w:r>
        <w:t xml:space="preserve"> and constrain certain organizations from performing certain actions. You can manage feature flags by navigating to the </w:t>
      </w:r>
      <w:r>
        <w:rPr>
          <w:rStyle w:val="InlineUI"/>
        </w:rPr>
        <w:t>Feature Flags</w:t>
      </w:r>
      <w:r>
        <w:t xml:space="preserve"> page from the left navigation pane.</w:t>
      </w:r>
    </w:p>
    <w:p>
      <w:pPr>
        <w:pStyle w:val="BodyText"/>
      </w:pPr>
      <w:r>
        <w:t xml:space="preserve">In </w:t>
      </w:r>
      <w:r>
        <w:rPr>
          <w:rStyle w:val="InlineCode"/>
        </w:rPr>
        <w:t>Advanced Mode</w:t>
      </w:r>
      <w:r>
        <w:t xml:space="preserve">, you can create custom rights bundles and publish them to one and more </w:t>
      </w:r>
      <w:r>
        <w:t>VCF Automation</w:t>
      </w:r>
      <w:r>
        <w:t xml:space="preserve"> organizations in your cloud. You can edit and delete rights bundles, and unpublish rights bundles from organizations in your cloud.</w:t>
      </w:r>
    </w:p>
    <w:p>
      <w:pPr>
        <w:pStyle w:val="Heading4"/>
      </w:pPr>
      <w:bookmarkStart w:id="114" w:name="_Toc256000513"/>
      <w:r>
        <w:t>Create a Rights Bundle in VCF Automation</w:t>
      </w:r>
      <w:bookmarkEnd w:id="114"/>
    </w:p>
    <w:p>
      <w:pPr>
        <w:pStyle w:val="BodyText"/>
      </w:pPr>
      <w:r>
        <w:t xml:space="preserve">You can group a set of rights as a rights bundle which you can publish to one or more </w:t>
      </w:r>
      <w:r>
        <w:t>VCF Automation</w:t>
      </w:r>
      <w:r>
        <w:t xml:space="preserve"> organizations in your system.</w:t>
      </w:r>
    </w:p>
    <w:p>
      <w:pPr>
        <w:pStyle w:val="BodyText"/>
      </w:pPr>
      <w:r>
        <w:rPr>
          <w:rStyle w:val="Strong"/>
        </w:rPr>
        <w:t>Prerequisites</w:t>
      </w:r>
    </w:p>
    <w:p>
      <w:pPr>
        <w:pStyle w:val="BodyText"/>
      </w:pPr>
      <w:r>
        <w:t xml:space="preserve">From the left navigation panel, select </w:t>
      </w:r>
      <w:r>
        <w:rPr>
          <w:rStyle w:val="InlineUI"/>
        </w:rPr>
        <w:t>Feature Flags</w:t>
      </w:r>
      <w:r>
        <w:t xml:space="preserve"> and enable </w:t>
      </w:r>
      <w:r>
        <w:rPr>
          <w:rStyle w:val="InlineUI"/>
        </w:rPr>
        <w:t>Advanced Rights Bundle Mode</w:t>
      </w:r>
      <w:r>
        <w:t>.</w:t>
      </w:r>
    </w:p>
    <w:p>
      <w:pPr>
        <w:pStyle w:val="BodyText"/>
      </w:pPr>
      <w:r>
        <w:rPr>
          <w:rStyle w:val="Strong"/>
        </w:rPr>
        <w:t>Procedure</w:t>
      </w:r>
    </w:p>
    <w:p>
      <w:pPr>
        <w:pStyle w:val="BodyText"/>
        <w:numPr>
          <w:numId w:val="82"/>
        </w:numPr>
      </w:pPr>
      <w:r>
        <w:t xml:space="preserve">Log in to the </w:t>
      </w:r>
      <w:r>
        <w:t>.</w:t>
      </w:r>
    </w:p>
    <w:p>
      <w:pPr>
        <w:pStyle w:val="BodyText"/>
        <w:numPr>
          <w:numId w:val="82"/>
        </w:numPr>
      </w:pPr>
      <w:r>
        <w:t xml:space="preserve">From the left navigation panel, select </w:t>
      </w:r>
      <w:r>
        <w:rPr>
          <w:rStyle w:val="InlineUI"/>
        </w:rPr>
        <w:t>Access Control</w:t>
      </w:r>
      <w:r>
        <w:t>.</w:t>
      </w:r>
    </w:p>
    <w:p>
      <w:pPr>
        <w:pStyle w:val="BodyText"/>
        <w:numPr>
          <w:numId w:val="82"/>
        </w:numPr>
      </w:pPr>
      <w:r>
        <w:t xml:space="preserve">Click the </w:t>
      </w:r>
      <w:r>
        <w:rPr>
          <w:rStyle w:val="InlineUI"/>
        </w:rPr>
        <w:t>Rights Bundles</w:t>
      </w:r>
      <w:r>
        <w:t xml:space="preserve"> tab, and click </w:t>
      </w:r>
      <w:r>
        <w:rPr>
          <w:rStyle w:val="InlineUI"/>
        </w:rPr>
        <w:t>Add</w:t>
      </w:r>
      <w:r>
        <w:t>.</w:t>
      </w:r>
    </w:p>
    <w:p>
      <w:pPr>
        <w:pStyle w:val="BodyText"/>
        <w:numPr>
          <w:numId w:val="82"/>
        </w:numPr>
      </w:pPr>
      <w:r>
        <w:t>Enter a name and, optionally, a description for the new rights bundle.</w:t>
      </w:r>
    </w:p>
    <w:p>
      <w:pPr>
        <w:pStyle w:val="BodyText"/>
        <w:numPr>
          <w:numId w:val="82"/>
        </w:numPr>
      </w:pPr>
      <w:r>
        <w:t>Select the rights that you want to associate with this bundle.</w:t>
      </w:r>
    </w:p>
    <w:p>
      <w:pPr>
        <w:pStyle w:val="BodyText"/>
        <w:ind w:left="480"/>
      </w:pPr>
      <w:r>
        <w:t>The rights are grouped in categories and subcategories for view or manage access to the object to which they relate.</w:t>
      </w:r>
    </w:p>
    <w:p>
      <w:pPr>
        <w:pStyle w:val="BodyText"/>
        <w:ind w:left="480"/>
      </w:pPr>
      <w:r>
        <w:t>You can select the rights individually, by view or manage by subcategory, or by view or manage globally.</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9"/>
        <w:gridCol w:w="784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Category</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Access Control</w:t>
            </w:r>
          </w:p>
        </w:tc>
        <w:tc>
          <w:tcPr>
            <w:tcBorders>
              <w:left w:val="nil"/>
              <w:right w:val="nil"/>
            </w:tcBorders>
          </w:tcPr>
          <w:p>
            <w:pPr>
              <w:pStyle w:val="TableBodyText"/>
            </w:pPr>
            <w:r>
              <w:t>Contains rights for viewing and managing organizations, rights, roles, and users.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Administration</w:t>
            </w:r>
          </w:p>
        </w:tc>
        <w:tc>
          <w:tcPr>
            <w:tcBorders>
              <w:left w:val="nil"/>
              <w:right w:val="nil"/>
            </w:tcBorders>
          </w:tcPr>
          <w:p>
            <w:pPr>
              <w:pStyle w:val="TableBodyText"/>
            </w:pPr>
            <w:r>
              <w:t>Contains rights for viewing and managing general, billing, integration settings, and so 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Compute</w:t>
            </w:r>
          </w:p>
        </w:tc>
        <w:tc>
          <w:tcPr>
            <w:tcBorders>
              <w:left w:val="nil"/>
              <w:right w:val="nil"/>
            </w:tcBorders>
          </w:tcPr>
          <w:p>
            <w:pPr>
              <w:pStyle w:val="TableBodyText"/>
            </w:pPr>
            <w:r>
              <w:t xml:space="preserve">Contains rights for viewing and managing organizations, regions, region quotas, </w:t>
            </w:r>
            <w:r>
              <w:t xml:space="preserve"> Namespaces, and VM monitoring.</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Content Hubs</w:t>
            </w:r>
          </w:p>
        </w:tc>
        <w:tc>
          <w:tcPr>
            <w:tcBorders>
              <w:left w:val="nil"/>
              <w:right w:val="nil"/>
            </w:tcBorders>
          </w:tcPr>
          <w:p>
            <w:pPr>
              <w:pStyle w:val="TableBodyText"/>
            </w:pPr>
            <w:r>
              <w:t>Contains rights for viewing and managing blueprints and workflows.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Extensions</w:t>
            </w:r>
          </w:p>
        </w:tc>
        <w:tc>
          <w:tcPr>
            <w:tcBorders>
              <w:left w:val="nil"/>
              <w:right w:val="nil"/>
            </w:tcBorders>
          </w:tcPr>
          <w:p>
            <w:pPr>
              <w:pStyle w:val="TableBodyText"/>
            </w:pPr>
            <w:r>
              <w:t xml:space="preserve">Contains rights for viewing and managing </w:t>
            </w:r>
            <w:r>
              <w:t xml:space="preserve"> extensions.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Infrastructure</w:t>
            </w:r>
          </w:p>
        </w:tc>
        <w:tc>
          <w:tcPr>
            <w:tcBorders>
              <w:left w:val="nil"/>
              <w:right w:val="nil"/>
            </w:tcBorders>
          </w:tcPr>
          <w:p>
            <w:pPr>
              <w:pStyle w:val="TableBodyText"/>
            </w:pPr>
            <w:r>
              <w:t>Contains rights for viewing and managing SDDCs.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Libraries</w:t>
            </w:r>
          </w:p>
        </w:tc>
        <w:tc>
          <w:tcPr>
            <w:tcBorders>
              <w:left w:val="nil"/>
              <w:right w:val="nil"/>
            </w:tcBorders>
          </w:tcPr>
          <w:p>
            <w:pPr>
              <w:pStyle w:val="TableBodyText"/>
            </w:pPr>
            <w:r>
              <w:t>Contains rights for viewing and managing content libraries and content library items.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Networking</w:t>
            </w:r>
          </w:p>
        </w:tc>
        <w:tc>
          <w:tcPr>
            <w:tcBorders>
              <w:left w:val="nil"/>
              <w:right w:val="nil"/>
            </w:tcBorders>
          </w:tcPr>
          <w:p>
            <w:pPr>
              <w:pStyle w:val="TableBodyText"/>
            </w:pPr>
            <w:r>
              <w:t>Contains rights for viewing and managing network resources.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Other</w:t>
            </w:r>
          </w:p>
        </w:tc>
        <w:tc>
          <w:tcPr>
            <w:tcBorders>
              <w:left w:val="nil"/>
              <w:right w:val="nil"/>
            </w:tcBorders>
          </w:tcPr>
          <w:p>
            <w:pPr>
              <w:pStyle w:val="TableBodyText"/>
            </w:pPr>
            <w:r>
              <w:t>Contains rights for viewing and managing services, branding, Kubernetes clusters, Service Manager, and so 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Policies</w:t>
            </w:r>
          </w:p>
        </w:tc>
        <w:tc>
          <w:tcPr>
            <w:tcBorders>
              <w:left w:val="nil"/>
              <w:right w:val="nil"/>
            </w:tcBorders>
          </w:tcPr>
          <w:p>
            <w:pPr>
              <w:pStyle w:val="TableBodyText"/>
            </w:pPr>
            <w:r>
              <w:t>Contains rights for viewing and managing approval requests.</w:t>
            </w:r>
          </w:p>
        </w:tc>
      </w:tr>
    </w:tbl>
    <w:p>
      <w:pPr>
        <w:pStyle w:val="BodyText"/>
        <w:numPr>
          <w:numId w:val="82"/>
        </w:numPr>
        <w:spacing w:before="240"/>
      </w:pPr>
      <w:r>
        <w:t xml:space="preserve">Click </w:t>
      </w:r>
      <w:r>
        <w:rPr>
          <w:rStyle w:val="InlineUI"/>
        </w:rPr>
        <w:t>Save</w:t>
      </w:r>
      <w:r>
        <w:t>.</w:t>
      </w:r>
    </w:p>
    <w:p>
      <w:pPr>
        <w:pStyle w:val="BodyText"/>
      </w:pPr>
      <w:r>
        <w:rPr>
          <w:rStyle w:val="Strong"/>
        </w:rPr>
        <w:t>What to do next</w:t>
      </w:r>
    </w:p>
    <w:p>
      <w:pPr>
        <w:pStyle w:val="BodyText"/>
      </w:pPr>
      <w:r>
        <w:t xml:space="preserve">You can publish the newly created rights bundle to one or more organizations in your system. See </w:t>
      </w:r>
      <w:r>
        <w:t>Publish or Unpublish a Rights Bundle to VCF Automation</w:t>
      </w:r>
      <w:r>
        <w:t>.</w:t>
      </w:r>
    </w:p>
    <w:p>
      <w:pPr>
        <w:pStyle w:val="Heading4"/>
      </w:pPr>
      <w:bookmarkStart w:id="115" w:name="_Toc256000514"/>
      <w:r>
        <w:t>Clone a Rights Bundle Using VCF Automation</w:t>
      </w:r>
      <w:bookmarkEnd w:id="115"/>
    </w:p>
    <w:p>
      <w:pPr>
        <w:pStyle w:val="BodyText"/>
      </w:pPr>
      <w:r>
        <w:t>You can use an existing rights bundle as a template for the creation of a new bundle.</w:t>
      </w:r>
    </w:p>
    <w:p>
      <w:pPr>
        <w:pStyle w:val="BodyText"/>
      </w:pPr>
      <w:r>
        <w:rPr>
          <w:rStyle w:val="Strong"/>
        </w:rPr>
        <w:t>Prerequisites</w:t>
      </w:r>
    </w:p>
    <w:p>
      <w:pPr>
        <w:pStyle w:val="BodyText"/>
        <w:numPr>
          <w:numId w:val="83"/>
        </w:numPr>
      </w:pPr>
      <w:r>
        <w:t xml:space="preserve">Verify that you have the rights to add new roles to </w:t>
      </w:r>
      <w:r>
        <w:t>VCF Automation</w:t>
      </w:r>
      <w:r>
        <w:t>.</w:t>
      </w:r>
    </w:p>
    <w:p>
      <w:pPr>
        <w:pStyle w:val="BodyText"/>
        <w:numPr>
          <w:numId w:val="83"/>
        </w:numPr>
      </w:pPr>
      <w:r>
        <w:t xml:space="preserve">From the left navigation panel, select </w:t>
      </w:r>
      <w:r>
        <w:rPr>
          <w:rStyle w:val="InlineUI"/>
        </w:rPr>
        <w:t>Feature Flags</w:t>
      </w:r>
      <w:r>
        <w:t xml:space="preserve"> and enable </w:t>
      </w:r>
      <w:r>
        <w:rPr>
          <w:rStyle w:val="InlineUI"/>
        </w:rPr>
        <w:t>Advanced Rights Bundle Mode</w:t>
      </w:r>
      <w:r>
        <w:t>.</w:t>
      </w:r>
    </w:p>
    <w:p>
      <w:pPr>
        <w:pStyle w:val="BodyText"/>
      </w:pPr>
      <w:r>
        <w:rPr>
          <w:rStyle w:val="Strong"/>
        </w:rPr>
        <w:t>Procedure</w:t>
      </w:r>
    </w:p>
    <w:p>
      <w:pPr>
        <w:pStyle w:val="BodyText"/>
        <w:numPr>
          <w:numId w:val="84"/>
        </w:numPr>
      </w:pPr>
      <w:r>
        <w:t xml:space="preserve">Log in to the </w:t>
      </w:r>
      <w:r>
        <w:t>.</w:t>
      </w:r>
    </w:p>
    <w:p>
      <w:pPr>
        <w:pStyle w:val="BodyText"/>
        <w:numPr>
          <w:numId w:val="84"/>
        </w:numPr>
      </w:pPr>
      <w:r>
        <w:t xml:space="preserve">From the left navigation panel, select </w:t>
      </w:r>
      <w:r>
        <w:rPr>
          <w:rStyle w:val="InlineUI"/>
        </w:rPr>
        <w:t>Access Control</w:t>
      </w:r>
      <w:r>
        <w:t>.</w:t>
      </w:r>
    </w:p>
    <w:p>
      <w:pPr>
        <w:pStyle w:val="BodyText"/>
        <w:numPr>
          <w:numId w:val="84"/>
        </w:numPr>
      </w:pPr>
      <w:r>
        <w:t xml:space="preserve">Click the </w:t>
      </w:r>
      <w:r>
        <w:rPr>
          <w:rStyle w:val="InlineUI"/>
        </w:rPr>
        <w:t>Rights Bundles</w:t>
      </w:r>
      <w:r>
        <w:t xml:space="preserve"> tab.</w:t>
      </w:r>
    </w:p>
    <w:p>
      <w:pPr>
        <w:pStyle w:val="BodyText"/>
        <w:numPr>
          <w:numId w:val="84"/>
        </w:numPr>
      </w:pPr>
      <w:r>
        <w:t>Click the vertical ellipsis (</w:t>
      </w:r>
      <w:r>
        <w:t xml:space="preserve">) next to the rights bundle that you want to clone, and click </w:t>
      </w:r>
      <w:r>
        <w:rPr>
          <w:rStyle w:val="InlineUI"/>
        </w:rPr>
        <w:t>Clone</w:t>
      </w:r>
      <w:r>
        <w:t>.</w:t>
      </w:r>
    </w:p>
    <w:p>
      <w:pPr>
        <w:pStyle w:val="BodyText"/>
        <w:numPr>
          <w:numId w:val="84"/>
        </w:numPr>
      </w:pPr>
      <w:r>
        <w:t xml:space="preserve">In the </w:t>
      </w:r>
      <w:r>
        <w:rPr>
          <w:rStyle w:val="InlineUI"/>
        </w:rPr>
        <w:t>Clone Rights Bundle</w:t>
      </w:r>
      <w:r>
        <w:t xml:space="preserve"> window, enter a name and optionally, a description for the cloned bundle.</w:t>
      </w:r>
    </w:p>
    <w:p>
      <w:pPr>
        <w:pStyle w:val="BodyText"/>
        <w:numPr>
          <w:numId w:val="84"/>
        </w:numPr>
      </w:pPr>
      <w:r>
        <w:t xml:space="preserve">(Optional) </w:t>
      </w:r>
      <w:r>
        <w:t xml:space="preserve">(Optional) To edit the cloned rights, turn on the </w:t>
      </w:r>
      <w:r>
        <w:rPr>
          <w:rStyle w:val="InlineUI"/>
        </w:rPr>
        <w:t>Modify Selected Rights</w:t>
      </w:r>
      <w:r>
        <w:t xml:space="preserve"> toggle, and select or deselect the rights you want to change for the cloned role.</w:t>
      </w:r>
    </w:p>
    <w:p>
      <w:pPr>
        <w:pStyle w:val="BodyText"/>
        <w:numPr>
          <w:numId w:val="84"/>
        </w:numPr>
      </w:pPr>
      <w:r>
        <w:t xml:space="preserve">Click </w:t>
      </w:r>
      <w:r>
        <w:rPr>
          <w:rStyle w:val="InlineUI"/>
        </w:rPr>
        <w:t>Save</w:t>
      </w:r>
      <w:r>
        <w:t>.</w:t>
      </w:r>
    </w:p>
    <w:p>
      <w:pPr>
        <w:pStyle w:val="Heading4"/>
      </w:pPr>
      <w:bookmarkStart w:id="116" w:name="Bd531e29ce0fe475dacbe5fd83f3d05e4"/>
      <w:bookmarkStart w:id="117" w:name="_Toc256000515"/>
      <w:r>
        <w:t>Publish or Unpublish a Rights Bundle to VCF Automation</w:t>
      </w:r>
      <w:bookmarkEnd w:id="117"/>
      <w:bookmarkEnd w:id="116"/>
    </w:p>
    <w:p>
      <w:pPr>
        <w:pStyle w:val="BodyText"/>
      </w:pPr>
      <w:r>
        <w:t xml:space="preserve">You can publish a rights bundle to one or more </w:t>
      </w:r>
      <w:r>
        <w:t>VCF Automation</w:t>
      </w:r>
      <w:r>
        <w:t xml:space="preserve"> organizations in your system. After you publish a rights bundle to an organization, the rights in this bundle become part of the organization set of rights.</w:t>
      </w:r>
    </w:p>
    <w:p>
      <w:pPr>
        <w:pStyle w:val="BodyText"/>
      </w:pPr>
      <w:r>
        <w:t>Organization rights can comprise multiple rights bundles, but the organization administrators and users see a flat set of rights that they can use to create and modify roles.</w:t>
      </w:r>
    </w:p>
    <w:p>
      <w:pPr>
        <w:pStyle w:val="BodyText"/>
      </w:pPr>
      <w:r>
        <w:rPr>
          <w:rStyle w:val="Strong"/>
        </w:rPr>
        <w:t>Procedure</w:t>
      </w:r>
    </w:p>
    <w:p>
      <w:pPr>
        <w:pStyle w:val="BodyText"/>
        <w:numPr>
          <w:numId w:val="85"/>
        </w:numPr>
      </w:pPr>
      <w:r>
        <w:t xml:space="preserve">Log in to the </w:t>
      </w:r>
      <w:r>
        <w:t>.</w:t>
      </w:r>
    </w:p>
    <w:p>
      <w:pPr>
        <w:pStyle w:val="BodyText"/>
        <w:numPr>
          <w:numId w:val="85"/>
        </w:numPr>
      </w:pPr>
      <w:r>
        <w:t xml:space="preserve">From the left navigation panel, select </w:t>
      </w:r>
      <w:r>
        <w:rPr>
          <w:rStyle w:val="InlineUI"/>
        </w:rPr>
        <w:t>Access Control</w:t>
      </w:r>
      <w:r>
        <w:t>.</w:t>
      </w:r>
    </w:p>
    <w:p>
      <w:pPr>
        <w:pStyle w:val="BodyText"/>
        <w:numPr>
          <w:numId w:val="85"/>
        </w:numPr>
      </w:pPr>
      <w:r>
        <w:t xml:space="preserve">Click the </w:t>
      </w:r>
      <w:r>
        <w:rPr>
          <w:rStyle w:val="InlineUI"/>
        </w:rPr>
        <w:t>Rights Bundles</w:t>
      </w:r>
      <w:r>
        <w:t xml:space="preserve"> tab.</w:t>
      </w:r>
    </w:p>
    <w:p>
      <w:pPr>
        <w:pStyle w:val="BodyText"/>
        <w:numPr>
          <w:numId w:val="85"/>
        </w:numPr>
      </w:pPr>
      <w:r>
        <w:t xml:space="preserve">Select the rights bundle, and click </w:t>
      </w:r>
      <w:r>
        <w:rPr>
          <w:rStyle w:val="InlineUI"/>
        </w:rPr>
        <w:t>Publish</w:t>
      </w:r>
      <w:r>
        <w:t>.</w:t>
      </w:r>
    </w:p>
    <w:p>
      <w:pPr>
        <w:pStyle w:val="BodyText"/>
        <w:numPr>
          <w:numId w:val="85"/>
        </w:numPr>
      </w:pPr>
      <w:r>
        <w:t>To publish the bundle:</w:t>
      </w:r>
    </w:p>
    <w:p>
      <w:pPr>
        <w:pStyle w:val="BodyText"/>
        <w:numPr>
          <w:ilvl w:val="1"/>
          <w:numId w:val="85"/>
        </w:numPr>
      </w:pPr>
      <w:r>
        <w:t xml:space="preserve">Turn on the </w:t>
      </w:r>
      <w:r>
        <w:rPr>
          <w:rStyle w:val="InlineUI"/>
        </w:rPr>
        <w:t>Publish to Tenants</w:t>
      </w:r>
      <w:r>
        <w:t xml:space="preserve"> toggle.</w:t>
      </w:r>
    </w:p>
    <w:p>
      <w:pPr>
        <w:pStyle w:val="BodyText"/>
        <w:numPr>
          <w:ilvl w:val="1"/>
          <w:numId w:val="85"/>
        </w:numPr>
      </w:pPr>
      <w:r>
        <w:t>Select the organizations to which you want to publish the role.</w:t>
      </w:r>
    </w:p>
    <w:p>
      <w:pPr>
        <w:pStyle w:val="BodyText"/>
        <w:numPr>
          <w:ilvl w:val="2"/>
          <w:numId w:val="85"/>
        </w:numPr>
      </w:pPr>
      <w:r>
        <w:t xml:space="preserve">If you want to publish the bundle to all existing and newly created organizations in your system, select </w:t>
      </w:r>
      <w:r>
        <w:rPr>
          <w:rStyle w:val="InlineUI"/>
        </w:rPr>
        <w:t>Publish to All Tenants</w:t>
      </w:r>
      <w:r>
        <w:t>.</w:t>
      </w:r>
    </w:p>
    <w:p>
      <w:pPr>
        <w:pStyle w:val="BodyText"/>
        <w:numPr>
          <w:ilvl w:val="2"/>
          <w:numId w:val="85"/>
        </w:numPr>
      </w:pPr>
      <w:r>
        <w:t>If you want to publish the bundle to particular organizations in your system, select the organizations individually.</w:t>
      </w:r>
    </w:p>
    <w:p>
      <w:pPr>
        <w:pStyle w:val="BodyText"/>
        <w:numPr>
          <w:numId w:val="85"/>
        </w:numPr>
      </w:pPr>
      <w:r>
        <w:t>To unpublish the bundle:</w:t>
      </w:r>
    </w:p>
    <w:p>
      <w:pPr>
        <w:pStyle w:val="BodyText"/>
        <w:numPr>
          <w:ilvl w:val="1"/>
          <w:numId w:val="85"/>
        </w:numPr>
      </w:pPr>
      <w:r>
        <w:t xml:space="preserve">To unpublish the bundle from all organizations in your system, deselect </w:t>
      </w:r>
      <w:r>
        <w:rPr>
          <w:rStyle w:val="InlineUI"/>
        </w:rPr>
        <w:t>Publish to Tenants</w:t>
      </w:r>
      <w:r>
        <w:t>.</w:t>
      </w:r>
    </w:p>
    <w:p>
      <w:pPr>
        <w:pStyle w:val="BodyText"/>
        <w:numPr>
          <w:ilvl w:val="1"/>
          <w:numId w:val="85"/>
        </w:numPr>
      </w:pPr>
      <w:r>
        <w:t xml:space="preserve">To unpublish the bundle from particular organizations in your system, deselect </w:t>
      </w:r>
      <w:r>
        <w:rPr>
          <w:rStyle w:val="InlineUI"/>
        </w:rPr>
        <w:t>Publish to All Tenants</w:t>
      </w:r>
      <w:r>
        <w:t>, and deselect the organizations individually.</w:t>
      </w:r>
    </w:p>
    <w:p>
      <w:pPr>
        <w:pStyle w:val="BodyText"/>
        <w:numPr>
          <w:numId w:val="85"/>
        </w:numPr>
      </w:pPr>
      <w:r>
        <w:t xml:space="preserve">Click </w:t>
      </w:r>
      <w:r>
        <w:rPr>
          <w:rStyle w:val="InlineUI"/>
        </w:rPr>
        <w:t>Save</w:t>
      </w:r>
      <w:r>
        <w:t>.</w:t>
      </w:r>
    </w:p>
    <w:p>
      <w:pPr>
        <w:pStyle w:val="BodyText"/>
      </w:pPr>
      <w:r>
        <w:rPr>
          <w:rStyle w:val="Strong"/>
        </w:rPr>
        <w:t>Results</w:t>
      </w:r>
    </w:p>
    <w:p>
      <w:pPr>
        <w:pStyle w:val="BodyText"/>
      </w:pPr>
      <w:r>
        <w:t>The rights in the published bundle are available in the selected organizations and can be used in the roles in these organizations.</w:t>
      </w:r>
    </w:p>
    <w:p>
      <w:pPr>
        <w:pStyle w:val="BodyText"/>
      </w:pPr>
      <w:r>
        <w:t>The rights in the unpublished bundle are removed from the selected organizations and cannot be used in the roles in these organizations.</w:t>
      </w:r>
    </w:p>
    <w:p>
      <w:pPr>
        <w:pStyle w:val="Heading4"/>
      </w:pPr>
      <w:bookmarkStart w:id="118" w:name="_Toc256000516"/>
      <w:r>
        <w:t>View and Edit a Rights Bundle Using VCF Automation</w:t>
      </w:r>
      <w:bookmarkEnd w:id="118"/>
    </w:p>
    <w:p>
      <w:pPr>
        <w:pStyle w:val="BodyText"/>
      </w:pPr>
      <w:r>
        <w:t>You can view the rights that are included in a rights bundle. You can modify the name, the description, and the rights of a bundle.</w:t>
      </w:r>
    </w:p>
    <w:p>
      <w:pPr>
        <w:pStyle w:val="BodyText"/>
      </w:pPr>
      <w:r>
        <w:rPr>
          <w:rStyle w:val="Strong"/>
        </w:rPr>
        <w:t>Procedure</w:t>
      </w:r>
    </w:p>
    <w:p>
      <w:pPr>
        <w:pStyle w:val="BodyText"/>
        <w:numPr>
          <w:numId w:val="86"/>
        </w:numPr>
      </w:pPr>
      <w:r>
        <w:t xml:space="preserve">Log in to the </w:t>
      </w:r>
      <w:r>
        <w:t>.</w:t>
      </w:r>
    </w:p>
    <w:p>
      <w:pPr>
        <w:pStyle w:val="BodyText"/>
        <w:numPr>
          <w:numId w:val="86"/>
        </w:numPr>
      </w:pPr>
      <w:r>
        <w:t xml:space="preserve">From the left navigation panel, select </w:t>
      </w:r>
      <w:r>
        <w:rPr>
          <w:rStyle w:val="InlineUI"/>
        </w:rPr>
        <w:t>Access Control</w:t>
      </w:r>
      <w:r>
        <w:t>.</w:t>
      </w:r>
    </w:p>
    <w:p>
      <w:pPr>
        <w:pStyle w:val="BodyText"/>
        <w:numPr>
          <w:numId w:val="86"/>
        </w:numPr>
      </w:pPr>
      <w:r>
        <w:t xml:space="preserve">Click the </w:t>
      </w:r>
      <w:r>
        <w:rPr>
          <w:rStyle w:val="InlineUI"/>
        </w:rPr>
        <w:t>Rights Bundles</w:t>
      </w:r>
      <w:r>
        <w:t xml:space="preserve"> tab.</w:t>
      </w:r>
    </w:p>
    <w:p>
      <w:pPr>
        <w:pStyle w:val="BodyText"/>
        <w:numPr>
          <w:numId w:val="86"/>
        </w:numPr>
      </w:pPr>
      <w:r>
        <w:t>Click the name of the target bundle.</w:t>
      </w:r>
    </w:p>
    <w:p>
      <w:pPr>
        <w:pStyle w:val="BodyText"/>
        <w:ind w:left="480"/>
      </w:pPr>
      <w:r>
        <w:t>You can view the rights that are associated with the bundle by expanding the right categories.</w:t>
      </w:r>
    </w:p>
    <w:p>
      <w:pPr>
        <w:pStyle w:val="BodyText"/>
        <w:numPr>
          <w:numId w:val="86"/>
        </w:numPr>
      </w:pPr>
      <w:r>
        <w:t xml:space="preserve">Edit the bundle and click </w:t>
      </w:r>
      <w:r>
        <w:rPr>
          <w:rStyle w:val="InlineUI"/>
        </w:rPr>
        <w:t>Save</w:t>
      </w:r>
      <w:r>
        <w:t>.</w:t>
      </w:r>
    </w:p>
    <w:p>
      <w:pPr>
        <w:pStyle w:val="BodyText"/>
      </w:pPr>
      <w:r>
        <w:rPr>
          <w:rStyle w:val="Strong"/>
        </w:rPr>
        <w:t>Results</w:t>
      </w:r>
    </w:p>
    <w:p>
      <w:pPr>
        <w:pStyle w:val="BodyText"/>
      </w:pPr>
      <w:r>
        <w:t>If you modified the rights of the bundle, the new set of rights is applied to all organizations to which this rights bundle is published.</w:t>
      </w:r>
    </w:p>
    <w:p>
      <w:pPr>
        <w:pStyle w:val="Heading4"/>
      </w:pPr>
      <w:bookmarkStart w:id="119" w:name="_Toc256000517"/>
      <w:r>
        <w:t>Delete a Rights Bundle From VCF Automation</w:t>
      </w:r>
      <w:bookmarkEnd w:id="119"/>
    </w:p>
    <w:p>
      <w:pPr>
        <w:pStyle w:val="BodyText"/>
      </w:pPr>
      <w:r>
        <w:t xml:space="preserve">You can remove a rights bundle that you no longer use in your </w:t>
      </w:r>
      <w:r>
        <w:t>VCF Automation</w:t>
      </w:r>
      <w:r>
        <w:t xml:space="preserve"> organizations.</w:t>
      </w:r>
    </w:p>
    <w:p>
      <w:pPr>
        <w:pStyle w:val="BodyText"/>
      </w:pPr>
      <w:r>
        <w:rPr>
          <w:rStyle w:val="Strong"/>
        </w:rPr>
        <w:t>Procedure</w:t>
      </w:r>
    </w:p>
    <w:p>
      <w:pPr>
        <w:pStyle w:val="BodyText"/>
        <w:numPr>
          <w:numId w:val="87"/>
        </w:numPr>
      </w:pPr>
      <w:r>
        <w:t xml:space="preserve">Log in to the </w:t>
      </w:r>
      <w:r>
        <w:t>.</w:t>
      </w:r>
    </w:p>
    <w:p>
      <w:pPr>
        <w:pStyle w:val="BodyText"/>
        <w:numPr>
          <w:numId w:val="87"/>
        </w:numPr>
      </w:pPr>
      <w:r>
        <w:t xml:space="preserve">From the left navigation panel, select </w:t>
      </w:r>
      <w:r>
        <w:rPr>
          <w:rStyle w:val="InlineUI"/>
        </w:rPr>
        <w:t>Access Control</w:t>
      </w:r>
      <w:r>
        <w:t>.</w:t>
      </w:r>
    </w:p>
    <w:p>
      <w:pPr>
        <w:pStyle w:val="BodyText"/>
        <w:numPr>
          <w:numId w:val="87"/>
        </w:numPr>
      </w:pPr>
      <w:r>
        <w:t xml:space="preserve">Click the </w:t>
      </w:r>
      <w:r>
        <w:rPr>
          <w:rStyle w:val="InlineUI"/>
        </w:rPr>
        <w:t>Rights Bundles</w:t>
      </w:r>
      <w:r>
        <w:t xml:space="preserve"> tab.</w:t>
      </w:r>
    </w:p>
    <w:p>
      <w:pPr>
        <w:pStyle w:val="BodyText"/>
        <w:numPr>
          <w:numId w:val="87"/>
        </w:numPr>
      </w:pPr>
      <w:r>
        <w:t xml:space="preserve">Select the rights bundle, and click </w:t>
      </w:r>
      <w:r>
        <w:rPr>
          <w:rStyle w:val="InlineUI"/>
        </w:rPr>
        <w:t>Delete</w:t>
      </w:r>
      <w:r>
        <w:t>.</w:t>
      </w:r>
    </w:p>
    <w:p>
      <w:pPr>
        <w:pStyle w:val="BodyText"/>
        <w:numPr>
          <w:numId w:val="87"/>
        </w:numPr>
      </w:pPr>
      <w:r>
        <w:t xml:space="preserve">To confirm, click </w:t>
      </w:r>
      <w:r>
        <w:rPr>
          <w:rStyle w:val="InlineUI"/>
        </w:rPr>
        <w:t>Delete</w:t>
      </w:r>
      <w:r>
        <w:t>.</w:t>
      </w:r>
    </w:p>
    <w:p>
      <w:pPr>
        <w:pStyle w:val="Heading3"/>
      </w:pPr>
      <w:bookmarkStart w:id="120" w:name="_Toc256000518"/>
      <w:r>
        <w:t>Managing Global VCF Automation Roles</w:t>
      </w:r>
      <w:bookmarkEnd w:id="120"/>
    </w:p>
    <w:p>
      <w:pPr>
        <w:pStyle w:val="BodyText"/>
      </w:pPr>
      <w:r>
        <w:t xml:space="preserve">As a </w:t>
      </w:r>
      <w:r>
        <w:rPr>
          <w:rStyle w:val="InlineUI"/>
        </w:rPr>
        <w:t>system administrator</w:t>
      </w:r>
      <w:r>
        <w:t xml:space="preserve">, you can create global roles and publish them to one or more </w:t>
      </w:r>
      <w:r>
        <w:t>VCF Automation</w:t>
      </w:r>
      <w:r>
        <w:t xml:space="preserve"> organizations that you manage. You can edit and delete existing global roles. You can unpublish global roles from individual organizations that you manage.</w:t>
      </w:r>
    </w:p>
    <w:p>
      <w:pPr>
        <w:pStyle w:val="BodyText"/>
      </w:pPr>
      <w:r>
        <w:t xml:space="preserve">After the initial </w:t>
      </w:r>
      <w:r>
        <w:t>VCF Automation</w:t>
      </w:r>
      <w:r>
        <w:t xml:space="preserve"> installation and setup, the system contains a set of predefined global roles that are published to all organizations. See </w:t>
      </w:r>
      <w:r>
        <w:t>Predefined VCF Automation Roles and Their Rights</w:t>
      </w:r>
      <w:r>
        <w:t>.</w:t>
      </w:r>
    </w:p>
    <w:p>
      <w:pPr>
        <w:pStyle w:val="Heading4"/>
      </w:pPr>
      <w:bookmarkStart w:id="121" w:name="Bc8277b1730fb4af6a1f50a66c6f52fae"/>
      <w:bookmarkStart w:id="122" w:name="_Toc256000519"/>
      <w:r>
        <w:t>Create a Global Role in Your VCF Automation</w:t>
      </w:r>
      <w:bookmarkEnd w:id="122"/>
      <w:bookmarkEnd w:id="121"/>
    </w:p>
    <w:p>
      <w:pPr>
        <w:pStyle w:val="BodyText"/>
      </w:pPr>
      <w:r>
        <w:t xml:space="preserve">You can create a global role that you can publish to one or more </w:t>
      </w:r>
      <w:r>
        <w:t>VCF Automation</w:t>
      </w:r>
      <w:r>
        <w:t xml:space="preserve"> organizations in your system.</w:t>
      </w:r>
    </w:p>
    <w:p>
      <w:pPr>
        <w:pStyle w:val="BodyText"/>
      </w:pPr>
      <w:r>
        <w:t xml:space="preserve">After the initial </w:t>
      </w:r>
      <w:r>
        <w:t>VCF Automation</w:t>
      </w:r>
      <w:r>
        <w:t xml:space="preserve"> installation and setup, the system contains predefined global roles that are published to all organizations. For information about the predefined roles, see </w:t>
      </w:r>
      <w:r>
        <w:t>Predefined VCF Automation Roles and Their Rights</w:t>
      </w:r>
      <w:r>
        <w:t>.</w:t>
      </w:r>
    </w:p>
    <w:p>
      <w:pPr>
        <w:pStyle w:val="BodyText"/>
      </w:pPr>
      <w:r>
        <w:t>You can add custom global roles to your system.</w:t>
      </w:r>
    </w:p>
    <w:p>
      <w:pPr>
        <w:pStyle w:val="BodyText"/>
      </w:pPr>
      <w:r>
        <w:rPr>
          <w:rStyle w:val="Strong"/>
        </w:rPr>
        <w:t>Procedure</w:t>
      </w:r>
    </w:p>
    <w:p>
      <w:pPr>
        <w:pStyle w:val="BodyText"/>
        <w:numPr>
          <w:numId w:val="88"/>
        </w:numPr>
      </w:pPr>
      <w:r>
        <w:t xml:space="preserve">Log in to the </w:t>
      </w:r>
      <w:r>
        <w:t>.</w:t>
      </w:r>
    </w:p>
    <w:p>
      <w:pPr>
        <w:pStyle w:val="BodyText"/>
        <w:numPr>
          <w:numId w:val="88"/>
        </w:numPr>
      </w:pPr>
      <w:r>
        <w:t xml:space="preserve">From the left navigation panel, select </w:t>
      </w:r>
      <w:r>
        <w:rPr>
          <w:rStyle w:val="InlineUI"/>
        </w:rPr>
        <w:t>Access Control</w:t>
      </w:r>
      <w:r>
        <w:t>.</w:t>
      </w:r>
    </w:p>
    <w:p>
      <w:pPr>
        <w:pStyle w:val="BodyText"/>
        <w:numPr>
          <w:numId w:val="88"/>
        </w:numPr>
      </w:pPr>
      <w:r>
        <w:t xml:space="preserve">Click the </w:t>
      </w:r>
      <w:r>
        <w:rPr>
          <w:rStyle w:val="InlineUI"/>
        </w:rPr>
        <w:t>Global Roles</w:t>
      </w:r>
      <w:r>
        <w:t xml:space="preserve"> tab.</w:t>
      </w:r>
    </w:p>
    <w:p>
      <w:pPr>
        <w:pStyle w:val="BodyText"/>
        <w:numPr>
          <w:numId w:val="88"/>
        </w:numPr>
      </w:pPr>
      <w:r>
        <w:t xml:space="preserve">Click </w:t>
      </w:r>
      <w:r>
        <w:rPr>
          <w:rStyle w:val="InlineUI"/>
        </w:rPr>
        <w:t>New</w:t>
      </w:r>
      <w:r>
        <w:t>.</w:t>
      </w:r>
    </w:p>
    <w:p>
      <w:pPr>
        <w:pStyle w:val="BodyText"/>
        <w:numPr>
          <w:numId w:val="88"/>
        </w:numPr>
      </w:pPr>
      <w:r>
        <w:t>Enter a name and, optionally, a description for the new role.</w:t>
      </w:r>
    </w:p>
    <w:p>
      <w:pPr>
        <w:pStyle w:val="BodyText"/>
        <w:numPr>
          <w:numId w:val="88"/>
        </w:numPr>
      </w:pPr>
      <w:r>
        <w:t>Select the rights that you want to associate with the role.</w:t>
      </w:r>
    </w:p>
    <w:p>
      <w:pPr>
        <w:pStyle w:val="BodyText"/>
        <w:ind w:left="480"/>
      </w:pPr>
      <w:r>
        <w:t>The rights are grouped in categories and subcategories for view or manage access to the object to which they relate.</w:t>
      </w:r>
    </w:p>
    <w:p>
      <w:pPr>
        <w:pStyle w:val="BodyText"/>
        <w:ind w:left="480"/>
      </w:pPr>
      <w:r>
        <w:t>You can select the rights individually, by view or manage by subcategory, or by view or manage globally.</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9"/>
        <w:gridCol w:w="784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Category</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Access Control</w:t>
            </w:r>
          </w:p>
        </w:tc>
        <w:tc>
          <w:tcPr>
            <w:tcBorders>
              <w:left w:val="nil"/>
              <w:right w:val="nil"/>
            </w:tcBorders>
          </w:tcPr>
          <w:p>
            <w:pPr>
              <w:pStyle w:val="TableBodyText"/>
            </w:pPr>
            <w:r>
              <w:t>Contains rights for viewing and managing organizations, rights, roles, and users.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Administration</w:t>
            </w:r>
          </w:p>
        </w:tc>
        <w:tc>
          <w:tcPr>
            <w:tcBorders>
              <w:left w:val="nil"/>
              <w:right w:val="nil"/>
            </w:tcBorders>
          </w:tcPr>
          <w:p>
            <w:pPr>
              <w:pStyle w:val="TableBodyText"/>
            </w:pPr>
            <w:r>
              <w:t>Contains rights for viewing and managing general, billing, integration settings, and so 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Compute</w:t>
            </w:r>
          </w:p>
        </w:tc>
        <w:tc>
          <w:tcPr>
            <w:tcBorders>
              <w:left w:val="nil"/>
              <w:right w:val="nil"/>
            </w:tcBorders>
          </w:tcPr>
          <w:p>
            <w:pPr>
              <w:pStyle w:val="TableBodyText"/>
            </w:pPr>
            <w:r>
              <w:t xml:space="preserve">Contains rights for viewing and managing organizations, regions, region quotas, </w:t>
            </w:r>
            <w:r>
              <w:t xml:space="preserve"> Namespaces, and VM monitoring.</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Content Hubs</w:t>
            </w:r>
          </w:p>
        </w:tc>
        <w:tc>
          <w:tcPr>
            <w:tcBorders>
              <w:left w:val="nil"/>
              <w:right w:val="nil"/>
            </w:tcBorders>
          </w:tcPr>
          <w:p>
            <w:pPr>
              <w:pStyle w:val="TableBodyText"/>
            </w:pPr>
            <w:r>
              <w:t>Contains rights for viewing and managing blueprints and workflows.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Extensions</w:t>
            </w:r>
          </w:p>
        </w:tc>
        <w:tc>
          <w:tcPr>
            <w:tcBorders>
              <w:left w:val="nil"/>
              <w:right w:val="nil"/>
            </w:tcBorders>
          </w:tcPr>
          <w:p>
            <w:pPr>
              <w:pStyle w:val="TableBodyText"/>
            </w:pPr>
            <w:r>
              <w:t xml:space="preserve">Contains rights for viewing and managing </w:t>
            </w:r>
            <w:r>
              <w:t xml:space="preserve"> extensions.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Infrastructure</w:t>
            </w:r>
          </w:p>
        </w:tc>
        <w:tc>
          <w:tcPr>
            <w:tcBorders>
              <w:left w:val="nil"/>
              <w:right w:val="nil"/>
            </w:tcBorders>
          </w:tcPr>
          <w:p>
            <w:pPr>
              <w:pStyle w:val="TableBodyText"/>
            </w:pPr>
            <w:r>
              <w:t>Contains rights for viewing and managing SDDCs.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Libraries</w:t>
            </w:r>
          </w:p>
        </w:tc>
        <w:tc>
          <w:tcPr>
            <w:tcBorders>
              <w:left w:val="nil"/>
              <w:right w:val="nil"/>
            </w:tcBorders>
          </w:tcPr>
          <w:p>
            <w:pPr>
              <w:pStyle w:val="TableBodyText"/>
            </w:pPr>
            <w:r>
              <w:t>Contains rights for viewing and managing content libraries and content library items.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Networking</w:t>
            </w:r>
          </w:p>
        </w:tc>
        <w:tc>
          <w:tcPr>
            <w:tcBorders>
              <w:left w:val="nil"/>
              <w:right w:val="nil"/>
            </w:tcBorders>
          </w:tcPr>
          <w:p>
            <w:pPr>
              <w:pStyle w:val="TableBodyText"/>
            </w:pPr>
            <w:r>
              <w:t>Contains rights for viewing and managing network resources.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Other</w:t>
            </w:r>
          </w:p>
        </w:tc>
        <w:tc>
          <w:tcPr>
            <w:tcBorders>
              <w:left w:val="nil"/>
              <w:right w:val="nil"/>
            </w:tcBorders>
          </w:tcPr>
          <w:p>
            <w:pPr>
              <w:pStyle w:val="TableBodyText"/>
            </w:pPr>
            <w:r>
              <w:t>Contains rights for viewing and managing services, branding, Kubernetes clusters, Service Manager, and so 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Policies</w:t>
            </w:r>
          </w:p>
        </w:tc>
        <w:tc>
          <w:tcPr>
            <w:tcBorders>
              <w:left w:val="nil"/>
              <w:right w:val="nil"/>
            </w:tcBorders>
          </w:tcPr>
          <w:p>
            <w:pPr>
              <w:pStyle w:val="TableBodyText"/>
            </w:pPr>
            <w:r>
              <w:t>Contains rights for viewing and managing approval requests.</w:t>
            </w:r>
          </w:p>
        </w:tc>
      </w:tr>
    </w:tbl>
    <w:p>
      <w:pPr>
        <w:pStyle w:val="BodyText"/>
        <w:numPr>
          <w:numId w:val="88"/>
        </w:numPr>
        <w:spacing w:before="240"/>
      </w:pPr>
      <w:r>
        <w:t xml:space="preserve">Click </w:t>
      </w:r>
      <w:r>
        <w:rPr>
          <w:rStyle w:val="InlineUI"/>
        </w:rPr>
        <w:t>Save</w:t>
      </w:r>
      <w:r>
        <w:t>.</w:t>
      </w:r>
    </w:p>
    <w:p>
      <w:pPr>
        <w:pStyle w:val="BodyText"/>
      </w:pPr>
      <w:r>
        <w:rPr>
          <w:rStyle w:val="Strong"/>
        </w:rPr>
        <w:t>Results</w:t>
      </w:r>
    </w:p>
    <w:p>
      <w:pPr>
        <w:pStyle w:val="BodyText"/>
      </w:pPr>
      <w:r>
        <w:t xml:space="preserve">Upon its creation, the new global role is available only to the </w:t>
      </w:r>
      <w:r>
        <w:t>VCF Automation</w:t>
      </w:r>
      <w:r>
        <w:rPr>
          <w:rStyle w:val="InlineCode"/>
        </w:rPr>
        <w:t>System</w:t>
      </w:r>
      <w:r>
        <w:t xml:space="preserve"> organization.</w:t>
      </w:r>
    </w:p>
    <w:p>
      <w:pPr>
        <w:pStyle w:val="BodyText"/>
      </w:pPr>
      <w:r>
        <w:rPr>
          <w:rStyle w:val="Strong"/>
        </w:rPr>
        <w:t>What to do next</w:t>
      </w:r>
    </w:p>
    <w:p>
      <w:pPr>
        <w:pStyle w:val="BodyText"/>
      </w:pPr>
      <w:r>
        <w:t xml:space="preserve">You can publish the newly created role to one or more organizations in your system. See </w:t>
      </w:r>
      <w:r>
        <w:t>Publish or Unpublish a Global Role to Your VCF Automation</w:t>
      </w:r>
      <w:r>
        <w:t>.</w:t>
      </w:r>
    </w:p>
    <w:p>
      <w:pPr>
        <w:pStyle w:val="Heading4"/>
      </w:pPr>
      <w:bookmarkStart w:id="123" w:name="_Toc256000520"/>
      <w:r>
        <w:t>Clone a Global Role to Your VCF Automation</w:t>
      </w:r>
      <w:bookmarkEnd w:id="123"/>
    </w:p>
    <w:p>
      <w:pPr>
        <w:pStyle w:val="BodyText"/>
      </w:pPr>
      <w:r>
        <w:t>You can use an existing global role as a template for the creation of a new role.</w:t>
      </w:r>
    </w:p>
    <w:p>
      <w:pPr>
        <w:pStyle w:val="BodyText"/>
      </w:pPr>
      <w:r>
        <w:rPr>
          <w:rStyle w:val="Strong"/>
        </w:rPr>
        <w:t>Prerequisites</w:t>
      </w:r>
    </w:p>
    <w:p>
      <w:pPr>
        <w:pStyle w:val="BodyText"/>
      </w:pPr>
      <w:r>
        <w:t xml:space="preserve">Verify that you have the rights to add new roles to </w:t>
      </w:r>
      <w:r>
        <w:t>VCF Automation</w:t>
      </w:r>
      <w:r>
        <w:t>.</w:t>
      </w:r>
    </w:p>
    <w:p>
      <w:pPr>
        <w:pStyle w:val="BodyText"/>
      </w:pPr>
      <w:r>
        <w:rPr>
          <w:rStyle w:val="Strong"/>
        </w:rPr>
        <w:t>Procedure</w:t>
      </w:r>
    </w:p>
    <w:p>
      <w:pPr>
        <w:pStyle w:val="BodyText"/>
        <w:numPr>
          <w:numId w:val="89"/>
        </w:numPr>
      </w:pPr>
      <w:r>
        <w:t xml:space="preserve">Log in to the </w:t>
      </w:r>
      <w:r>
        <w:t>.</w:t>
      </w:r>
    </w:p>
    <w:p>
      <w:pPr>
        <w:pStyle w:val="BodyText"/>
        <w:numPr>
          <w:numId w:val="89"/>
        </w:numPr>
      </w:pPr>
      <w:r>
        <w:t xml:space="preserve">From the left navigation panel, select </w:t>
      </w:r>
      <w:r>
        <w:rPr>
          <w:rStyle w:val="InlineUI"/>
        </w:rPr>
        <w:t>Access Control</w:t>
      </w:r>
      <w:r>
        <w:t>.</w:t>
      </w:r>
    </w:p>
    <w:p>
      <w:pPr>
        <w:pStyle w:val="BodyText"/>
        <w:numPr>
          <w:numId w:val="89"/>
        </w:numPr>
      </w:pPr>
      <w:r>
        <w:t xml:space="preserve">Click the </w:t>
      </w:r>
      <w:r>
        <w:rPr>
          <w:rStyle w:val="InlineUI"/>
        </w:rPr>
        <w:t>Global Roles</w:t>
      </w:r>
      <w:r>
        <w:t xml:space="preserve"> tab.</w:t>
      </w:r>
    </w:p>
    <w:p>
      <w:pPr>
        <w:pStyle w:val="BodyText"/>
        <w:numPr>
          <w:numId w:val="89"/>
        </w:numPr>
      </w:pPr>
      <w:r>
        <w:t>Click the vertical ellipsis (</w:t>
      </w:r>
      <w:r>
        <w:t xml:space="preserve">) next to the role that you want to clone, and click </w:t>
      </w:r>
      <w:r>
        <w:rPr>
          <w:rStyle w:val="InlineUI"/>
        </w:rPr>
        <w:t>Clone</w:t>
      </w:r>
      <w:r>
        <w:t>.</w:t>
      </w:r>
    </w:p>
    <w:p>
      <w:pPr>
        <w:pStyle w:val="BodyText"/>
        <w:numPr>
          <w:numId w:val="89"/>
        </w:numPr>
      </w:pPr>
      <w:r>
        <w:t xml:space="preserve">In the </w:t>
      </w:r>
      <w:r>
        <w:rPr>
          <w:rStyle w:val="InlineUI"/>
        </w:rPr>
        <w:t>Clone Global Role</w:t>
      </w:r>
      <w:r>
        <w:t xml:space="preserve"> window, enter a name and description for the cloned role.</w:t>
      </w:r>
    </w:p>
    <w:p>
      <w:pPr>
        <w:pStyle w:val="BodyText"/>
        <w:numPr>
          <w:numId w:val="89"/>
        </w:numPr>
      </w:pPr>
      <w:r>
        <w:t xml:space="preserve">(Optional) </w:t>
      </w:r>
      <w:r>
        <w:t xml:space="preserve">(Optional) To edit the cloned rights, turn on the </w:t>
      </w:r>
      <w:r>
        <w:rPr>
          <w:rStyle w:val="InlineUI"/>
        </w:rPr>
        <w:t>Modify Selected Rights</w:t>
      </w:r>
      <w:r>
        <w:t xml:space="preserve"> toggle, and select or deselect the rights you want to change for the cloned role.</w:t>
      </w:r>
    </w:p>
    <w:p>
      <w:pPr>
        <w:pStyle w:val="BodyText"/>
        <w:numPr>
          <w:numId w:val="89"/>
        </w:numPr>
      </w:pPr>
      <w:r>
        <w:t xml:space="preserve">Click </w:t>
      </w:r>
      <w:r>
        <w:rPr>
          <w:rStyle w:val="InlineUI"/>
        </w:rPr>
        <w:t>Save</w:t>
      </w:r>
      <w:r>
        <w:t>.</w:t>
      </w:r>
    </w:p>
    <w:p>
      <w:pPr>
        <w:pStyle w:val="Heading4"/>
      </w:pPr>
      <w:bookmarkStart w:id="124" w:name="Bf8969705062c446583680855150b0622"/>
      <w:bookmarkStart w:id="125" w:name="_Toc256000521"/>
      <w:r>
        <w:t>Publish or Unpublish a Global Role to Your VCF Automation</w:t>
      </w:r>
      <w:bookmarkEnd w:id="125"/>
      <w:bookmarkEnd w:id="124"/>
    </w:p>
    <w:p>
      <w:pPr>
        <w:pStyle w:val="BodyText"/>
      </w:pPr>
      <w:r>
        <w:t xml:space="preserve">You can publish a global role to one or more </w:t>
      </w:r>
      <w:r>
        <w:t>VCF Automation</w:t>
      </w:r>
      <w:r>
        <w:t xml:space="preserve"> organizations in your system. After you publish a role to an organization, this role becomes a part of the organization's set of roles.</w:t>
      </w:r>
    </w:p>
    <w:p>
      <w:pPr>
        <w:pStyle w:val="BodyText"/>
      </w:pPr>
      <w:r>
        <w:rPr>
          <w:rStyle w:val="Strong"/>
        </w:rPr>
        <w:t>Prerequisites</w:t>
      </w:r>
    </w:p>
    <w:p>
      <w:pPr>
        <w:pStyle w:val="BodyText"/>
      </w:pPr>
      <w:r>
        <w:t>To unpublish a global role from an organization, verify that no user is assigned with this role in the organization.</w:t>
      </w:r>
    </w:p>
    <w:p>
      <w:pPr>
        <w:pStyle w:val="BodyText"/>
      </w:pPr>
      <w:r>
        <w:rPr>
          <w:rStyle w:val="Strong"/>
        </w:rPr>
        <w:t>Procedure</w:t>
      </w:r>
    </w:p>
    <w:p>
      <w:pPr>
        <w:pStyle w:val="BodyText"/>
        <w:numPr>
          <w:numId w:val="90"/>
        </w:numPr>
      </w:pPr>
      <w:r>
        <w:t xml:space="preserve">Log in to the </w:t>
      </w:r>
      <w:r>
        <w:t>.</w:t>
      </w:r>
    </w:p>
    <w:p>
      <w:pPr>
        <w:pStyle w:val="BodyText"/>
        <w:numPr>
          <w:numId w:val="90"/>
        </w:numPr>
      </w:pPr>
      <w:r>
        <w:t xml:space="preserve">From the left navigation panel, select </w:t>
      </w:r>
      <w:r>
        <w:rPr>
          <w:rStyle w:val="InlineUI"/>
        </w:rPr>
        <w:t>Access Control</w:t>
      </w:r>
      <w:r>
        <w:t>.</w:t>
      </w:r>
    </w:p>
    <w:p>
      <w:pPr>
        <w:pStyle w:val="BodyText"/>
        <w:numPr>
          <w:numId w:val="90"/>
        </w:numPr>
      </w:pPr>
      <w:r>
        <w:t xml:space="preserve">Click the </w:t>
      </w:r>
      <w:r>
        <w:rPr>
          <w:rStyle w:val="InlineUI"/>
        </w:rPr>
        <w:t>Global Roles</w:t>
      </w:r>
      <w:r>
        <w:t xml:space="preserve"> tab.</w:t>
      </w:r>
    </w:p>
    <w:p>
      <w:pPr>
        <w:pStyle w:val="BodyText"/>
        <w:numPr>
          <w:numId w:val="90"/>
        </w:numPr>
      </w:pPr>
      <w:r>
        <w:t xml:space="preserve">If you want to publish a role, click the name of the role, and click </w:t>
      </w:r>
      <w:r>
        <w:rPr>
          <w:rStyle w:val="InlineUI"/>
        </w:rPr>
        <w:t>Publish</w:t>
      </w:r>
      <w:r>
        <w:t>.</w:t>
      </w:r>
    </w:p>
    <w:p>
      <w:pPr>
        <w:pStyle w:val="BodyText"/>
        <w:numPr>
          <w:ilvl w:val="1"/>
          <w:numId w:val="90"/>
        </w:numPr>
      </w:pPr>
      <w:r>
        <w:t xml:space="preserve">Turn on the </w:t>
      </w:r>
      <w:r>
        <w:rPr>
          <w:rStyle w:val="InlineUI"/>
        </w:rPr>
        <w:t>Publish to Tenants</w:t>
      </w:r>
      <w:r>
        <w:t xml:space="preserve"> toggle.</w:t>
      </w:r>
    </w:p>
    <w:p>
      <w:pPr>
        <w:pStyle w:val="BodyText"/>
        <w:numPr>
          <w:ilvl w:val="1"/>
          <w:numId w:val="90"/>
        </w:numPr>
      </w:pPr>
      <w:r>
        <w:t>Select the organizations to which you want to publish the role.</w:t>
      </w:r>
    </w:p>
    <w:p>
      <w:pPr>
        <w:pStyle w:val="BodyText"/>
        <w:numPr>
          <w:ilvl w:val="2"/>
          <w:numId w:val="90"/>
        </w:numPr>
      </w:pPr>
      <w:r>
        <w:t xml:space="preserve">If you want to publish the role to all existing and newly created organizations in your system, select </w:t>
      </w:r>
      <w:r>
        <w:rPr>
          <w:rStyle w:val="InlineUI"/>
        </w:rPr>
        <w:t>Publish to All Tenants</w:t>
      </w:r>
      <w:r>
        <w:t>.</w:t>
      </w:r>
    </w:p>
    <w:p>
      <w:pPr>
        <w:pStyle w:val="BodyText"/>
        <w:numPr>
          <w:ilvl w:val="2"/>
          <w:numId w:val="90"/>
        </w:numPr>
      </w:pPr>
      <w:r>
        <w:t>If you want to publish the role to one or more organizations in your system, select the organizations individually.</w:t>
      </w:r>
    </w:p>
    <w:p>
      <w:pPr>
        <w:pStyle w:val="BodyText"/>
        <w:numPr>
          <w:numId w:val="90"/>
        </w:numPr>
      </w:pPr>
      <w:r>
        <w:t xml:space="preserve">If you want to unpublish a role, click the name of the role, and click </w:t>
      </w:r>
      <w:r>
        <w:rPr>
          <w:rStyle w:val="InlineUI"/>
        </w:rPr>
        <w:t>Publish</w:t>
      </w:r>
      <w:r>
        <w:t>.</w:t>
      </w:r>
    </w:p>
    <w:p>
      <w:pPr>
        <w:pStyle w:val="BodyText"/>
        <w:numPr>
          <w:ilvl w:val="1"/>
          <w:numId w:val="90"/>
        </w:numPr>
      </w:pPr>
      <w:r>
        <w:t xml:space="preserve">To unpublish the role from all organizations in your system, turn off the </w:t>
      </w:r>
      <w:r>
        <w:rPr>
          <w:rStyle w:val="InlineUI"/>
        </w:rPr>
        <w:t>Publish to Tenants</w:t>
      </w:r>
      <w:r>
        <w:t xml:space="preserve"> toggle.</w:t>
      </w:r>
    </w:p>
    <w:p>
      <w:pPr>
        <w:pStyle w:val="BodyText"/>
        <w:numPr>
          <w:ilvl w:val="1"/>
          <w:numId w:val="90"/>
        </w:numPr>
      </w:pPr>
      <w:r>
        <w:t xml:space="preserve">To unpublish the role from specific organizations in your system, turn off the </w:t>
      </w:r>
      <w:r>
        <w:rPr>
          <w:rStyle w:val="InlineUI"/>
        </w:rPr>
        <w:t>Publish to All Tenants</w:t>
      </w:r>
      <w:r>
        <w:t xml:space="preserve"> toggle, and deselect the organizations individually.</w:t>
      </w:r>
    </w:p>
    <w:p>
      <w:pPr>
        <w:pStyle w:val="BodyText"/>
        <w:numPr>
          <w:numId w:val="90"/>
        </w:numPr>
      </w:pPr>
      <w:r>
        <w:t xml:space="preserve">Click </w:t>
      </w:r>
      <w:r>
        <w:rPr>
          <w:rStyle w:val="InlineUI"/>
        </w:rPr>
        <w:t>Save</w:t>
      </w:r>
      <w:r>
        <w:t>.</w:t>
      </w:r>
    </w:p>
    <w:p>
      <w:pPr>
        <w:pStyle w:val="BodyText"/>
      </w:pPr>
      <w:r>
        <w:rPr>
          <w:rStyle w:val="Strong"/>
        </w:rPr>
        <w:t>Results</w:t>
      </w:r>
    </w:p>
    <w:p>
      <w:pPr>
        <w:pStyle w:val="BodyText"/>
      </w:pPr>
      <w:r>
        <w:t xml:space="preserve">The published role is available in the selected organizations and can be assigned to users in these organizations. </w:t>
      </w:r>
      <w:r>
        <w:rPr>
          <w:rStyle w:val="InlineUI"/>
        </w:rPr>
        <w:t>Organization administrators</w:t>
      </w:r>
      <w:r>
        <w:t xml:space="preserve"> cannot edit global roles that are published to their organizations.</w:t>
      </w:r>
    </w:p>
    <w:p>
      <w:pPr>
        <w:pStyle w:val="BodyText"/>
      </w:pPr>
      <w:r>
        <w:t>The unpublished role is removed from the selected organizations and cannot be assigned to users in these organizations.</w:t>
      </w:r>
    </w:p>
    <w:p>
      <w:pPr>
        <w:pStyle w:val="Heading4"/>
      </w:pPr>
      <w:bookmarkStart w:id="126" w:name="_Toc256000522"/>
      <w:r>
        <w:t>View and Edit a Global Role Using Your VCF Automation</w:t>
      </w:r>
      <w:bookmarkEnd w:id="126"/>
    </w:p>
    <w:p>
      <w:pPr>
        <w:pStyle w:val="BodyText"/>
      </w:pPr>
      <w:r>
        <w:t>You can view the rights that are included in a global role. You can modify the name, the description, and the rights of a global role.</w:t>
      </w:r>
    </w:p>
    <w:p>
      <w:pPr>
        <w:pStyle w:val="BodyText"/>
      </w:pPr>
      <w:r>
        <w:rPr>
          <w:rStyle w:val="Strong"/>
        </w:rPr>
        <w:t>Procedure</w:t>
      </w:r>
    </w:p>
    <w:p>
      <w:pPr>
        <w:pStyle w:val="BodyText"/>
        <w:numPr>
          <w:numId w:val="91"/>
        </w:numPr>
      </w:pPr>
      <w:r>
        <w:t xml:space="preserve">Log in to the </w:t>
      </w:r>
      <w:r>
        <w:t>.</w:t>
      </w:r>
    </w:p>
    <w:p>
      <w:pPr>
        <w:pStyle w:val="BodyText"/>
        <w:numPr>
          <w:numId w:val="91"/>
        </w:numPr>
      </w:pPr>
      <w:r>
        <w:t xml:space="preserve">From the left navigation panel, select </w:t>
      </w:r>
      <w:r>
        <w:rPr>
          <w:rStyle w:val="InlineUI"/>
        </w:rPr>
        <w:t>Access Control</w:t>
      </w:r>
      <w:r>
        <w:t>.</w:t>
      </w:r>
    </w:p>
    <w:p>
      <w:pPr>
        <w:pStyle w:val="BodyText"/>
        <w:numPr>
          <w:numId w:val="91"/>
        </w:numPr>
      </w:pPr>
      <w:r>
        <w:t xml:space="preserve">Click the </w:t>
      </w:r>
      <w:r>
        <w:rPr>
          <w:rStyle w:val="InlineUI"/>
        </w:rPr>
        <w:t>Global Roles</w:t>
      </w:r>
      <w:r>
        <w:t xml:space="preserve"> tab.</w:t>
      </w:r>
    </w:p>
    <w:p>
      <w:pPr>
        <w:pStyle w:val="BodyText"/>
        <w:numPr>
          <w:numId w:val="91"/>
        </w:numPr>
      </w:pPr>
      <w:r>
        <w:t>Click the name of the target role.</w:t>
      </w:r>
    </w:p>
    <w:p>
      <w:pPr>
        <w:pStyle w:val="BodyText"/>
        <w:ind w:left="480"/>
      </w:pPr>
      <w:r>
        <w:t>You can view the rights that are associated with the role by expanding the right categories.</w:t>
      </w:r>
    </w:p>
    <w:p>
      <w:pPr>
        <w:pStyle w:val="BodyText"/>
        <w:numPr>
          <w:numId w:val="91"/>
        </w:numPr>
      </w:pPr>
      <w:r>
        <w:t xml:space="preserve">To modify the name, the description, or the rights of the role, click </w:t>
      </w:r>
      <w:r>
        <w:rPr>
          <w:rStyle w:val="InlineUI"/>
        </w:rPr>
        <w:t>Edit</w:t>
      </w:r>
      <w:r>
        <w:t>.</w:t>
      </w:r>
    </w:p>
    <w:p>
      <w:pPr>
        <w:pStyle w:val="BodyText"/>
        <w:numPr>
          <w:numId w:val="91"/>
        </w:numPr>
      </w:pPr>
      <w:r>
        <w:t xml:space="preserve">Edit the role and click </w:t>
      </w:r>
      <w:r>
        <w:rPr>
          <w:rStyle w:val="InlineUI"/>
        </w:rPr>
        <w:t>Save</w:t>
      </w:r>
      <w:r>
        <w:t>.</w:t>
      </w:r>
    </w:p>
    <w:p>
      <w:pPr>
        <w:pStyle w:val="BodyText"/>
      </w:pPr>
      <w:r>
        <w:rPr>
          <w:rStyle w:val="Strong"/>
        </w:rPr>
        <w:t>Results</w:t>
      </w:r>
    </w:p>
    <w:p>
      <w:pPr>
        <w:pStyle w:val="BodyText"/>
      </w:pPr>
      <w:r>
        <w:t xml:space="preserve">If you modified the rights of the role, </w:t>
      </w:r>
      <w:r>
        <w:t>VCF Automation</w:t>
      </w:r>
      <w:r>
        <w:t xml:space="preserve"> applies the new set of rights to the users across all organizations that you manage that are assigned with this role.</w:t>
      </w:r>
    </w:p>
    <w:p>
      <w:pPr>
        <w:pStyle w:val="Heading4"/>
      </w:pPr>
      <w:bookmarkStart w:id="127" w:name="_Toc256000523"/>
      <w:r>
        <w:t>Delete a Global Role From Your VCF Automation</w:t>
      </w:r>
      <w:bookmarkEnd w:id="127"/>
    </w:p>
    <w:p>
      <w:pPr>
        <w:pStyle w:val="BodyText"/>
      </w:pPr>
      <w:r>
        <w:t xml:space="preserve">You can remove a global role that you no longer use in your </w:t>
      </w:r>
      <w:r>
        <w:t>VCF Automation</w:t>
      </w:r>
      <w:r>
        <w:t xml:space="preserve"> organizations.</w:t>
      </w:r>
    </w:p>
    <w:p>
      <w:pPr>
        <w:pStyle w:val="BodyText"/>
      </w:pPr>
      <w:r>
        <w:rPr>
          <w:rStyle w:val="Strong"/>
        </w:rPr>
        <w:t>Prerequisites</w:t>
      </w:r>
    </w:p>
    <w:p>
      <w:pPr>
        <w:pStyle w:val="BodyText"/>
      </w:pPr>
      <w:r>
        <w:t>The global role that you want to delete must not be assigned to any user across all organizations.</w:t>
      </w:r>
    </w:p>
    <w:p>
      <w:pPr>
        <w:pStyle w:val="BodyText"/>
      </w:pPr>
      <w:r>
        <w:rPr>
          <w:rStyle w:val="Strong"/>
        </w:rPr>
        <w:t>Procedure</w:t>
      </w:r>
    </w:p>
    <w:p>
      <w:pPr>
        <w:pStyle w:val="BodyText"/>
        <w:numPr>
          <w:numId w:val="92"/>
        </w:numPr>
      </w:pPr>
      <w:r>
        <w:t xml:space="preserve">Log in to the </w:t>
      </w:r>
      <w:r>
        <w:t>.</w:t>
      </w:r>
    </w:p>
    <w:p>
      <w:pPr>
        <w:pStyle w:val="BodyText"/>
        <w:numPr>
          <w:numId w:val="92"/>
        </w:numPr>
      </w:pPr>
      <w:r>
        <w:t xml:space="preserve">From the left navigation panel, select </w:t>
      </w:r>
      <w:r>
        <w:rPr>
          <w:rStyle w:val="InlineUI"/>
        </w:rPr>
        <w:t>Access Control</w:t>
      </w:r>
      <w:r>
        <w:t>.</w:t>
      </w:r>
    </w:p>
    <w:p>
      <w:pPr>
        <w:pStyle w:val="BodyText"/>
        <w:numPr>
          <w:numId w:val="92"/>
        </w:numPr>
      </w:pPr>
      <w:r>
        <w:t xml:space="preserve">Click the </w:t>
      </w:r>
      <w:r>
        <w:rPr>
          <w:rStyle w:val="InlineUI"/>
        </w:rPr>
        <w:t>Global Roles</w:t>
      </w:r>
      <w:r>
        <w:t xml:space="preserve"> tab.</w:t>
      </w:r>
    </w:p>
    <w:p>
      <w:pPr>
        <w:pStyle w:val="BodyText"/>
        <w:numPr>
          <w:numId w:val="92"/>
        </w:numPr>
      </w:pPr>
      <w:r>
        <w:t xml:space="preserve">Click the name of the global role and click </w:t>
      </w:r>
      <w:r>
        <w:rPr>
          <w:rStyle w:val="InlineUI"/>
        </w:rPr>
        <w:t>Delete</w:t>
      </w:r>
      <w:r>
        <w:t>.</w:t>
      </w:r>
    </w:p>
    <w:p>
      <w:pPr>
        <w:pStyle w:val="BodyText"/>
        <w:numPr>
          <w:numId w:val="92"/>
        </w:numPr>
      </w:pPr>
      <w:r>
        <w:t xml:space="preserve">To confirm, click </w:t>
      </w:r>
      <w:r>
        <w:rPr>
          <w:rStyle w:val="InlineUI"/>
        </w:rPr>
        <w:t>Delete</w:t>
      </w:r>
      <w:r>
        <w:t>.</w:t>
      </w:r>
    </w:p>
    <w:p>
      <w:pPr>
        <w:pStyle w:val="Heading3"/>
      </w:pPr>
      <w:bookmarkStart w:id="128" w:name="_Toc256000524"/>
      <w:r>
        <w:t>Managing VCF Automation Provider Roles</w:t>
      </w:r>
      <w:bookmarkEnd w:id="128"/>
    </w:p>
    <w:p>
      <w:pPr>
        <w:pStyle w:val="BodyText"/>
      </w:pPr>
      <w:r>
        <w:t xml:space="preserve">You can create and manage roles in your </w:t>
      </w:r>
      <w:r>
        <w:t>VCF Automation</w:t>
      </w:r>
      <w:r>
        <w:rPr>
          <w:rStyle w:val="InlineCode"/>
        </w:rPr>
        <w:t>System</w:t>
      </w:r>
      <w:r>
        <w:t xml:space="preserve"> organization.</w:t>
      </w:r>
    </w:p>
    <w:p>
      <w:pPr>
        <w:pStyle w:val="Heading4"/>
      </w:pPr>
      <w:bookmarkStart w:id="129" w:name="_Toc256000525"/>
      <w:r>
        <w:t>Create a Role in Your VCF Automation Provider Management Portal</w:t>
      </w:r>
      <w:bookmarkEnd w:id="129"/>
    </w:p>
    <w:p>
      <w:pPr>
        <w:pStyle w:val="BodyText"/>
      </w:pPr>
      <w:r>
        <w:t xml:space="preserve">You can create a role available in your </w:t>
      </w:r>
      <w:r>
        <w:t>VCF Automation</w:t>
      </w:r>
      <w:r>
        <w:rPr>
          <w:rStyle w:val="InlineCode"/>
        </w:rPr>
        <w:t>System</w:t>
      </w:r>
      <w:r>
        <w:t xml:space="preserve"> organization.</w:t>
      </w:r>
    </w:p>
    <w:p>
      <w:pPr>
        <w:pStyle w:val="BodyText"/>
      </w:pPr>
      <w:r>
        <w:t xml:space="preserve">After the initial </w:t>
      </w:r>
      <w:r>
        <w:t>VCF Automation</w:t>
      </w:r>
      <w:r>
        <w:t xml:space="preserve"> installation and setup, the system contains predefined roles that are local to the </w:t>
      </w:r>
      <w:r>
        <w:rPr>
          <w:rStyle w:val="InlineCode"/>
        </w:rPr>
        <w:t>System</w:t>
      </w:r>
      <w:r>
        <w:t xml:space="preserve"> organization and roles that are global to all organizations. For information about the predefined roles, see </w:t>
      </w:r>
      <w:r>
        <w:t>Predefined VCF Automation Roles and Their Rights</w:t>
      </w:r>
      <w:r>
        <w:t>.</w:t>
      </w:r>
    </w:p>
    <w:p>
      <w:pPr>
        <w:pStyle w:val="BodyText"/>
      </w:pPr>
      <w:r>
        <w:t xml:space="preserve">You can add custom provider roles to your </w:t>
      </w:r>
      <w:r>
        <w:rPr>
          <w:rStyle w:val="InlineCode"/>
        </w:rPr>
        <w:t>System</w:t>
      </w:r>
      <w:r>
        <w:t xml:space="preserve"> organization.</w:t>
      </w:r>
    </w:p>
    <w:p>
      <w:pPr>
        <w:pStyle w:val="BodyText"/>
      </w:pPr>
      <w:r>
        <w:rPr>
          <w:rStyle w:val="Strong"/>
        </w:rPr>
        <w:t>Procedure</w:t>
      </w:r>
    </w:p>
    <w:p>
      <w:pPr>
        <w:pStyle w:val="BodyText"/>
        <w:numPr>
          <w:numId w:val="93"/>
        </w:numPr>
      </w:pPr>
      <w:r>
        <w:t xml:space="preserve">Log in to the </w:t>
      </w:r>
      <w:r>
        <w:t>.</w:t>
      </w:r>
    </w:p>
    <w:p>
      <w:pPr>
        <w:pStyle w:val="BodyText"/>
        <w:numPr>
          <w:numId w:val="93"/>
        </w:numPr>
      </w:pPr>
      <w:r>
        <w:t xml:space="preserve">From the left navigation panel, select </w:t>
      </w:r>
      <w:r>
        <w:rPr>
          <w:rStyle w:val="InlineUI"/>
        </w:rPr>
        <w:t>Access Control</w:t>
      </w:r>
      <w:r>
        <w:t>.</w:t>
      </w:r>
    </w:p>
    <w:p>
      <w:pPr>
        <w:pStyle w:val="BodyText"/>
        <w:numPr>
          <w:numId w:val="93"/>
        </w:numPr>
      </w:pPr>
      <w:r>
        <w:t xml:space="preserve">Click the </w:t>
      </w:r>
      <w:r>
        <w:rPr>
          <w:rStyle w:val="InlineUI"/>
        </w:rPr>
        <w:t>Roles</w:t>
      </w:r>
      <w:r>
        <w:t xml:space="preserve"> tab, and click </w:t>
      </w:r>
      <w:r>
        <w:rPr>
          <w:rStyle w:val="InlineUI"/>
        </w:rPr>
        <w:t>New</w:t>
      </w:r>
      <w:r>
        <w:t>.</w:t>
      </w:r>
    </w:p>
    <w:p>
      <w:pPr>
        <w:pStyle w:val="BodyText"/>
        <w:numPr>
          <w:numId w:val="93"/>
        </w:numPr>
      </w:pPr>
      <w:r>
        <w:t>Enter a name, and optionally, a description for the new role.</w:t>
      </w:r>
    </w:p>
    <w:p>
      <w:pPr>
        <w:pStyle w:val="BodyText"/>
        <w:numPr>
          <w:numId w:val="93"/>
        </w:numPr>
      </w:pPr>
      <w:r>
        <w:t>Select the rights that you want to associate with the role.</w:t>
      </w:r>
    </w:p>
    <w:p>
      <w:pPr>
        <w:pStyle w:val="BodyText"/>
        <w:ind w:left="480"/>
      </w:pPr>
      <w:r>
        <w:t>The rights are grouped in categories and subcategories for view or manage access to the object to which they relate.</w:t>
      </w:r>
    </w:p>
    <w:p>
      <w:pPr>
        <w:pStyle w:val="BodyText"/>
        <w:ind w:left="480"/>
      </w:pPr>
      <w:r>
        <w:t>You can select the rights individually, by view or manage by subcategory, or by view or manage globally.</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9"/>
        <w:gridCol w:w="784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Category</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Access Control</w:t>
            </w:r>
          </w:p>
        </w:tc>
        <w:tc>
          <w:tcPr>
            <w:tcBorders>
              <w:left w:val="nil"/>
              <w:right w:val="nil"/>
            </w:tcBorders>
          </w:tcPr>
          <w:p>
            <w:pPr>
              <w:pStyle w:val="TableBodyText"/>
            </w:pPr>
            <w:r>
              <w:t>Contains rights for viewing and managing organizations, rights, roles, and users.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Administration</w:t>
            </w:r>
          </w:p>
        </w:tc>
        <w:tc>
          <w:tcPr>
            <w:tcBorders>
              <w:left w:val="nil"/>
              <w:right w:val="nil"/>
            </w:tcBorders>
          </w:tcPr>
          <w:p>
            <w:pPr>
              <w:pStyle w:val="TableBodyText"/>
            </w:pPr>
            <w:r>
              <w:t>Contains rights for viewing and managing general, billing, integration settings, and so 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Compute</w:t>
            </w:r>
          </w:p>
        </w:tc>
        <w:tc>
          <w:tcPr>
            <w:tcBorders>
              <w:left w:val="nil"/>
              <w:right w:val="nil"/>
            </w:tcBorders>
          </w:tcPr>
          <w:p>
            <w:pPr>
              <w:pStyle w:val="TableBodyText"/>
            </w:pPr>
            <w:r>
              <w:t xml:space="preserve">Contains rights for viewing and managing organizations, regions, region quotas, </w:t>
            </w:r>
            <w:r>
              <w:t xml:space="preserve"> Namespaces, and VM monitoring.</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Content Hubs</w:t>
            </w:r>
          </w:p>
        </w:tc>
        <w:tc>
          <w:tcPr>
            <w:tcBorders>
              <w:left w:val="nil"/>
              <w:right w:val="nil"/>
            </w:tcBorders>
          </w:tcPr>
          <w:p>
            <w:pPr>
              <w:pStyle w:val="TableBodyText"/>
            </w:pPr>
            <w:r>
              <w:t>Contains rights for viewing and managing blueprints and workflows.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Extensions</w:t>
            </w:r>
          </w:p>
        </w:tc>
        <w:tc>
          <w:tcPr>
            <w:tcBorders>
              <w:left w:val="nil"/>
              <w:right w:val="nil"/>
            </w:tcBorders>
          </w:tcPr>
          <w:p>
            <w:pPr>
              <w:pStyle w:val="TableBodyText"/>
            </w:pPr>
            <w:r>
              <w:t xml:space="preserve">Contains rights for viewing and managing </w:t>
            </w:r>
            <w:r>
              <w:t xml:space="preserve"> extensions.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Infrastructure</w:t>
            </w:r>
          </w:p>
        </w:tc>
        <w:tc>
          <w:tcPr>
            <w:tcBorders>
              <w:left w:val="nil"/>
              <w:right w:val="nil"/>
            </w:tcBorders>
          </w:tcPr>
          <w:p>
            <w:pPr>
              <w:pStyle w:val="TableBodyText"/>
            </w:pPr>
            <w:r>
              <w:t>Contains rights for viewing and managing SDDCs.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Libraries</w:t>
            </w:r>
          </w:p>
        </w:tc>
        <w:tc>
          <w:tcPr>
            <w:tcBorders>
              <w:left w:val="nil"/>
              <w:right w:val="nil"/>
            </w:tcBorders>
          </w:tcPr>
          <w:p>
            <w:pPr>
              <w:pStyle w:val="TableBodyText"/>
            </w:pPr>
            <w:r>
              <w:t>Contains rights for viewing and managing content libraries and content library items.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Networking</w:t>
            </w:r>
          </w:p>
        </w:tc>
        <w:tc>
          <w:tcPr>
            <w:tcBorders>
              <w:left w:val="nil"/>
              <w:right w:val="nil"/>
            </w:tcBorders>
          </w:tcPr>
          <w:p>
            <w:pPr>
              <w:pStyle w:val="TableBodyText"/>
            </w:pPr>
            <w:r>
              <w:t>Contains rights for viewing and managing network resources.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Other</w:t>
            </w:r>
          </w:p>
        </w:tc>
        <w:tc>
          <w:tcPr>
            <w:tcBorders>
              <w:left w:val="nil"/>
              <w:right w:val="nil"/>
            </w:tcBorders>
          </w:tcPr>
          <w:p>
            <w:pPr>
              <w:pStyle w:val="TableBodyText"/>
            </w:pPr>
            <w:r>
              <w:t>Contains rights for viewing and managing services, branding, Kubernetes clusters, Service Manager, and so 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Policies</w:t>
            </w:r>
          </w:p>
        </w:tc>
        <w:tc>
          <w:tcPr>
            <w:tcBorders>
              <w:left w:val="nil"/>
              <w:right w:val="nil"/>
            </w:tcBorders>
          </w:tcPr>
          <w:p>
            <w:pPr>
              <w:pStyle w:val="TableBodyText"/>
            </w:pPr>
            <w:r>
              <w:t>Contains rights for viewing and managing approval requests.</w:t>
            </w:r>
          </w:p>
        </w:tc>
      </w:tr>
    </w:tbl>
    <w:p>
      <w:pPr>
        <w:pStyle w:val="BodyText"/>
        <w:numPr>
          <w:numId w:val="93"/>
        </w:numPr>
        <w:spacing w:before="240"/>
      </w:pPr>
      <w:r>
        <w:t xml:space="preserve">Click </w:t>
      </w:r>
      <w:r>
        <w:rPr>
          <w:rStyle w:val="InlineUI"/>
        </w:rPr>
        <w:t>Save</w:t>
      </w:r>
      <w:r>
        <w:t>.</w:t>
      </w:r>
    </w:p>
    <w:p>
      <w:pPr>
        <w:pStyle w:val="BodyText"/>
      </w:pPr>
      <w:r>
        <w:rPr>
          <w:rStyle w:val="Strong"/>
        </w:rPr>
        <w:t>Results</w:t>
      </w:r>
    </w:p>
    <w:p>
      <w:pPr>
        <w:pStyle w:val="BodyText"/>
      </w:pPr>
      <w:r>
        <w:t xml:space="preserve">The newly created role is available for assigning to users in your </w:t>
      </w:r>
      <w:r>
        <w:rPr>
          <w:rStyle w:val="InlineCode"/>
        </w:rPr>
        <w:t>System</w:t>
      </w:r>
      <w:r>
        <w:t xml:space="preserve"> organization.</w:t>
      </w:r>
    </w:p>
    <w:p>
      <w:pPr>
        <w:pStyle w:val="Heading4"/>
      </w:pPr>
      <w:bookmarkStart w:id="130" w:name="_Toc256000526"/>
      <w:r>
        <w:t>Clone a Role in Your VCF Automation Provider Management Portal</w:t>
      </w:r>
      <w:bookmarkEnd w:id="130"/>
    </w:p>
    <w:p>
      <w:pPr>
        <w:pStyle w:val="BodyText"/>
      </w:pPr>
      <w:r>
        <w:t>You can use an existing provider role as a template for the creation of a new role.</w:t>
      </w:r>
    </w:p>
    <w:p>
      <w:pPr>
        <w:pStyle w:val="BodyText"/>
      </w:pPr>
      <w:r>
        <w:rPr>
          <w:rStyle w:val="Strong"/>
        </w:rPr>
        <w:t>Procedure</w:t>
      </w:r>
    </w:p>
    <w:p>
      <w:pPr>
        <w:pStyle w:val="BodyText"/>
        <w:numPr>
          <w:numId w:val="94"/>
        </w:numPr>
      </w:pPr>
      <w:r>
        <w:t xml:space="preserve">Log in to the </w:t>
      </w:r>
      <w:r>
        <w:t>.</w:t>
      </w:r>
    </w:p>
    <w:p>
      <w:pPr>
        <w:pStyle w:val="BodyText"/>
        <w:numPr>
          <w:numId w:val="94"/>
        </w:numPr>
      </w:pPr>
      <w:r>
        <w:t xml:space="preserve">From the left navigation panel, select </w:t>
      </w:r>
      <w:r>
        <w:rPr>
          <w:rStyle w:val="InlineUI"/>
        </w:rPr>
        <w:t>Access Control</w:t>
      </w:r>
      <w:r>
        <w:t>.</w:t>
      </w:r>
    </w:p>
    <w:p>
      <w:pPr>
        <w:pStyle w:val="BodyText"/>
        <w:numPr>
          <w:numId w:val="94"/>
        </w:numPr>
      </w:pPr>
      <w:r>
        <w:t xml:space="preserve">Select the </w:t>
      </w:r>
      <w:r>
        <w:rPr>
          <w:rStyle w:val="InlineUI"/>
        </w:rPr>
        <w:t>Roles</w:t>
      </w:r>
      <w:r>
        <w:t xml:space="preserve"> tab.</w:t>
      </w:r>
    </w:p>
    <w:p>
      <w:pPr>
        <w:pStyle w:val="BodyText"/>
        <w:numPr>
          <w:numId w:val="94"/>
        </w:numPr>
      </w:pPr>
      <w:r>
        <w:t>Click the vertical ellipsis (</w:t>
      </w:r>
      <w:r>
        <w:t xml:space="preserve">) next to the role that you want to clone, and click </w:t>
      </w:r>
      <w:r>
        <w:rPr>
          <w:rStyle w:val="InlineUI"/>
        </w:rPr>
        <w:t>Clone</w:t>
      </w:r>
      <w:r>
        <w:t>.</w:t>
      </w:r>
    </w:p>
    <w:p>
      <w:pPr>
        <w:pStyle w:val="BodyText"/>
        <w:numPr>
          <w:numId w:val="94"/>
        </w:numPr>
      </w:pPr>
      <w:r>
        <w:t xml:space="preserve">In the </w:t>
      </w:r>
      <w:r>
        <w:rPr>
          <w:rStyle w:val="InlineUI"/>
        </w:rPr>
        <w:t>Clone Role</w:t>
      </w:r>
      <w:r>
        <w:t xml:space="preserve"> window, enter a name and description for the cloned role.</w:t>
      </w:r>
    </w:p>
    <w:p>
      <w:pPr>
        <w:pStyle w:val="BodyText"/>
        <w:numPr>
          <w:numId w:val="94"/>
        </w:numPr>
      </w:pPr>
      <w:r>
        <w:t xml:space="preserve">(Optional) </w:t>
      </w:r>
      <w:r>
        <w:t xml:space="preserve">(Optional) To edit the cloned rights, turn on the </w:t>
      </w:r>
      <w:r>
        <w:rPr>
          <w:rStyle w:val="InlineUI"/>
        </w:rPr>
        <w:t>Modify Selected Rights</w:t>
      </w:r>
      <w:r>
        <w:t xml:space="preserve"> toggle, and select or deselect the rights you want to change for the cloned role.</w:t>
      </w:r>
    </w:p>
    <w:p>
      <w:pPr>
        <w:pStyle w:val="BodyText"/>
        <w:numPr>
          <w:numId w:val="94"/>
        </w:numPr>
      </w:pPr>
      <w:r>
        <w:t xml:space="preserve">Click </w:t>
      </w:r>
      <w:r>
        <w:rPr>
          <w:rStyle w:val="InlineUI"/>
        </w:rPr>
        <w:t>Save</w:t>
      </w:r>
      <w:r>
        <w:t>.</w:t>
      </w:r>
    </w:p>
    <w:p>
      <w:pPr>
        <w:pStyle w:val="Heading4"/>
      </w:pPr>
      <w:bookmarkStart w:id="131" w:name="_Toc256000527"/>
      <w:r>
        <w:t>View or Edit a Role in Your VCF Automation Provider Management Portal</w:t>
      </w:r>
      <w:bookmarkEnd w:id="131"/>
    </w:p>
    <w:p>
      <w:pPr>
        <w:pStyle w:val="BodyText"/>
      </w:pPr>
      <w:r>
        <w:t xml:space="preserve">You can view the rights that are included in a role that is local to your </w:t>
      </w:r>
      <w:r>
        <w:t>VCF Automation</w:t>
      </w:r>
      <w:r>
        <w:rPr>
          <w:rStyle w:val="InlineCode"/>
        </w:rPr>
        <w:t>System</w:t>
      </w:r>
      <w:r>
        <w:t xml:space="preserve"> organization. You can modify the name, the description, and the rights of a role.</w:t>
      </w:r>
    </w:p>
    <w:p>
      <w:pPr>
        <w:pStyle w:val="BodyText"/>
      </w:pPr>
      <w:r>
        <w:rPr>
          <w:rStyle w:val="Strong"/>
        </w:rPr>
        <w:t>Procedure</w:t>
      </w:r>
    </w:p>
    <w:p>
      <w:pPr>
        <w:pStyle w:val="BodyText"/>
        <w:numPr>
          <w:numId w:val="95"/>
        </w:numPr>
      </w:pPr>
      <w:r>
        <w:t xml:space="preserve">Log in to the </w:t>
      </w:r>
      <w:r>
        <w:t>.</w:t>
      </w:r>
    </w:p>
    <w:p>
      <w:pPr>
        <w:pStyle w:val="BodyText"/>
        <w:numPr>
          <w:numId w:val="95"/>
        </w:numPr>
      </w:pPr>
      <w:r>
        <w:t xml:space="preserve">From the left navigation panel, select </w:t>
      </w:r>
      <w:r>
        <w:rPr>
          <w:rStyle w:val="InlineUI"/>
        </w:rPr>
        <w:t>Access Control</w:t>
      </w:r>
      <w:r>
        <w:t>.</w:t>
      </w:r>
    </w:p>
    <w:p>
      <w:pPr>
        <w:pStyle w:val="BodyText"/>
        <w:numPr>
          <w:numId w:val="95"/>
        </w:numPr>
      </w:pPr>
      <w:r>
        <w:t xml:space="preserve">Click the </w:t>
      </w:r>
      <w:r>
        <w:rPr>
          <w:rStyle w:val="InlineUI"/>
        </w:rPr>
        <w:t>Roles</w:t>
      </w:r>
      <w:r>
        <w:t xml:space="preserve"> tab.</w:t>
      </w:r>
    </w:p>
    <w:p>
      <w:pPr>
        <w:pStyle w:val="BodyText"/>
        <w:numPr>
          <w:numId w:val="95"/>
        </w:numPr>
      </w:pPr>
      <w:r>
        <w:t>Click the name of the target role.</w:t>
      </w:r>
    </w:p>
    <w:p>
      <w:pPr>
        <w:pStyle w:val="BodyText"/>
        <w:ind w:left="480"/>
      </w:pPr>
      <w:r>
        <w:t>You can view the rights that are associated with the role by expanding the right categories.</w:t>
      </w:r>
    </w:p>
    <w:p>
      <w:pPr>
        <w:pStyle w:val="BodyText"/>
        <w:numPr>
          <w:numId w:val="95"/>
        </w:numPr>
      </w:pPr>
      <w:r>
        <w:t xml:space="preserve">To modify the name, the description, or the rights of the role, click </w:t>
      </w:r>
      <w:r>
        <w:rPr>
          <w:rStyle w:val="InlineUI"/>
        </w:rPr>
        <w:t>Edit</w:t>
      </w:r>
      <w:r>
        <w:t>.</w:t>
      </w:r>
    </w:p>
    <w:p>
      <w:pPr>
        <w:pStyle w:val="BodyText"/>
        <w:numPr>
          <w:numId w:val="95"/>
        </w:numPr>
      </w:pPr>
      <w:r>
        <w:t xml:space="preserve">Edit the role and click </w:t>
      </w:r>
      <w:r>
        <w:rPr>
          <w:rStyle w:val="InlineUI"/>
        </w:rPr>
        <w:t>Save</w:t>
      </w:r>
      <w:r>
        <w:t>.</w:t>
      </w:r>
    </w:p>
    <w:p>
      <w:pPr>
        <w:pStyle w:val="BodyText"/>
      </w:pPr>
      <w:r>
        <w:rPr>
          <w:rStyle w:val="Strong"/>
        </w:rPr>
        <w:t>Results</w:t>
      </w:r>
    </w:p>
    <w:p>
      <w:pPr>
        <w:pStyle w:val="BodyText"/>
      </w:pPr>
      <w:r>
        <w:t>If you modified the rights of the role, the new set of rights is applied to the users that are assigned with this role.</w:t>
      </w:r>
    </w:p>
    <w:p>
      <w:pPr>
        <w:pStyle w:val="Heading4"/>
      </w:pPr>
      <w:bookmarkStart w:id="132" w:name="_Toc256000528"/>
      <w:r>
        <w:t>Delete a Role From Your VCF Automation Provider Management Portal</w:t>
      </w:r>
      <w:bookmarkEnd w:id="132"/>
    </w:p>
    <w:p>
      <w:pPr>
        <w:pStyle w:val="BodyText"/>
      </w:pPr>
      <w:r>
        <w:t xml:space="preserve">You can remove a role that you no longer use in your </w:t>
      </w:r>
      <w:r>
        <w:t>VCF Automation</w:t>
      </w:r>
      <w:r>
        <w:rPr>
          <w:rStyle w:val="InlineCode"/>
        </w:rPr>
        <w:t>System</w:t>
      </w:r>
      <w:r>
        <w:t xml:space="preserve"> organization.</w:t>
      </w:r>
    </w:p>
    <w:p>
      <w:pPr>
        <w:pStyle w:val="BodyText"/>
      </w:pPr>
      <w:r>
        <w:rPr>
          <w:rStyle w:val="Strong"/>
        </w:rPr>
        <w:t>Prerequisites</w:t>
      </w:r>
    </w:p>
    <w:p>
      <w:pPr>
        <w:pStyle w:val="BodyText"/>
      </w:pPr>
      <w:r>
        <w:t>The role that you want to delete must not be assigned to any user.</w:t>
      </w:r>
    </w:p>
    <w:p>
      <w:pPr>
        <w:pStyle w:val="BodyText"/>
      </w:pPr>
      <w:r>
        <w:rPr>
          <w:rStyle w:val="Strong"/>
        </w:rPr>
        <w:t>Procedure</w:t>
      </w:r>
    </w:p>
    <w:p>
      <w:pPr>
        <w:pStyle w:val="BodyText"/>
        <w:numPr>
          <w:numId w:val="96"/>
        </w:numPr>
      </w:pPr>
      <w:r>
        <w:t xml:space="preserve">Log in to the </w:t>
      </w:r>
      <w:r>
        <w:t>.</w:t>
      </w:r>
    </w:p>
    <w:p>
      <w:pPr>
        <w:pStyle w:val="BodyText"/>
        <w:numPr>
          <w:numId w:val="96"/>
        </w:numPr>
      </w:pPr>
      <w:r>
        <w:t xml:space="preserve">From the left navigation panel, select </w:t>
      </w:r>
      <w:r>
        <w:rPr>
          <w:rStyle w:val="InlineUI"/>
        </w:rPr>
        <w:t>Access Control</w:t>
      </w:r>
      <w:r>
        <w:t>.</w:t>
      </w:r>
    </w:p>
    <w:p>
      <w:pPr>
        <w:pStyle w:val="BodyText"/>
        <w:numPr>
          <w:numId w:val="96"/>
        </w:numPr>
      </w:pPr>
      <w:r>
        <w:t xml:space="preserve">Click the </w:t>
      </w:r>
      <w:r>
        <w:rPr>
          <w:rStyle w:val="InlineUI"/>
        </w:rPr>
        <w:t>Roles</w:t>
      </w:r>
      <w:r>
        <w:t xml:space="preserve"> tab.</w:t>
      </w:r>
    </w:p>
    <w:p>
      <w:pPr>
        <w:pStyle w:val="BodyText"/>
        <w:numPr>
          <w:numId w:val="96"/>
        </w:numPr>
      </w:pPr>
      <w:r>
        <w:t xml:space="preserve">Click the name of the global role and click </w:t>
      </w:r>
      <w:r>
        <w:rPr>
          <w:rStyle w:val="InlineUI"/>
        </w:rPr>
        <w:t>Delete</w:t>
      </w:r>
      <w:r>
        <w:t>.</w:t>
      </w:r>
    </w:p>
    <w:p>
      <w:pPr>
        <w:pStyle w:val="BodyText"/>
        <w:numPr>
          <w:numId w:val="96"/>
        </w:numPr>
      </w:pPr>
      <w:r>
        <w:t xml:space="preserve">To confirm, click </w:t>
      </w:r>
      <w:r>
        <w:rPr>
          <w:rStyle w:val="InlineUI"/>
        </w:rPr>
        <w:t>Delete</w:t>
      </w:r>
      <w:r>
        <w:t>.</w:t>
      </w:r>
    </w:p>
    <w:p>
      <w:pPr>
        <w:pStyle w:val="Heading2"/>
      </w:pPr>
      <w:bookmarkStart w:id="133" w:name="B0f93d9bf82954126a853fac06155b52d"/>
      <w:bookmarkStart w:id="134" w:name="_Toc256000529"/>
      <w:r>
        <w:t>Managing VCF Automation Provider Users and Groups</w:t>
      </w:r>
      <w:bookmarkEnd w:id="134"/>
      <w:bookmarkEnd w:id="133"/>
    </w:p>
    <w:p>
      <w:pPr>
        <w:pStyle w:val="BodyText"/>
      </w:pPr>
      <w:r>
        <w:t xml:space="preserve">In </w:t>
      </w:r>
      <w:r>
        <w:t>VCF Automation</w:t>
      </w:r>
      <w:r>
        <w:t xml:space="preserve">, each organization can have only one local user, including the </w:t>
      </w:r>
      <w:r>
        <w:rPr>
          <w:rStyle w:val="InlineCode"/>
        </w:rPr>
        <w:t>System</w:t>
      </w:r>
      <w:r>
        <w:t xml:space="preserve"> organization. You can import users and groups to your </w:t>
      </w:r>
      <w:r>
        <w:t>VCF Automation</w:t>
      </w:r>
      <w:r>
        <w:rPr>
          <w:rStyle w:val="InlineCode"/>
        </w:rPr>
        <w:t>System</w:t>
      </w:r>
      <w:r>
        <w:t xml:space="preserve"> organization.</w:t>
      </w:r>
    </w:p>
    <w:p>
      <w:pPr>
        <w:pStyle w:val="BodyText"/>
        <w:pBdr>
          <w:top w:val="single" w:sz="8" w:space="2" w:color="D3D3D3"/>
          <w:bottom w:val="single" w:sz="8" w:space="2" w:color="D3D3D3"/>
        </w:pBdr>
      </w:pPr>
      <w:r>
        <w:rPr>
          <w:rStyle w:val="NoteLeadernote"/>
        </w:rPr>
        <w:t>Note</w:t>
        <w:tab/>
      </w:r>
      <w:r>
        <w:t>VCF Automation</w:t>
      </w:r>
      <w:r>
        <w:t xml:space="preserve"> users can share or transfer ownership of entities to other users within the same organization. For this reason, within an organization, any user can see the other users' basic information, such as user name, full name, description, ID, role, and organization.</w:t>
      </w:r>
    </w:p>
    <w:p>
      <w:pPr>
        <w:pStyle w:val="Heading3"/>
      </w:pPr>
      <w:bookmarkStart w:id="135" w:name="Bb4f8b09c9c824821a6280bb3bfabb846"/>
      <w:bookmarkStart w:id="136" w:name="_Toc256000530"/>
      <w:r>
        <w:t>Managing Provider Users in Your VCF Automation</w:t>
      </w:r>
      <w:bookmarkEnd w:id="136"/>
      <w:bookmarkEnd w:id="135"/>
    </w:p>
    <w:p>
      <w:pPr>
        <w:pStyle w:val="BodyText"/>
      </w:pPr>
      <w:r>
        <w:t xml:space="preserve">You can manage the users in your </w:t>
      </w:r>
      <w:r>
        <w:rPr>
          <w:rStyle w:val="InlineCode"/>
        </w:rPr>
        <w:t>System</w:t>
      </w:r>
      <w:r>
        <w:t xml:space="preserve"> organization by using the </w:t>
      </w:r>
      <w:r>
        <w:t>Provider Management Portal</w:t>
      </w:r>
      <w:r>
        <w:t>.</w:t>
      </w:r>
    </w:p>
    <w:p>
      <w:pPr>
        <w:pStyle w:val="Heading4"/>
      </w:pPr>
      <w:bookmarkStart w:id="137" w:name="_Toc256000531"/>
      <w:r>
        <w:t>Import Provider Users to Your VCF Automation</w:t>
      </w:r>
      <w:bookmarkEnd w:id="137"/>
    </w:p>
    <w:p>
      <w:pPr>
        <w:pStyle w:val="BodyText"/>
      </w:pPr>
      <w:r>
        <w:t xml:space="preserve">You can import users to your </w:t>
      </w:r>
      <w:r>
        <w:t>VCF Automation</w:t>
      </w:r>
      <w:r>
        <w:rPr>
          <w:rStyle w:val="InlineCode"/>
        </w:rPr>
        <w:t>System</w:t>
      </w:r>
      <w:r>
        <w:t xml:space="preserve"> organization from a previously configured LDAP, SAML, OIDC, or </w:t>
      </w:r>
      <w:r>
        <w:t xml:space="preserve"> Single Sign-On (SSO) identity provider.</w:t>
      </w:r>
    </w:p>
    <w:p>
      <w:pPr>
        <w:pStyle w:val="BodyText"/>
      </w:pPr>
      <w:r>
        <w:rPr>
          <w:rStyle w:val="Strong"/>
        </w:rPr>
        <w:t>Prerequisites</w:t>
      </w:r>
    </w:p>
    <w:p>
      <w:pPr>
        <w:pStyle w:val="BodyText"/>
      </w:pPr>
      <w:r>
        <w:t>Configure a System LDAP Connection in Your VCF Automation</w:t>
      </w:r>
      <w:r>
        <w:t xml:space="preserve"> or </w:t>
      </w:r>
      <w:r>
        <w:t>Configure Your VCF Automation System to Use a SAML Identity Provider</w:t>
      </w:r>
      <w:r>
        <w:t>.</w:t>
      </w:r>
    </w:p>
    <w:p>
      <w:pPr>
        <w:pStyle w:val="BodyText"/>
      </w:pPr>
      <w:r>
        <w:rPr>
          <w:rStyle w:val="Strong"/>
        </w:rPr>
        <w:t>Procedure</w:t>
      </w:r>
    </w:p>
    <w:p>
      <w:pPr>
        <w:pStyle w:val="BodyText"/>
        <w:numPr>
          <w:numId w:val="97"/>
        </w:numPr>
      </w:pPr>
      <w:r>
        <w:t xml:space="preserve">Log in to the </w:t>
      </w:r>
      <w:r>
        <w:t>.</w:t>
      </w:r>
    </w:p>
    <w:p>
      <w:pPr>
        <w:pStyle w:val="BodyText"/>
        <w:numPr>
          <w:numId w:val="97"/>
        </w:numPr>
      </w:pPr>
      <w:r>
        <w:t xml:space="preserve">From the left navigation panel, select </w:t>
      </w:r>
      <w:r>
        <w:rPr>
          <w:rStyle w:val="InlineUI"/>
        </w:rPr>
        <w:t>Access Control</w:t>
      </w:r>
      <w:r>
        <w:t>.</w:t>
      </w:r>
    </w:p>
    <w:p>
      <w:pPr>
        <w:pStyle w:val="BodyText"/>
        <w:numPr>
          <w:numId w:val="97"/>
        </w:numPr>
      </w:pPr>
      <w:r>
        <w:t xml:space="preserve">Click the </w:t>
      </w:r>
      <w:r>
        <w:rPr>
          <w:rStyle w:val="InlineUI"/>
        </w:rPr>
        <w:t>Users</w:t>
      </w:r>
      <w:r>
        <w:t xml:space="preserve"> tab, and click </w:t>
      </w:r>
      <w:r>
        <w:rPr>
          <w:rStyle w:val="InlineUI"/>
        </w:rPr>
        <w:t>Import Users</w:t>
      </w:r>
      <w:r>
        <w:t>.</w:t>
      </w:r>
    </w:p>
    <w:p>
      <w:pPr>
        <w:pStyle w:val="BodyText"/>
        <w:numPr>
          <w:numId w:val="97"/>
        </w:numPr>
      </w:pPr>
      <w:r>
        <w:t xml:space="preserve">From the </w:t>
      </w:r>
      <w:r>
        <w:rPr>
          <w:rStyle w:val="InlineUI"/>
        </w:rPr>
        <w:t>Source</w:t>
      </w:r>
      <w:r>
        <w:t xml:space="preserve"> drop-down menu, select your identity provider type.</w:t>
      </w:r>
    </w:p>
    <w:p>
      <w:pPr>
        <w:pStyle w:val="BodyText"/>
        <w:ind w:left="480"/>
      </w:pPr>
      <w:r>
        <w:t>If you configured only one identity provider, this option is hard-coded.</w:t>
      </w:r>
    </w:p>
    <w:p>
      <w:pPr>
        <w:pStyle w:val="BodyText"/>
        <w:numPr>
          <w:numId w:val="97"/>
        </w:numPr>
      </w:pPr>
      <w:r>
        <w:t>Specify the users.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0"/>
        <w:gridCol w:w="773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LDAP</w:t>
            </w:r>
          </w:p>
        </w:tc>
        <w:tc>
          <w:tcPr>
            <w:tcBorders>
              <w:left w:val="nil"/>
              <w:right w:val="nil"/>
            </w:tcBorders>
          </w:tcPr>
          <w:p>
            <w:pPr>
              <w:pStyle w:val="TableBodyText"/>
              <w:numPr>
                <w:numId w:val="98"/>
              </w:numPr>
            </w:pPr>
            <w:r>
              <w:t xml:space="preserve">Enter a full or partial name of a user and click </w:t>
            </w:r>
            <w:r>
              <w:rPr>
                <w:rStyle w:val="InlineUI"/>
              </w:rPr>
              <w:t>Search</w:t>
            </w:r>
            <w:r>
              <w:t>.</w:t>
            </w:r>
          </w:p>
          <w:p>
            <w:pPr>
              <w:pStyle w:val="TableBodyText"/>
              <w:numPr>
                <w:numId w:val="98"/>
              </w:numPr>
            </w:pPr>
            <w:r>
              <w:t>From the search results, select the users that you want to import.</w:t>
            </w:r>
          </w:p>
          <w:p>
            <w:pPr>
              <w:pStyle w:val="TableBodyText"/>
              <w:numPr>
                <w:numId w:val="98"/>
              </w:numPr>
            </w:pPr>
            <w:r>
              <w:t xml:space="preserve">From the </w:t>
            </w:r>
            <w:r>
              <w:rPr>
                <w:rStyle w:val="InlineUI"/>
              </w:rPr>
              <w:t>Assign Role</w:t>
            </w:r>
            <w:r>
              <w:t xml:space="preserve"> drop-down menu, select a role for the imported users.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 xml:space="preserve">SAML, OIDC, or </w:t>
            </w:r>
            <w:r>
              <w:t xml:space="preserve"> SSO</w:t>
            </w:r>
          </w:p>
        </w:tc>
        <w:tc>
          <w:tcPr>
            <w:tcBorders>
              <w:left w:val="nil"/>
              <w:right w:val="nil"/>
            </w:tcBorders>
          </w:tcPr>
          <w:p>
            <w:pPr>
              <w:pStyle w:val="TableBodyText"/>
              <w:numPr>
                <w:numId w:val="99"/>
              </w:numPr>
            </w:pPr>
            <w:r>
              <w:t>Enter the user names of the users that you want to import in the name identifier format supported by the SAML identity provider.</w:t>
            </w:r>
          </w:p>
          <w:p>
            <w:pPr>
              <w:pStyle w:val="TableBodyText"/>
              <w:ind w:left="480"/>
            </w:pPr>
            <w:r>
              <w:t>Use a new line for each user name.</w:t>
            </w:r>
          </w:p>
          <w:p>
            <w:pPr>
              <w:pStyle w:val="TableBodyText"/>
              <w:numPr>
                <w:numId w:val="99"/>
              </w:numPr>
            </w:pPr>
            <w:r>
              <w:t xml:space="preserve">From the </w:t>
            </w:r>
            <w:r>
              <w:rPr>
                <w:rStyle w:val="InlineUI"/>
              </w:rPr>
              <w:t>Assign Role</w:t>
            </w:r>
            <w:r>
              <w:t xml:space="preserve"> drop-down menu, select a role for the imported users.</w:t>
            </w:r>
          </w:p>
        </w:tc>
      </w:tr>
    </w:tbl>
    <w:p>
      <w:pPr>
        <w:pStyle w:val="BodyText"/>
        <w:numPr>
          <w:numId w:val="97"/>
        </w:numPr>
        <w:spacing w:before="240"/>
      </w:pPr>
      <w:r>
        <w:t>Assign one or more roles to the selected users.</w:t>
      </w:r>
    </w:p>
    <w:p>
      <w:pPr>
        <w:pStyle w:val="BodyText"/>
        <w:numPr>
          <w:numId w:val="97"/>
        </w:numPr>
      </w:pPr>
      <w:r>
        <w:t xml:space="preserve">If you want the roles of the users to become a combination of all group and assigned roles, turn on the </w:t>
      </w:r>
      <w:r>
        <w:rPr>
          <w:rStyle w:val="InlineUI"/>
        </w:rPr>
        <w:t>Inherit roles from groups</w:t>
      </w:r>
      <w:r>
        <w:t xml:space="preserve"> toggle.</w:t>
      </w:r>
    </w:p>
    <w:p>
      <w:pPr>
        <w:pStyle w:val="BodyText"/>
        <w:ind w:left="480"/>
      </w:pPr>
      <w:r>
        <w:t xml:space="preserve">Stranded users, which do not belong to any groups in </w:t>
      </w:r>
      <w:r>
        <w:t>VCF Automation</w:t>
      </w:r>
      <w:r>
        <w:t xml:space="preserve"> and do not have an assigned direct role, cannot be authorized for any activity. This results in login failures despite having valid credentials.</w:t>
      </w:r>
    </w:p>
    <w:p>
      <w:pPr>
        <w:pStyle w:val="BodyText"/>
        <w:numPr>
          <w:numId w:val="97"/>
        </w:numPr>
      </w:pPr>
      <w:r>
        <w:t xml:space="preserve">Click </w:t>
      </w:r>
      <w:r>
        <w:rPr>
          <w:rStyle w:val="InlineUI"/>
        </w:rPr>
        <w:t>Save</w:t>
      </w:r>
      <w:r>
        <w:t>.</w:t>
      </w:r>
    </w:p>
    <w:p>
      <w:pPr>
        <w:pStyle w:val="BodyText"/>
      </w:pPr>
      <w:r>
        <w:rPr>
          <w:rStyle w:val="Strong"/>
        </w:rPr>
        <w:t>Results</w:t>
      </w:r>
    </w:p>
    <w:p>
      <w:pPr>
        <w:pStyle w:val="BodyText"/>
      </w:pPr>
      <w:r>
        <w:t>You can see the imported users in the list of users.</w:t>
      </w:r>
    </w:p>
    <w:p>
      <w:pPr>
        <w:pStyle w:val="Heading4"/>
      </w:pPr>
      <w:bookmarkStart w:id="138" w:name="_Toc256000532"/>
      <w:r>
        <w:t>Edit a Provider User in Your VCF Automation</w:t>
      </w:r>
      <w:bookmarkEnd w:id="138"/>
    </w:p>
    <w:p>
      <w:pPr>
        <w:pStyle w:val="BodyText"/>
      </w:pPr>
      <w:r>
        <w:t xml:space="preserve">You can change the user name, password, and role of a user in your </w:t>
      </w:r>
      <w:r>
        <w:t>VCF Automation</w:t>
      </w:r>
      <w:r>
        <w:rPr>
          <w:rStyle w:val="InlineCode"/>
        </w:rPr>
        <w:t>System</w:t>
      </w:r>
      <w:r>
        <w:t xml:space="preserve"> organization.</w:t>
      </w:r>
    </w:p>
    <w:p>
      <w:pPr>
        <w:pStyle w:val="BodyText"/>
      </w:pPr>
      <w:r>
        <w:rPr>
          <w:rStyle w:val="Strong"/>
        </w:rPr>
        <w:t>Procedure</w:t>
      </w:r>
    </w:p>
    <w:p>
      <w:pPr>
        <w:pStyle w:val="BodyText"/>
        <w:numPr>
          <w:numId w:val="100"/>
        </w:numPr>
      </w:pPr>
      <w:r>
        <w:t xml:space="preserve">Log in to the </w:t>
      </w:r>
      <w:r>
        <w:t>.</w:t>
      </w:r>
    </w:p>
    <w:p>
      <w:pPr>
        <w:pStyle w:val="BodyText"/>
        <w:numPr>
          <w:numId w:val="100"/>
        </w:numPr>
      </w:pPr>
      <w:r>
        <w:t xml:space="preserve">From the left navigation panel, select </w:t>
      </w:r>
      <w:r>
        <w:rPr>
          <w:rStyle w:val="InlineUI"/>
        </w:rPr>
        <w:t>Access Control</w:t>
      </w:r>
      <w:r>
        <w:t>.</w:t>
      </w:r>
    </w:p>
    <w:p>
      <w:pPr>
        <w:pStyle w:val="BodyText"/>
        <w:numPr>
          <w:numId w:val="100"/>
        </w:numPr>
      </w:pPr>
      <w:r>
        <w:t xml:space="preserve">Click the </w:t>
      </w:r>
      <w:r>
        <w:rPr>
          <w:rStyle w:val="InlineUI"/>
        </w:rPr>
        <w:t>Users</w:t>
      </w:r>
      <w:r>
        <w:t xml:space="preserve"> tab.</w:t>
      </w:r>
    </w:p>
    <w:p>
      <w:pPr>
        <w:pStyle w:val="BodyText"/>
        <w:numPr>
          <w:numId w:val="100"/>
        </w:numPr>
      </w:pPr>
      <w:r>
        <w:t>Click the vertical ellipsis (</w:t>
      </w:r>
      <w:r>
        <w:t xml:space="preserve">) next to the name of the target user, and click </w:t>
      </w:r>
      <w:r>
        <w:rPr>
          <w:rStyle w:val="InlineUI"/>
        </w:rPr>
        <w:t>Edit</w:t>
      </w:r>
      <w:r>
        <w:t>.</w:t>
      </w:r>
    </w:p>
    <w:p>
      <w:pPr>
        <w:pStyle w:val="BodyText"/>
        <w:numPr>
          <w:numId w:val="100"/>
        </w:numPr>
      </w:pPr>
      <w:r>
        <w:t xml:space="preserve">Edit the user details and click </w:t>
      </w:r>
      <w:r>
        <w:rPr>
          <w:rStyle w:val="InlineUI"/>
        </w:rPr>
        <w:t>Save</w:t>
      </w:r>
      <w:r>
        <w:t>.</w:t>
      </w:r>
    </w:p>
    <w:p>
      <w:pPr>
        <w:pStyle w:val="Heading4"/>
      </w:pPr>
      <w:bookmarkStart w:id="139" w:name="B5e92303ef58e4136855f9b17a1355f34"/>
      <w:bookmarkStart w:id="140" w:name="_Toc256000533"/>
      <w:r>
        <w:t>Activate or Deactivate a Provider User in Your VCF Automation</w:t>
      </w:r>
      <w:bookmarkEnd w:id="140"/>
      <w:bookmarkEnd w:id="139"/>
    </w:p>
    <w:p>
      <w:pPr>
        <w:pStyle w:val="BodyText"/>
      </w:pPr>
      <w:r>
        <w:t xml:space="preserve">After you deactivate a user, the user cannot log in to </w:t>
      </w:r>
      <w:r>
        <w:t>VCF Automation</w:t>
      </w:r>
      <w:r>
        <w:t>.</w:t>
      </w:r>
    </w:p>
    <w:p>
      <w:pPr>
        <w:pStyle w:val="BodyText"/>
      </w:pPr>
      <w:r>
        <w:rPr>
          <w:rStyle w:val="Strong"/>
        </w:rPr>
        <w:t>Procedure</w:t>
      </w:r>
    </w:p>
    <w:p>
      <w:pPr>
        <w:pStyle w:val="BodyText"/>
        <w:numPr>
          <w:numId w:val="101"/>
        </w:numPr>
      </w:pPr>
      <w:r>
        <w:t xml:space="preserve">Log in to the </w:t>
      </w:r>
      <w:r>
        <w:t>.</w:t>
      </w:r>
    </w:p>
    <w:p>
      <w:pPr>
        <w:pStyle w:val="BodyText"/>
        <w:numPr>
          <w:numId w:val="101"/>
        </w:numPr>
      </w:pPr>
      <w:r>
        <w:t xml:space="preserve">From the left navigation panel, select </w:t>
      </w:r>
      <w:r>
        <w:rPr>
          <w:rStyle w:val="InlineUI"/>
        </w:rPr>
        <w:t>Access Control</w:t>
      </w:r>
      <w:r>
        <w:t>.</w:t>
      </w:r>
    </w:p>
    <w:p>
      <w:pPr>
        <w:pStyle w:val="BodyText"/>
        <w:numPr>
          <w:numId w:val="101"/>
        </w:numPr>
      </w:pPr>
      <w:r>
        <w:t xml:space="preserve">Click the </w:t>
      </w:r>
      <w:r>
        <w:rPr>
          <w:rStyle w:val="InlineUI"/>
        </w:rPr>
        <w:t>Users</w:t>
      </w:r>
      <w:r>
        <w:t xml:space="preserve"> tab.</w:t>
      </w:r>
    </w:p>
    <w:p>
      <w:pPr>
        <w:pStyle w:val="BodyText"/>
        <w:numPr>
          <w:numId w:val="101"/>
        </w:numPr>
      </w:pPr>
      <w:r>
        <w:t xml:space="preserve">Click the name of the user, and click </w:t>
      </w:r>
      <w:r>
        <w:rPr>
          <w:rStyle w:val="InlineUI"/>
        </w:rPr>
        <w:t>Enable</w:t>
      </w:r>
      <w:r>
        <w:t xml:space="preserve"> or </w:t>
      </w:r>
      <w:r>
        <w:rPr>
          <w:rStyle w:val="InlineUI"/>
        </w:rPr>
        <w:t>Disable</w:t>
      </w:r>
      <w:r>
        <w:t>.</w:t>
      </w:r>
    </w:p>
    <w:p>
      <w:pPr>
        <w:pStyle w:val="BodyText"/>
        <w:numPr>
          <w:numId w:val="101"/>
        </w:numPr>
      </w:pPr>
      <w:r>
        <w:t xml:space="preserve">If you are deactivating a user, click </w:t>
      </w:r>
      <w:r>
        <w:rPr>
          <w:rStyle w:val="InlineUI"/>
        </w:rPr>
        <w:t>OK</w:t>
      </w:r>
      <w:r>
        <w:t xml:space="preserve"> to confirm.</w:t>
      </w:r>
    </w:p>
    <w:p>
      <w:pPr>
        <w:pStyle w:val="Heading4"/>
      </w:pPr>
      <w:bookmarkStart w:id="141" w:name="_Toc256000534"/>
      <w:r>
        <w:t>Delete a Provider User From Your VCF Automation</w:t>
      </w:r>
      <w:bookmarkEnd w:id="141"/>
    </w:p>
    <w:p>
      <w:pPr>
        <w:pStyle w:val="BodyText"/>
      </w:pPr>
      <w:r>
        <w:t xml:space="preserve">You can remove a user from your </w:t>
      </w:r>
      <w:r>
        <w:t>VCF Automation</w:t>
      </w:r>
      <w:r>
        <w:rPr>
          <w:rStyle w:val="InlineCode"/>
        </w:rPr>
        <w:t>System</w:t>
      </w:r>
      <w:r>
        <w:t xml:space="preserve"> organization by deleting the user account.</w:t>
      </w:r>
    </w:p>
    <w:p>
      <w:pPr>
        <w:pStyle w:val="BodyText"/>
      </w:pPr>
      <w:r>
        <w:t xml:space="preserve">To delete a stranded user that lost access to the system because their LDAP group was deleted, use the </w:t>
      </w:r>
      <w:r>
        <w:t>VCF Automation</w:t>
      </w:r>
      <w:r>
        <w:t xml:space="preserve"> API.</w:t>
      </w:r>
    </w:p>
    <w:p>
      <w:pPr>
        <w:pStyle w:val="BodyText"/>
      </w:pPr>
      <w:r>
        <w:rPr>
          <w:rStyle w:val="Strong"/>
        </w:rPr>
        <w:t>Prerequisites</w:t>
      </w:r>
    </w:p>
    <w:p>
      <w:pPr>
        <w:pStyle w:val="BodyText"/>
      </w:pPr>
      <w:r>
        <w:t xml:space="preserve">Deactivate the user that you want to delete. See </w:t>
      </w:r>
      <w:r>
        <w:t>Activate or Deactivate a Provider User in Your VCF Automation</w:t>
      </w:r>
      <w:r>
        <w:t>.</w:t>
      </w:r>
    </w:p>
    <w:p>
      <w:pPr>
        <w:pStyle w:val="BodyText"/>
      </w:pPr>
      <w:r>
        <w:rPr>
          <w:rStyle w:val="Strong"/>
        </w:rPr>
        <w:t>Procedure</w:t>
      </w:r>
    </w:p>
    <w:p>
      <w:pPr>
        <w:pStyle w:val="BodyText"/>
        <w:numPr>
          <w:numId w:val="102"/>
        </w:numPr>
      </w:pPr>
      <w:r>
        <w:t xml:space="preserve">Log in to the </w:t>
      </w:r>
      <w:r>
        <w:t>.</w:t>
      </w:r>
    </w:p>
    <w:p>
      <w:pPr>
        <w:pStyle w:val="BodyText"/>
        <w:numPr>
          <w:numId w:val="102"/>
        </w:numPr>
      </w:pPr>
      <w:r>
        <w:t xml:space="preserve">From the left navigation panel, select </w:t>
      </w:r>
      <w:r>
        <w:rPr>
          <w:rStyle w:val="InlineUI"/>
        </w:rPr>
        <w:t>Access Control</w:t>
      </w:r>
      <w:r>
        <w:t>.</w:t>
      </w:r>
    </w:p>
    <w:p>
      <w:pPr>
        <w:pStyle w:val="BodyText"/>
        <w:numPr>
          <w:numId w:val="102"/>
        </w:numPr>
      </w:pPr>
      <w:r>
        <w:t xml:space="preserve">Click the </w:t>
      </w:r>
      <w:r>
        <w:rPr>
          <w:rStyle w:val="InlineUI"/>
        </w:rPr>
        <w:t>Users</w:t>
      </w:r>
      <w:r>
        <w:t xml:space="preserve"> tab.</w:t>
      </w:r>
    </w:p>
    <w:p>
      <w:pPr>
        <w:pStyle w:val="BodyText"/>
        <w:numPr>
          <w:numId w:val="102"/>
        </w:numPr>
      </w:pPr>
      <w:r>
        <w:t xml:space="preserve">Click the name of the user, and click </w:t>
      </w:r>
      <w:r>
        <w:rPr>
          <w:rStyle w:val="InlineUI"/>
        </w:rPr>
        <w:t>Delete</w:t>
      </w:r>
      <w:r>
        <w:t>.</w:t>
      </w:r>
    </w:p>
    <w:p>
      <w:pPr>
        <w:pStyle w:val="BodyText"/>
        <w:numPr>
          <w:numId w:val="102"/>
        </w:numPr>
      </w:pPr>
      <w:r>
        <w:t xml:space="preserve">To confirm, click </w:t>
      </w:r>
      <w:r>
        <w:rPr>
          <w:rStyle w:val="InlineUI"/>
        </w:rPr>
        <w:t>Delete</w:t>
      </w:r>
      <w:r>
        <w:t>.</w:t>
      </w:r>
    </w:p>
    <w:p>
      <w:pPr>
        <w:pStyle w:val="Heading4"/>
      </w:pPr>
      <w:bookmarkStart w:id="142" w:name="_Toc256000535"/>
      <w:r>
        <w:t>Unlock a Provider User in Your VCF Automation</w:t>
      </w:r>
      <w:bookmarkEnd w:id="142"/>
    </w:p>
    <w:p>
      <w:pPr>
        <w:pStyle w:val="BodyText"/>
      </w:pPr>
      <w:r>
        <w:t>If you enabled account lockout in your password policy system settings, users might lock their accounts after a certain number of invalid login attempts. Even if the lockout is set with an account lockout interval, you can unlock a user account without waiting for the lock to expire.</w:t>
      </w:r>
    </w:p>
    <w:p>
      <w:pPr>
        <w:pStyle w:val="BodyText"/>
      </w:pPr>
      <w:r>
        <w:rPr>
          <w:rStyle w:val="Strong"/>
        </w:rPr>
        <w:t>Procedure</w:t>
      </w:r>
    </w:p>
    <w:p>
      <w:pPr>
        <w:pStyle w:val="BodyText"/>
        <w:numPr>
          <w:numId w:val="103"/>
        </w:numPr>
      </w:pPr>
      <w:r>
        <w:t xml:space="preserve">Log in to the </w:t>
      </w:r>
      <w:r>
        <w:t>.</w:t>
      </w:r>
    </w:p>
    <w:p>
      <w:pPr>
        <w:pStyle w:val="BodyText"/>
        <w:numPr>
          <w:numId w:val="103"/>
        </w:numPr>
      </w:pPr>
      <w:r>
        <w:t xml:space="preserve">From the left navigation panel, select </w:t>
      </w:r>
      <w:r>
        <w:rPr>
          <w:rStyle w:val="InlineUI"/>
        </w:rPr>
        <w:t>Access Control</w:t>
      </w:r>
      <w:r>
        <w:t>.</w:t>
      </w:r>
    </w:p>
    <w:p>
      <w:pPr>
        <w:pStyle w:val="BodyText"/>
        <w:numPr>
          <w:numId w:val="103"/>
        </w:numPr>
      </w:pPr>
      <w:r>
        <w:t xml:space="preserve">Click the </w:t>
      </w:r>
      <w:r>
        <w:rPr>
          <w:rStyle w:val="InlineUI"/>
        </w:rPr>
        <w:t>Users</w:t>
      </w:r>
      <w:r>
        <w:t xml:space="preserve"> tab.</w:t>
      </w:r>
    </w:p>
    <w:p>
      <w:pPr>
        <w:pStyle w:val="BodyText"/>
        <w:numPr>
          <w:numId w:val="103"/>
        </w:numPr>
      </w:pPr>
      <w:r>
        <w:t xml:space="preserve">Click the name of the user, and click </w:t>
      </w:r>
      <w:r>
        <w:rPr>
          <w:rStyle w:val="InlineUI"/>
        </w:rPr>
        <w:t>Unlock</w:t>
      </w:r>
      <w:r>
        <w:t>.</w:t>
      </w:r>
    </w:p>
    <w:p>
      <w:pPr>
        <w:pStyle w:val="Heading3"/>
      </w:pPr>
      <w:bookmarkStart w:id="143" w:name="B525933ef78004889b3ae0bb839d64685"/>
      <w:bookmarkStart w:id="144" w:name="_Toc256000536"/>
      <w:r>
        <w:t>Managing VCF Automation Provider Groups</w:t>
      </w:r>
      <w:bookmarkEnd w:id="144"/>
      <w:bookmarkEnd w:id="143"/>
    </w:p>
    <w:p>
      <w:pPr>
        <w:pStyle w:val="BodyText"/>
      </w:pPr>
      <w:r>
        <w:t xml:space="preserve">You can import, edit, and delete groups from your </w:t>
      </w:r>
      <w:r>
        <w:t>VCF Automation</w:t>
      </w:r>
      <w:r>
        <w:rPr>
          <w:rStyle w:val="InlineCode"/>
        </w:rPr>
        <w:t>System</w:t>
      </w:r>
      <w:r>
        <w:t xml:space="preserve"> organization by using the </w:t>
      </w:r>
      <w:r>
        <w:t>Provider Management Portal</w:t>
      </w:r>
      <w:r>
        <w:t>.</w:t>
      </w:r>
    </w:p>
    <w:p>
      <w:pPr>
        <w:pStyle w:val="Heading4"/>
      </w:pPr>
      <w:bookmarkStart w:id="145" w:name="_Toc256000537"/>
      <w:r>
        <w:t>Import a Provider Group to Your VCF Automation</w:t>
      </w:r>
      <w:bookmarkEnd w:id="145"/>
    </w:p>
    <w:p>
      <w:pPr>
        <w:pStyle w:val="BodyText"/>
      </w:pPr>
      <w:r>
        <w:t xml:space="preserve">You can import groups to your </w:t>
      </w:r>
      <w:r>
        <w:t>VCF Automation</w:t>
      </w:r>
      <w:r>
        <w:rPr>
          <w:rStyle w:val="InlineCode"/>
        </w:rPr>
        <w:t>System</w:t>
      </w:r>
      <w:r>
        <w:t xml:space="preserve"> organization from a previously configured LDAP, SAML, OIDC, or </w:t>
      </w:r>
      <w:r>
        <w:t xml:space="preserve"> Single Sign-On (SSO) identity provider.</w:t>
      </w:r>
    </w:p>
    <w:p>
      <w:pPr>
        <w:pStyle w:val="BodyText"/>
      </w:pPr>
      <w:r>
        <w:rPr>
          <w:rStyle w:val="Strong"/>
        </w:rPr>
        <w:t>Prerequisites</w:t>
      </w:r>
    </w:p>
    <w:p>
      <w:pPr>
        <w:pStyle w:val="BodyText"/>
      </w:pPr>
      <w:r>
        <w:t>Configure a System LDAP Connection in Your VCF Automation</w:t>
      </w:r>
      <w:r>
        <w:t xml:space="preserve">, </w:t>
      </w:r>
      <w:r>
        <w:t>Configure Your VCF Automation System to Use a SAML Identity Provider</w:t>
      </w:r>
      <w:r>
        <w:t xml:space="preserve">, or </w:t>
      </w:r>
      <w:r>
        <w:t>Configure Your System to Use an OpenID Connect Identity Provider Using Your VCF Automation Provider Management Portal</w:t>
      </w:r>
      <w:r>
        <w:t>.</w:t>
      </w:r>
    </w:p>
    <w:p>
      <w:pPr>
        <w:pStyle w:val="BodyText"/>
      </w:pPr>
      <w:r>
        <w:rPr>
          <w:rStyle w:val="Strong"/>
        </w:rPr>
        <w:t>Procedure</w:t>
      </w:r>
    </w:p>
    <w:p>
      <w:pPr>
        <w:pStyle w:val="BodyText"/>
        <w:numPr>
          <w:numId w:val="104"/>
        </w:numPr>
      </w:pPr>
      <w:r>
        <w:t xml:space="preserve">Log in to the </w:t>
      </w:r>
      <w:r>
        <w:t>.</w:t>
      </w:r>
    </w:p>
    <w:p>
      <w:pPr>
        <w:pStyle w:val="BodyText"/>
        <w:numPr>
          <w:numId w:val="104"/>
        </w:numPr>
      </w:pPr>
      <w:r>
        <w:t xml:space="preserve">From the left navigation panel, select </w:t>
      </w:r>
      <w:r>
        <w:rPr>
          <w:rStyle w:val="InlineUI"/>
        </w:rPr>
        <w:t>Access Control</w:t>
      </w:r>
      <w:r>
        <w:t>.</w:t>
      </w:r>
    </w:p>
    <w:p>
      <w:pPr>
        <w:pStyle w:val="BodyText"/>
        <w:numPr>
          <w:numId w:val="104"/>
        </w:numPr>
      </w:pPr>
      <w:r>
        <w:t xml:space="preserve">Click the </w:t>
      </w:r>
      <w:r>
        <w:rPr>
          <w:rStyle w:val="InlineUI"/>
        </w:rPr>
        <w:t>Groups</w:t>
      </w:r>
      <w:r>
        <w:t xml:space="preserve"> tab, and click </w:t>
      </w:r>
      <w:r>
        <w:rPr>
          <w:rStyle w:val="InlineUI"/>
        </w:rPr>
        <w:t>Import Groups</w:t>
      </w:r>
      <w:r>
        <w:t>.</w:t>
      </w:r>
    </w:p>
    <w:p>
      <w:pPr>
        <w:pStyle w:val="BodyText"/>
        <w:numPr>
          <w:numId w:val="104"/>
        </w:numPr>
      </w:pPr>
      <w:r>
        <w:t xml:space="preserve">From the </w:t>
      </w:r>
      <w:r>
        <w:rPr>
          <w:rStyle w:val="InlineUI"/>
        </w:rPr>
        <w:t>Source</w:t>
      </w:r>
      <w:r>
        <w:t xml:space="preserve"> drop-down menu, select your identity provider type.</w:t>
      </w:r>
    </w:p>
    <w:p>
      <w:pPr>
        <w:pStyle w:val="BodyText"/>
        <w:ind w:left="480"/>
      </w:pPr>
      <w:r>
        <w:t xml:space="preserve">The identity provider types can be </w:t>
      </w:r>
      <w:r>
        <w:rPr>
          <w:rStyle w:val="InlineUI"/>
        </w:rPr>
        <w:t>LDAP</w:t>
      </w:r>
      <w:r>
        <w:t xml:space="preserve">, </w:t>
      </w:r>
      <w:r>
        <w:rPr>
          <w:rStyle w:val="InlineUI"/>
        </w:rPr>
        <w:t>SAML</w:t>
      </w:r>
      <w:r>
        <w:t xml:space="preserve">, or </w:t>
      </w:r>
      <w:r>
        <w:rPr>
          <w:rStyle w:val="InlineUI"/>
        </w:rPr>
        <w:t>OIDC</w:t>
      </w:r>
      <w:r>
        <w:t>.</w:t>
      </w:r>
    </w:p>
    <w:p>
      <w:pPr>
        <w:pStyle w:val="BodyText"/>
        <w:ind w:left="480"/>
      </w:pPr>
      <w:r>
        <w:t>If you configured only one identity provider, this option is hard-coded.</w:t>
      </w:r>
    </w:p>
    <w:p>
      <w:pPr>
        <w:pStyle w:val="BodyText"/>
        <w:numPr>
          <w:numId w:val="104"/>
        </w:numPr>
      </w:pPr>
      <w:r>
        <w:t>Specify the users.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5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LDAP</w:t>
            </w:r>
          </w:p>
        </w:tc>
        <w:tc>
          <w:tcPr>
            <w:tcBorders>
              <w:left w:val="nil"/>
              <w:right w:val="nil"/>
            </w:tcBorders>
          </w:tcPr>
          <w:p>
            <w:pPr>
              <w:pStyle w:val="TableBodyText"/>
              <w:numPr>
                <w:numId w:val="105"/>
              </w:numPr>
            </w:pPr>
            <w:r>
              <w:t xml:space="preserve">Enter a full or partial name of a group, and click </w:t>
            </w:r>
            <w:r>
              <w:rPr>
                <w:rStyle w:val="InlineUI"/>
              </w:rPr>
              <w:t>Search</w:t>
            </w:r>
            <w:r>
              <w:t>.</w:t>
            </w:r>
          </w:p>
          <w:p>
            <w:pPr>
              <w:pStyle w:val="TableBodyText"/>
              <w:numPr>
                <w:numId w:val="105"/>
              </w:numPr>
            </w:pPr>
            <w:r>
              <w:t>From the search results, select the groups that you want to import.</w:t>
            </w:r>
          </w:p>
          <w:p>
            <w:pPr>
              <w:pStyle w:val="TableBodyText"/>
              <w:numPr>
                <w:numId w:val="105"/>
              </w:numPr>
            </w:pPr>
            <w:r>
              <w:t xml:space="preserve">From the </w:t>
            </w:r>
            <w:r>
              <w:rPr>
                <w:rStyle w:val="InlineUI"/>
              </w:rPr>
              <w:t>Assign Role</w:t>
            </w:r>
            <w:r>
              <w:t xml:space="preserve"> drop-down menu, select a role for the users in the imported groups.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SAML</w:t>
            </w:r>
          </w:p>
        </w:tc>
        <w:tc>
          <w:tcPr>
            <w:tcBorders>
              <w:left w:val="nil"/>
              <w:right w:val="nil"/>
            </w:tcBorders>
          </w:tcPr>
          <w:p>
            <w:pPr>
              <w:pStyle w:val="TableBodyText"/>
              <w:numPr>
                <w:numId w:val="106"/>
              </w:numPr>
            </w:pPr>
            <w:r>
              <w:t>Enter the names of the groups that you want to import in the name identifier format supported by the SAML identity provider.</w:t>
            </w:r>
          </w:p>
          <w:p>
            <w:pPr>
              <w:pStyle w:val="TableBodyText"/>
              <w:ind w:left="480"/>
            </w:pPr>
            <w:r>
              <w:t>Use a new line for each group name.</w:t>
            </w:r>
          </w:p>
          <w:p>
            <w:pPr>
              <w:pStyle w:val="TableBodyText"/>
              <w:numPr>
                <w:numId w:val="106"/>
              </w:numPr>
            </w:pPr>
            <w:r>
              <w:t xml:space="preserve">From the </w:t>
            </w:r>
            <w:r>
              <w:rPr>
                <w:rStyle w:val="InlineUI"/>
              </w:rPr>
              <w:t>Assign Role</w:t>
            </w:r>
            <w:r>
              <w:t xml:space="preserve"> drop-down menu, select a role for the users in the imported groups.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OIDC</w:t>
            </w:r>
          </w:p>
        </w:tc>
        <w:tc>
          <w:tcPr>
            <w:tcBorders>
              <w:left w:val="nil"/>
              <w:right w:val="nil"/>
            </w:tcBorders>
          </w:tcPr>
          <w:p>
            <w:pPr>
              <w:pStyle w:val="TableBodyText"/>
              <w:numPr>
                <w:numId w:val="107"/>
              </w:numPr>
            </w:pPr>
            <w:r>
              <w:t>Enter the names of the groups that you want to import in the name identifier format supported by the OIDC identity provider.</w:t>
            </w:r>
          </w:p>
          <w:p>
            <w:pPr>
              <w:pStyle w:val="TableBodyText"/>
              <w:ind w:left="480"/>
            </w:pPr>
            <w:r>
              <w:t>Use a new line for each group name.</w:t>
            </w:r>
          </w:p>
          <w:p>
            <w:pPr>
              <w:pStyle w:val="TableBodyText"/>
              <w:numPr>
                <w:numId w:val="107"/>
              </w:numPr>
            </w:pPr>
            <w:r>
              <w:t xml:space="preserve">From the </w:t>
            </w:r>
            <w:r>
              <w:rPr>
                <w:rStyle w:val="InlineUI"/>
              </w:rPr>
              <w:t>Assign Role</w:t>
            </w:r>
            <w:r>
              <w:t xml:space="preserve"> drop-down menu, select a role for the users in the imported groups.</w:t>
            </w:r>
          </w:p>
        </w:tc>
      </w:tr>
    </w:tbl>
    <w:p>
      <w:pPr>
        <w:pStyle w:val="BodyText"/>
        <w:numPr>
          <w:numId w:val="104"/>
        </w:numPr>
        <w:spacing w:before="240"/>
      </w:pPr>
      <w:r>
        <w:t xml:space="preserve">Click </w:t>
      </w:r>
      <w:r>
        <w:rPr>
          <w:rStyle w:val="InlineUI"/>
        </w:rPr>
        <w:t>Save</w:t>
      </w:r>
      <w:r>
        <w:t>.</w:t>
      </w:r>
    </w:p>
    <w:p>
      <w:pPr>
        <w:pStyle w:val="Heading4"/>
      </w:pPr>
      <w:bookmarkStart w:id="146" w:name="_Toc256000538"/>
      <w:r>
        <w:t>Edit a Provider Group in Your VCF Automation</w:t>
      </w:r>
      <w:bookmarkEnd w:id="146"/>
    </w:p>
    <w:p>
      <w:pPr>
        <w:pStyle w:val="BodyText"/>
      </w:pPr>
      <w:r>
        <w:t xml:space="preserve">You can edit the description and change the role of the members of a group that you previously imported to your </w:t>
      </w:r>
      <w:r>
        <w:t>VCF Automation</w:t>
      </w:r>
      <w:r>
        <w:t xml:space="preserve"> Provider organization.</w:t>
      </w:r>
    </w:p>
    <w:p>
      <w:pPr>
        <w:pStyle w:val="BodyText"/>
      </w:pPr>
      <w:r>
        <w:rPr>
          <w:rStyle w:val="Strong"/>
        </w:rPr>
        <w:t>Procedure</w:t>
      </w:r>
    </w:p>
    <w:p>
      <w:pPr>
        <w:pStyle w:val="BodyText"/>
        <w:numPr>
          <w:numId w:val="108"/>
        </w:numPr>
      </w:pPr>
      <w:r>
        <w:t xml:space="preserve">Log in to the </w:t>
      </w:r>
      <w:r>
        <w:t>.</w:t>
      </w:r>
    </w:p>
    <w:p>
      <w:pPr>
        <w:pStyle w:val="BodyText"/>
        <w:numPr>
          <w:numId w:val="108"/>
        </w:numPr>
      </w:pPr>
      <w:r>
        <w:t xml:space="preserve">From the left navigation panel, select </w:t>
      </w:r>
      <w:r>
        <w:rPr>
          <w:rStyle w:val="InlineUI"/>
        </w:rPr>
        <w:t>Access Control</w:t>
      </w:r>
      <w:r>
        <w:t>.</w:t>
      </w:r>
    </w:p>
    <w:p>
      <w:pPr>
        <w:pStyle w:val="BodyText"/>
        <w:numPr>
          <w:numId w:val="108"/>
        </w:numPr>
      </w:pPr>
      <w:r>
        <w:t xml:space="preserve">Click the </w:t>
      </w:r>
      <w:r>
        <w:rPr>
          <w:rStyle w:val="InlineUI"/>
        </w:rPr>
        <w:t>Groups</w:t>
      </w:r>
      <w:r>
        <w:t xml:space="preserve"> tab.</w:t>
      </w:r>
    </w:p>
    <w:p>
      <w:pPr>
        <w:pStyle w:val="BodyText"/>
        <w:numPr>
          <w:numId w:val="108"/>
        </w:numPr>
      </w:pPr>
      <w:r>
        <w:t xml:space="preserve">Click the name of the group, and click </w:t>
      </w:r>
      <w:r>
        <w:rPr>
          <w:rStyle w:val="InlineUI"/>
        </w:rPr>
        <w:t>Edit</w:t>
      </w:r>
      <w:r>
        <w:t>.</w:t>
      </w:r>
    </w:p>
    <w:p>
      <w:pPr>
        <w:pStyle w:val="BodyText"/>
        <w:numPr>
          <w:numId w:val="108"/>
        </w:numPr>
      </w:pPr>
      <w:r>
        <w:t xml:space="preserve">Edit the group details, and click </w:t>
      </w:r>
      <w:r>
        <w:rPr>
          <w:rStyle w:val="InlineUI"/>
        </w:rPr>
        <w:t>Save</w:t>
      </w:r>
      <w:r>
        <w:t>.</w:t>
      </w:r>
    </w:p>
    <w:p>
      <w:pPr>
        <w:pStyle w:val="Heading4"/>
      </w:pPr>
      <w:bookmarkStart w:id="147" w:name="_Toc256000539"/>
      <w:r>
        <w:t>Delete a Provider Group From Your VCF Automation</w:t>
      </w:r>
      <w:bookmarkEnd w:id="147"/>
    </w:p>
    <w:p>
      <w:pPr>
        <w:pStyle w:val="BodyText"/>
      </w:pPr>
      <w:r>
        <w:t xml:space="preserve">You can remove a group from your </w:t>
      </w:r>
      <w:r>
        <w:t>VCF Automation</w:t>
      </w:r>
      <w:r>
        <w:rPr>
          <w:rStyle w:val="InlineCode"/>
        </w:rPr>
        <w:t>System</w:t>
      </w:r>
      <w:r>
        <w:t xml:space="preserve"> organization</w:t>
      </w:r>
    </w:p>
    <w:p>
      <w:pPr>
        <w:pStyle w:val="BodyText"/>
      </w:pPr>
      <w:r>
        <w:rPr>
          <w:rStyle w:val="Strong"/>
        </w:rPr>
        <w:t>Procedure</w:t>
      </w:r>
    </w:p>
    <w:p>
      <w:pPr>
        <w:pStyle w:val="BodyText"/>
        <w:numPr>
          <w:numId w:val="109"/>
        </w:numPr>
      </w:pPr>
      <w:r>
        <w:t xml:space="preserve">Log in to the </w:t>
      </w:r>
      <w:r>
        <w:t>.</w:t>
      </w:r>
    </w:p>
    <w:p>
      <w:pPr>
        <w:pStyle w:val="BodyText"/>
        <w:numPr>
          <w:numId w:val="109"/>
        </w:numPr>
      </w:pPr>
      <w:r>
        <w:t xml:space="preserve">From the left navigation panel, select </w:t>
      </w:r>
      <w:r>
        <w:rPr>
          <w:rStyle w:val="InlineUI"/>
        </w:rPr>
        <w:t>Access Control</w:t>
      </w:r>
      <w:r>
        <w:t>.</w:t>
      </w:r>
    </w:p>
    <w:p>
      <w:pPr>
        <w:pStyle w:val="BodyText"/>
        <w:numPr>
          <w:numId w:val="109"/>
        </w:numPr>
      </w:pPr>
      <w:r>
        <w:t xml:space="preserve">Click the </w:t>
      </w:r>
      <w:r>
        <w:rPr>
          <w:rStyle w:val="InlineUI"/>
        </w:rPr>
        <w:t>Groups</w:t>
      </w:r>
      <w:r>
        <w:t xml:space="preserve"> tab.</w:t>
      </w:r>
    </w:p>
    <w:p>
      <w:pPr>
        <w:pStyle w:val="BodyText"/>
        <w:numPr>
          <w:numId w:val="109"/>
        </w:numPr>
      </w:pPr>
      <w:r>
        <w:t xml:space="preserve">Click the name of the target group and click </w:t>
      </w:r>
      <w:r>
        <w:rPr>
          <w:rStyle w:val="InlineUI"/>
        </w:rPr>
        <w:t>Delete</w:t>
      </w:r>
      <w:r>
        <w:t>.</w:t>
      </w:r>
    </w:p>
    <w:p>
      <w:pPr>
        <w:pStyle w:val="BodyText"/>
        <w:numPr>
          <w:numId w:val="109"/>
        </w:numPr>
      </w:pPr>
      <w:r>
        <w:t xml:space="preserve">To confirm, click </w:t>
      </w:r>
      <w:r>
        <w:rPr>
          <w:rStyle w:val="InlineUI"/>
        </w:rPr>
        <w:t>Delete</w:t>
      </w:r>
      <w:r>
        <w:t>.</w:t>
      </w:r>
    </w:p>
    <w:p>
      <w:pPr>
        <w:pStyle w:val="Heading3"/>
      </w:pPr>
      <w:bookmarkStart w:id="148" w:name="_Toc256000540"/>
      <w:r>
        <w:t>Managing Service Accounts in VCF Automation</w:t>
      </w:r>
      <w:bookmarkEnd w:id="148"/>
    </w:p>
    <w:p>
      <w:pPr>
        <w:pStyle w:val="BodyText"/>
      </w:pPr>
      <w:r>
        <w:t xml:space="preserve">You can automate the access of third-party applications to </w:t>
      </w:r>
      <w:r>
        <w:t>VCF Automation</w:t>
      </w:r>
      <w:r>
        <w:t xml:space="preserve"> by using service accounts.</w:t>
      </w:r>
    </w:p>
    <w:p>
      <w:pPr>
        <w:pStyle w:val="SectionHeading4"/>
      </w:pPr>
      <w:bookmarkStart w:id="149" w:name="_Toc256000541"/>
      <w:r>
        <w:t>Sharing</w:t>
      </w:r>
      <w:bookmarkEnd w:id="149"/>
    </w:p>
    <w:p>
      <w:pPr>
        <w:pStyle w:val="BodyText"/>
      </w:pPr>
      <w:r>
        <w:t xml:space="preserve">If you want to limit the service account information that users can see, you can grant to certain roles only the </w:t>
      </w:r>
      <w:r>
        <w:rPr>
          <w:rStyle w:val="InlineUI"/>
        </w:rPr>
        <w:t>Limited Service Accounts View</w:t>
      </w:r>
      <w:r>
        <w:t xml:space="preserve"> right. When a user with the </w:t>
      </w:r>
      <w:r>
        <w:rPr>
          <w:rStyle w:val="InlineUI"/>
        </w:rPr>
        <w:t>Limited Service Accounts View</w:t>
      </w:r>
      <w:r>
        <w:t xml:space="preserve"> right makes a GET request on the service account, in the response, the </w:t>
      </w:r>
      <w:r>
        <w:rPr>
          <w:rStyle w:val="InlineCode"/>
        </w:rPr>
        <w:t>softwareId</w:t>
      </w:r>
      <w:r>
        <w:t xml:space="preserve">, </w:t>
      </w:r>
      <w:r>
        <w:rPr>
          <w:rStyle w:val="InlineCode"/>
        </w:rPr>
        <w:t>softwareVersion</w:t>
      </w:r>
      <w:r>
        <w:t xml:space="preserve">, </w:t>
      </w:r>
      <w:r>
        <w:rPr>
          <w:rStyle w:val="InlineCode"/>
        </w:rPr>
        <w:t>uri</w:t>
      </w:r>
      <w:r>
        <w:t xml:space="preserve">, and </w:t>
      </w:r>
      <w:r>
        <w:rPr>
          <w:rStyle w:val="InlineCode"/>
        </w:rPr>
        <w:t>status</w:t>
      </w:r>
      <w:r>
        <w:t xml:space="preserve"> of the service account appear as </w:t>
      </w:r>
      <w:r>
        <w:rPr>
          <w:rStyle w:val="InlineCode"/>
        </w:rPr>
        <w:t>null</w:t>
      </w:r>
      <w:r>
        <w:t>.</w:t>
      </w:r>
    </w:p>
    <w:p>
      <w:pPr>
        <w:pStyle w:val="SectionHeading4"/>
      </w:pPr>
      <w:bookmarkStart w:id="150" w:name="_Toc256000542"/>
      <w:r>
        <w:t>Implementation</w:t>
      </w:r>
      <w:bookmarkEnd w:id="150"/>
    </w:p>
    <w:p>
      <w:pPr>
        <w:pStyle w:val="BodyText"/>
      </w:pPr>
      <w:r>
        <w:t xml:space="preserve">To provide automated access to </w:t>
      </w:r>
      <w:r>
        <w:t>VCF Automation</w:t>
      </w:r>
      <w:r>
        <w:t xml:space="preserve">, service accounts use </w:t>
      </w:r>
      <w:r>
        <w:t>API tokens</w:t>
      </w:r>
      <w:r>
        <w:t xml:space="preserve">. Service accounts are intended for API-based access only. After you grant access to a service account, the authenticated client application receives their API token, which is an OAuth refresh token, and an access token, representing its first </w:t>
      </w:r>
      <w:r>
        <w:t>VCF Automation</w:t>
      </w:r>
      <w:r>
        <w:t xml:space="preserve"> session, for immediate use. Applications need the API tokens for authenticating with </w:t>
      </w:r>
      <w:r>
        <w:t>VCF Automation</w:t>
      </w:r>
      <w:r>
        <w:t xml:space="preserve">. Access tokens are </w:t>
      </w:r>
      <w:r>
        <w:t>VCF Automation</w:t>
      </w:r>
      <w:r>
        <w:t xml:space="preserve"> session tokens (JWT tokens), that applications use to make API requests using the service account. The service accounts for applications use API tokens and thus, have the same restrictions as user API tokens in </w:t>
      </w:r>
      <w:r>
        <w:t>VCF Automation</w:t>
      </w:r>
      <w:r>
        <w:t>.</w:t>
      </w:r>
    </w:p>
    <w:p>
      <w:pPr>
        <w:pStyle w:val="BodyText"/>
      </w:pPr>
      <w:r>
        <w:t xml:space="preserve">Service accounts are granted access using the "Request Service Account Authorization". This guarantees that only the application that must use the token has sole access to the token and can use it. No other actor can access the token. You, as a </w:t>
      </w:r>
      <w:r>
        <w:rPr>
          <w:rStyle w:val="InlineUI"/>
        </w:rPr>
        <w:t>system administrator</w:t>
      </w:r>
      <w:r>
        <w:t xml:space="preserve">, manage the access to the service account. However, even </w:t>
      </w:r>
      <w:r>
        <w:rPr>
          <w:rStyle w:val="InlineUI"/>
        </w:rPr>
        <w:t>administrators</w:t>
      </w:r>
      <w:r>
        <w:t xml:space="preserve"> do not have access to the actual token that grants access. </w:t>
      </w:r>
      <w:r>
        <w:t>VCF Automation</w:t>
      </w:r>
      <w:r>
        <w:t xml:space="preserve"> gives the token only to the service account. To accomplish this, </w:t>
      </w:r>
      <w:r>
        <w:t>VCF Automation</w:t>
      </w:r>
      <w:r>
        <w:t xml:space="preserve"> relies on a well-known standard. To ensure that you and the application to which you are granting the token are in sync through the grant and token transmission, you can only initiate the API token grant process by knowing the user code for the application.</w:t>
      </w:r>
    </w:p>
    <w:p>
      <w:pPr>
        <w:pStyle w:val="BodyText"/>
      </w:pPr>
      <w:r>
        <w:t xml:space="preserve">Unlike user API tokens, API tokens granted to service accounts rotate on every use, as per </w:t>
      </w:r>
      <w:hyperlink r:id="rId12" w:tooltip="RFC 6749 section 6" w:history="1">
        <w:r>
          <w:rPr>
            <w:color w:val="0000FF"/>
            <w:u w:val="single"/>
          </w:rPr>
          <w:t>RFC 6749 section 6</w:t>
        </w:r>
      </w:hyperlink>
      <w:r>
        <w:t>. Unused service account API tokens never expire unless you revoke them.</w:t>
      </w:r>
    </w:p>
    <w:p>
      <w:pPr>
        <w:pStyle w:val="BodyText"/>
      </w:pPr>
      <w:r>
        <w:t xml:space="preserve">Service accounts can have only one role. In OAuth-compliant APIs, the role is communicated through the scope field as a URL-encoded Uniform Resource Name (URN) with the name of the role. The URN format is </w:t>
      </w:r>
      <w:r>
        <w:rPr>
          <w:rStyle w:val="InlineCode"/>
        </w:rPr>
        <w:t>urn:vcloud:role:[</w:t>
      </w:r>
      <w:r>
        <w:rPr>
          <w:rStyle w:val="InlineVar"/>
        </w:rPr>
        <w:t>roleName</w:t>
      </w:r>
      <w:r>
        <w:rPr>
          <w:rStyle w:val="InlineCode"/>
        </w:rPr>
        <w:t>]</w:t>
      </w:r>
      <w:r>
        <w:t xml:space="preserve">. See </w:t>
      </w:r>
      <w:hyperlink r:id="rId13" w:tooltip="RFC 8141" w:history="1">
        <w:r>
          <w:rPr>
            <w:color w:val="0000FF"/>
            <w:u w:val="single"/>
          </w:rPr>
          <w:t>RFC 8141</w:t>
        </w:r>
      </w:hyperlink>
      <w:r>
        <w:t xml:space="preserve"> that describes URN encoding.</w:t>
      </w:r>
    </w:p>
    <w:p>
      <w:pPr>
        <w:pStyle w:val="BodyText"/>
        <w:pBdr>
          <w:top w:val="single" w:sz="8" w:space="2" w:color="D3D3D3"/>
          <w:bottom w:val="single" w:sz="8" w:space="2" w:color="D3D3D3"/>
        </w:pBdr>
      </w:pPr>
      <w:r>
        <w:rPr>
          <w:rStyle w:val="NoteLeadernote"/>
        </w:rPr>
        <w:t>Note</w:t>
        <w:tab/>
      </w:r>
      <w:r>
        <w:t>The device endpoint is unauthenticated. Consider configuring special throttling rules at your load balancer.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6</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Service Account Statuses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85"/>
        <w:gridCol w:w="867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Status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Created</w:t>
            </w:r>
          </w:p>
        </w:tc>
        <w:tc>
          <w:tcPr>
            <w:tcBorders>
              <w:left w:val="nil"/>
              <w:right w:val="nil"/>
            </w:tcBorders>
          </w:tcPr>
          <w:p>
            <w:pPr>
              <w:pStyle w:val="TableBodyText"/>
            </w:pPr>
            <w:r>
              <w:t>The account is in the initial state after creation.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Requested</w:t>
            </w:r>
          </w:p>
        </w:tc>
        <w:tc>
          <w:tcPr>
            <w:tcBorders>
              <w:left w:val="nil"/>
              <w:right w:val="nil"/>
            </w:tcBorders>
          </w:tcPr>
          <w:p>
            <w:pPr>
              <w:pStyle w:val="TableBodyText"/>
            </w:pPr>
            <w:r>
              <w:t>There are one or more outstanding requests for access that a requester initiated using a device authorization request.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Granted</w:t>
            </w:r>
          </w:p>
        </w:tc>
        <w:tc>
          <w:tcPr>
            <w:tcBorders>
              <w:left w:val="nil"/>
              <w:right w:val="nil"/>
            </w:tcBorders>
          </w:tcPr>
          <w:p>
            <w:pPr>
              <w:pStyle w:val="TableBodyText"/>
            </w:pPr>
            <w:r>
              <w:t>An administrator granted an outstanding request and is awaiting the service account polling and fetching of the API token.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Active</w:t>
            </w:r>
          </w:p>
        </w:tc>
        <w:tc>
          <w:tcPr>
            <w:tcBorders>
              <w:left w:val="nil"/>
              <w:right w:val="nil"/>
            </w:tcBorders>
          </w:tcPr>
          <w:p>
            <w:pPr>
              <w:pStyle w:val="TableBodyText"/>
            </w:pPr>
            <w:r>
              <w:t xml:space="preserve">The service account fetched the API token and can access </w:t>
            </w:r>
            <w:r>
              <w:t>VCF Automation</w:t>
            </w:r>
            <w:r>
              <w:t xml:space="preserve"> using the token.</w:t>
            </w:r>
          </w:p>
        </w:tc>
      </w:tr>
    </w:tbl>
    <w:p>
      <w:pPr>
        <w:pStyle w:val="SectionHeading4"/>
        <w:spacing w:before="120"/>
      </w:pPr>
      <w:bookmarkStart w:id="151" w:name="_Toc256000543"/>
      <w:r>
        <w:t>Limitations</w:t>
      </w:r>
      <w:bookmarkEnd w:id="151"/>
    </w:p>
    <w:p>
      <w:pPr>
        <w:pStyle w:val="BodyText"/>
      </w:pPr>
      <w:r>
        <w:t>Because the use of service accounts is aimed at third-party applications, service accounts have some limitations.</w:t>
      </w:r>
    </w:p>
    <w:p>
      <w:pPr>
        <w:pStyle w:val="BodyText"/>
      </w:pPr>
      <w:r>
        <w:t>When using service accounts, applications cannot perform certain tasks.</w:t>
      </w:r>
    </w:p>
    <w:p>
      <w:pPr>
        <w:pStyle w:val="BodyText"/>
        <w:numPr>
          <w:numId w:val="110"/>
        </w:numPr>
      </w:pPr>
      <w:r>
        <w:t>Create API tokens</w:t>
      </w:r>
    </w:p>
    <w:p>
      <w:pPr>
        <w:pStyle w:val="BodyText"/>
        <w:numPr>
          <w:numId w:val="110"/>
        </w:numPr>
      </w:pPr>
      <w:r>
        <w:t>Manage other service accounts</w:t>
      </w:r>
    </w:p>
    <w:p>
      <w:pPr>
        <w:pStyle w:val="Heading4"/>
      </w:pPr>
      <w:bookmarkStart w:id="152" w:name="_Toc256000544"/>
      <w:r>
        <w:t>Create a Service Account Using Your VCF Automation Provider Management Portal</w:t>
      </w:r>
      <w:bookmarkEnd w:id="152"/>
    </w:p>
    <w:p>
      <w:pPr>
        <w:pStyle w:val="BodyText"/>
      </w:pPr>
      <w:r>
        <w:t xml:space="preserve">You can create an account for automated access to </w:t>
      </w:r>
      <w:r>
        <w:t>VCF Automation</w:t>
      </w:r>
      <w:r>
        <w:t xml:space="preserve"> by using the </w:t>
      </w:r>
      <w:r>
        <w:t>Provider Management Portal</w:t>
      </w:r>
      <w:r>
        <w:t>.</w:t>
      </w:r>
    </w:p>
    <w:p>
      <w:pPr>
        <w:pStyle w:val="BodyText"/>
      </w:pPr>
      <w:r>
        <w:rPr>
          <w:rStyle w:val="Strong"/>
        </w:rPr>
        <w:t>Procedure</w:t>
      </w:r>
    </w:p>
    <w:p>
      <w:pPr>
        <w:pStyle w:val="BodyText"/>
        <w:numPr>
          <w:numId w:val="111"/>
        </w:numPr>
      </w:pPr>
      <w:r>
        <w:t xml:space="preserve">Log in to the </w:t>
      </w:r>
      <w:r>
        <w:t>.</w:t>
      </w:r>
    </w:p>
    <w:p>
      <w:pPr>
        <w:pStyle w:val="BodyText"/>
        <w:numPr>
          <w:numId w:val="111"/>
        </w:numPr>
      </w:pPr>
      <w:r>
        <w:t xml:space="preserve">From the left navigation panel, select </w:t>
      </w:r>
      <w:r>
        <w:rPr>
          <w:rStyle w:val="InlineUI"/>
        </w:rPr>
        <w:t>Access Control</w:t>
      </w:r>
      <w:r>
        <w:t>.</w:t>
      </w:r>
    </w:p>
    <w:p>
      <w:pPr>
        <w:pStyle w:val="BodyText"/>
        <w:numPr>
          <w:numId w:val="111"/>
        </w:numPr>
      </w:pPr>
      <w:r>
        <w:t xml:space="preserve">Click the </w:t>
      </w:r>
      <w:r>
        <w:rPr>
          <w:rStyle w:val="InlineUI"/>
        </w:rPr>
        <w:t>Service Accounts</w:t>
      </w:r>
      <w:r>
        <w:t xml:space="preserve"> tab, and click </w:t>
      </w:r>
      <w:r>
        <w:rPr>
          <w:rStyle w:val="InlineUI"/>
        </w:rPr>
        <w:t>New</w:t>
      </w:r>
      <w:r>
        <w:t>.</w:t>
      </w:r>
    </w:p>
    <w:p>
      <w:pPr>
        <w:pStyle w:val="BodyText"/>
        <w:numPr>
          <w:numId w:val="111"/>
        </w:numPr>
      </w:pPr>
      <w:r>
        <w:t>Enter a name for the service account.</w:t>
      </w:r>
    </w:p>
    <w:p>
      <w:pPr>
        <w:pStyle w:val="BodyText"/>
        <w:numPr>
          <w:numId w:val="111"/>
        </w:numPr>
      </w:pPr>
      <w:r>
        <w:t xml:space="preserve">From the </w:t>
      </w:r>
      <w:r>
        <w:rPr>
          <w:rStyle w:val="InlineUI"/>
        </w:rPr>
        <w:t>Assign Role</w:t>
      </w:r>
      <w:r>
        <w:t xml:space="preserve"> drop-down menu, select a role for the service account.</w:t>
      </w:r>
    </w:p>
    <w:p>
      <w:pPr>
        <w:pStyle w:val="BodyText"/>
        <w:ind w:left="480"/>
      </w:pPr>
      <w:r>
        <w:t>The list of available roles comprises the local system organization roles or if you are in another organization, the global roles published to the organization in addition to any local roles in the organization.</w:t>
      </w:r>
    </w:p>
    <w:p>
      <w:pPr>
        <w:pStyle w:val="BodyText"/>
        <w:numPr>
          <w:numId w:val="111"/>
        </w:numPr>
      </w:pPr>
      <w:r>
        <w:t xml:space="preserve">Enter a software ID for the service account or generate and enter one using the </w:t>
      </w:r>
      <w:r>
        <w:rPr>
          <w:rStyle w:val="InlineUI"/>
        </w:rPr>
        <w:t>Generate Software ID</w:t>
      </w:r>
      <w:r>
        <w:t xml:space="preserve"> button.</w:t>
      </w:r>
    </w:p>
    <w:p>
      <w:pPr>
        <w:pStyle w:val="BodyText"/>
        <w:ind w:left="480"/>
      </w:pPr>
      <w:r>
        <w:t xml:space="preserve">Service accounts must have software IDs which are unique identifiers, in UUID format, representing the software that is connecting to </w:t>
      </w:r>
      <w:r>
        <w:t>VCF Automation</w:t>
      </w:r>
      <w:r>
        <w:t>. This ID would be the same for all versions and instances of a piece of software.</w:t>
      </w:r>
    </w:p>
    <w:p>
      <w:pPr>
        <w:pStyle w:val="BodyText"/>
        <w:ind w:left="480"/>
      </w:pPr>
      <w:r>
        <w:t xml:space="preserve">For larger solutions, to retain control over the identity of your service accounts, do not use the </w:t>
      </w:r>
      <w:r>
        <w:rPr>
          <w:rStyle w:val="InlineUI"/>
        </w:rPr>
        <w:t>Generate Software ID</w:t>
      </w:r>
      <w:r>
        <w:t xml:space="preserve"> option, and generate your own software ID.</w:t>
      </w:r>
    </w:p>
    <w:p>
      <w:pPr>
        <w:pStyle w:val="BodyText"/>
        <w:numPr>
          <w:numId w:val="111"/>
        </w:numPr>
      </w:pPr>
      <w:r>
        <w:t xml:space="preserve">(Optional) </w:t>
      </w:r>
      <w:r>
        <w:t>(Optional) Enter the software version of the system using the service account.</w:t>
      </w:r>
    </w:p>
    <w:p>
      <w:pPr>
        <w:pStyle w:val="BodyText"/>
        <w:ind w:left="480"/>
      </w:pPr>
      <w:r>
        <w:t xml:space="preserve">The software version is an optional vendor-specified informational piece of metadata that is associated with the service account. To track when a piece of software changes, </w:t>
      </w:r>
      <w:r>
        <w:t>VCF Automation</w:t>
      </w:r>
      <w:r>
        <w:t xml:space="preserve"> uses the software version. The software version might be useful for identifying a service account.</w:t>
      </w:r>
    </w:p>
    <w:p>
      <w:pPr>
        <w:pStyle w:val="BodyText"/>
        <w:numPr>
          <w:numId w:val="111"/>
        </w:numPr>
      </w:pPr>
      <w:r>
        <w:t xml:space="preserve">(Optional) </w:t>
      </w:r>
      <w:r>
        <w:t>(Optional) Enter a client URI.</w:t>
      </w:r>
    </w:p>
    <w:p>
      <w:pPr>
        <w:pStyle w:val="BodyText"/>
        <w:ind w:left="480"/>
      </w:pPr>
      <w:r>
        <w:t>The client Uniform Resource Identifier (URI) is a URL to the webpage of the vendor and provides information about the client.</w:t>
      </w:r>
    </w:p>
    <w:p>
      <w:pPr>
        <w:pStyle w:val="BodyText"/>
        <w:numPr>
          <w:numId w:val="111"/>
        </w:numPr>
      </w:pPr>
      <w:r>
        <w:t xml:space="preserve">Click </w:t>
      </w:r>
      <w:r>
        <w:rPr>
          <w:rStyle w:val="InlineUI"/>
        </w:rPr>
        <w:t>Next</w:t>
      </w:r>
      <w:r>
        <w:t>.</w:t>
      </w:r>
    </w:p>
    <w:p>
      <w:pPr>
        <w:pStyle w:val="BodyText"/>
        <w:numPr>
          <w:numId w:val="111"/>
        </w:numPr>
      </w:pPr>
      <w:r>
        <w:t xml:space="preserve">Review the service account information, and click </w:t>
      </w:r>
      <w:r>
        <w:rPr>
          <w:rStyle w:val="InlineUI"/>
        </w:rPr>
        <w:t>Finish</w:t>
      </w:r>
      <w:r>
        <w:t>.</w:t>
      </w:r>
    </w:p>
    <w:p>
      <w:pPr>
        <w:pStyle w:val="BodyText"/>
      </w:pPr>
      <w:r>
        <w:rPr>
          <w:rStyle w:val="Strong"/>
        </w:rPr>
        <w:t>Results</w:t>
      </w:r>
    </w:p>
    <w:p>
      <w:pPr>
        <w:pStyle w:val="BodyText"/>
      </w:pPr>
      <w:r>
        <w:t xml:space="preserve">The service account appears on the </w:t>
      </w:r>
      <w:r>
        <w:rPr>
          <w:rStyle w:val="InlineUI"/>
        </w:rPr>
        <w:t>Service Accounts</w:t>
      </w:r>
      <w:r>
        <w:t xml:space="preserve"> page with status </w:t>
      </w:r>
      <w:r>
        <w:rPr>
          <w:rStyle w:val="InlineCode"/>
        </w:rPr>
        <w:t>Created</w:t>
      </w:r>
      <w:r>
        <w:t>.</w:t>
      </w:r>
    </w:p>
    <w:p>
      <w:pPr>
        <w:pStyle w:val="BodyText"/>
      </w:pPr>
      <w:r>
        <w:t xml:space="preserve">You can create a service account also by using the </w:t>
      </w:r>
      <w:r>
        <w:t>VCF Automation</w:t>
      </w:r>
      <w:r>
        <w:t xml:space="preserve"> API. The API request uses the same API endpoint as creating a user API token, but the presence of the </w:t>
      </w:r>
      <w:r>
        <w:rPr>
          <w:rStyle w:val="InlineCode"/>
        </w:rPr>
        <w:t>software_id</w:t>
      </w:r>
      <w:r>
        <w:t xml:space="preserve"> field indicates the intent to create a service account.</w:t>
      </w:r>
    </w:p>
    <w:p>
      <w:pPr>
        <w:pStyle w:val="BodyText"/>
      </w:pPr>
      <w:r>
        <w:t>Sample request:</w:t>
      </w:r>
    </w:p>
    <w:p>
      <w:pPr>
        <w:pStyle w:val="CodeBlock"/>
      </w:pPr>
      <w:r>
        <w:t xml:space="preserve">POST /oauth/provider/register 
Accept:application/json
Content-Type:application/json
Authorization:Bearer eyJhbGciOiJSUzI...7g7rA 
Body: { 
    "client_name": "exampleServiceAccount", 
    "software_id": "bc2528fd-35c4-44e5-a55d-62e5c4bd9c99", 
    "scope": "urn:vcloud:role:System%20Administrator", 
    "client_uri": "https://www.companyname.com", 
    "software_version": "1.0" 
} </w:t>
      </w:r>
    </w:p>
    <w:p>
      <w:pPr>
        <w:pStyle w:val="BodyText"/>
      </w:pPr>
      <w:r>
        <w:t>Sample response:</w:t>
      </w:r>
    </w:p>
    <w:p>
      <w:pPr>
        <w:pStyle w:val="CodeBlock"/>
      </w:pPr>
      <w:r>
        <w:t>{ 
"client_name": "exampleServiceAccount", 
"client_id": "734e3845-1573-4f07-9b6c-b493c9042187", 
"grant_types": [ 
"urn:ietf:params:oauth:grant-type:device_code" 
], 
"token_endpoint_auth_method": "none", 
"client_uri": "https://www.</w:t>
      </w:r>
      <w:r>
        <w:rPr>
          <w:rStyle w:val="InlineVar"/>
        </w:rPr>
        <w:t>company_name</w:t>
      </w:r>
      <w:r>
        <w:t xml:space="preserve">.com", 
"software_id": "bc2528fd-35c4-44e5-a55d-62e5c4bd9c99", 
"software_version": "1.0", 
"scope": "urn:vcloud:role:System%20Administrator" 
} </w:t>
      </w:r>
    </w:p>
    <w:p>
      <w:pPr>
        <w:pStyle w:val="BodyText"/>
      </w:pPr>
      <w:r>
        <w:rPr>
          <w:rStyle w:val="Strong"/>
        </w:rPr>
        <w:t>What to do next</w:t>
      </w:r>
    </w:p>
    <w:p>
      <w:pPr>
        <w:pStyle w:val="BodyText"/>
      </w:pPr>
      <w:r>
        <w:t>Copy the client ID that appears in the service account details. To grant access to the service account, you must use the client ID.</w:t>
      </w:r>
    </w:p>
    <w:p>
      <w:pPr>
        <w:pStyle w:val="Heading4"/>
      </w:pPr>
      <w:bookmarkStart w:id="153" w:name="_Toc256000545"/>
      <w:r>
        <w:t>Grant Access to a Service Account Using Your VCF Automation Provider Management Portal</w:t>
      </w:r>
      <w:bookmarkEnd w:id="153"/>
    </w:p>
    <w:p>
      <w:pPr>
        <w:pStyle w:val="BodyText"/>
      </w:pPr>
      <w:r>
        <w:t xml:space="preserve">After you create a service account and the application requests authorization to receive an access token, you can grant the token by using the </w:t>
      </w:r>
      <w:r>
        <w:t>Provider Management Portal</w:t>
      </w:r>
      <w:r>
        <w:t>.</w:t>
      </w:r>
    </w:p>
    <w:p>
      <w:pPr>
        <w:pStyle w:val="BodyText"/>
        <w:pBdr>
          <w:top w:val="single" w:sz="8" w:space="2" w:color="D3D3D3"/>
          <w:bottom w:val="single" w:sz="8" w:space="2" w:color="D3D3D3"/>
        </w:pBdr>
      </w:pPr>
      <w:r>
        <w:rPr>
          <w:rStyle w:val="NoteLeadernote"/>
        </w:rPr>
        <w:t>Note</w:t>
        <w:tab/>
      </w:r>
      <w:r>
        <w:t xml:space="preserve">If the timeout period expires during this procedure, the service account status in the </w:t>
      </w:r>
      <w:r>
        <w:t>Provider Management Portal</w:t>
      </w:r>
      <w:r>
        <w:t xml:space="preserve"> changes back to </w:t>
      </w:r>
      <w:r>
        <w:rPr>
          <w:rStyle w:val="InlineCode"/>
        </w:rPr>
        <w:t>Created</w:t>
      </w:r>
      <w:r>
        <w:t>, and you must start the procedure again.</w:t>
      </w:r>
    </w:p>
    <w:p>
      <w:pPr>
        <w:pStyle w:val="BodyText"/>
      </w:pPr>
      <w:r>
        <w:rPr>
          <w:rStyle w:val="Strong"/>
        </w:rPr>
        <w:t>Prerequisites</w:t>
      </w:r>
    </w:p>
    <w:p>
      <w:pPr>
        <w:pStyle w:val="BodyText"/>
        <w:numPr>
          <w:numId w:val="112"/>
        </w:numPr>
      </w:pPr>
      <w:r>
        <w:t xml:space="preserve">Copy the client ID from the service account details in the </w:t>
      </w:r>
      <w:r>
        <w:t>Provider Management Portal</w:t>
      </w:r>
      <w:r>
        <w:t>..</w:t>
      </w:r>
    </w:p>
    <w:p>
      <w:pPr>
        <w:pStyle w:val="BodyText"/>
        <w:numPr>
          <w:numId w:val="112"/>
        </w:numPr>
      </w:pPr>
      <w:r>
        <w:t xml:space="preserve">Verify that the application requesting the account makes an OAuth 2.0 Device Authorization Grant RFC-compliant request to the </w:t>
      </w:r>
      <w:r>
        <w:rPr>
          <w:rStyle w:val="InlineCode"/>
        </w:rPr>
        <w:t>https://site.cloud.example.com/oauth/provider/device_authorization</w:t>
      </w:r>
      <w:r>
        <w:t xml:space="preserve"> API endpoint. For more information on device authorization requests, see </w:t>
      </w:r>
      <w:hyperlink r:id="rId14" w:tooltip="RFC 8628 section 3.1" w:history="1">
        <w:r>
          <w:rPr>
            <w:color w:val="0000FF"/>
            <w:u w:val="single"/>
          </w:rPr>
          <w:t>RFC 8628 section 3.1</w:t>
        </w:r>
      </w:hyperlink>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0"/>
        <w:gridCol w:w="219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Key</w:t>
            </w:r>
          </w:p>
        </w:tc>
        <w:tc>
          <w:tcPr>
            <w:tcBorders>
              <w:left w:val="nil"/>
              <w:right w:val="nil"/>
            </w:tcBorders>
            <w:shd w:val="clear" w:color="auto" w:fill="E1E1E1"/>
            <w:tcMar>
              <w:top w:w="60" w:type="dxa"/>
              <w:bottom w:w="60" w:type="dxa"/>
            </w:tcMar>
          </w:tcPr>
          <w:p>
            <w:pPr>
              <w:pStyle w:val="TableHeaderText"/>
            </w:pPr>
            <w:r>
              <w:t>Value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client_ID</w:t>
            </w:r>
          </w:p>
        </w:tc>
        <w:tc>
          <w:tcPr>
            <w:tcBorders>
              <w:left w:val="nil"/>
              <w:right w:val="nil"/>
            </w:tcBorders>
          </w:tcPr>
          <w:p>
            <w:pPr>
              <w:pStyle w:val="TableBodyText"/>
            </w:pPr>
            <w:r>
              <w:rPr>
                <w:rStyle w:val="InlineVar"/>
              </w:rPr>
              <w:t>Generated_Client_ID</w:t>
            </w:r>
          </w:p>
        </w:tc>
      </w:tr>
    </w:tbl>
    <w:p>
      <w:pPr>
        <w:pStyle w:val="BodyText"/>
        <w:spacing w:before="240"/>
      </w:pPr>
      <w:r>
        <w:t xml:space="preserve">Once the application requests access, the service account status in the </w:t>
      </w:r>
      <w:r>
        <w:t>Provider Management Portal</w:t>
      </w:r>
      <w:r>
        <w:t xml:space="preserve"> changes to </w:t>
      </w:r>
      <w:r>
        <w:rPr>
          <w:rStyle w:val="InlineCode"/>
        </w:rPr>
        <w:t>Requested</w:t>
      </w:r>
      <w:r>
        <w:t>. The application receives the device code, user code, and some additional information.</w:t>
      </w:r>
    </w:p>
    <w:p>
      <w:pPr>
        <w:pStyle w:val="BodyText"/>
        <w:ind w:left="0"/>
      </w:pPr>
      <w:r>
        <w:t>Sample request:</w:t>
      </w:r>
    </w:p>
    <w:p>
      <w:pPr>
        <w:pStyle w:val="CodeBlock"/>
        <w:ind w:left="0"/>
      </w:pPr>
      <w:r>
        <w:t>POST /oauth/provider/device_authorization
Accept:application/json
Content-Type: application/x-www-form-urlencoded
Body:
client_id=734e3845-1573-4f07-9b6c-b493c9042187</w:t>
      </w:r>
    </w:p>
    <w:p>
      <w:pPr>
        <w:pStyle w:val="BodyText"/>
        <w:ind w:left="0"/>
      </w:pPr>
      <w:r>
        <w:t>Sample response:</w:t>
      </w:r>
    </w:p>
    <w:p>
      <w:pPr>
        <w:pStyle w:val="CodeBlock"/>
        <w:ind w:left="0"/>
      </w:pPr>
      <w:r>
        <w:t>{
"device_code": "tkhZ0uoUMy5xgjJqRJblIq3-g44xy2Ms6TEpv3Z_fKw",
"user_code": "3VL8-SQVJ",
"verification_uri": "https://[VCD]/provider/administration/access-control/service-accounts",
"expires_in": 3600,
"interval": 60
}</w:t>
      </w:r>
    </w:p>
    <w:p>
      <w:pPr>
        <w:pStyle w:val="BodyText"/>
        <w:ind w:left="0"/>
      </w:pPr>
      <w:r>
        <w:t xml:space="preserve">The device must poll at the frequency that is specified in the above response (in seconds) </w:t>
      </w:r>
      <w:r>
        <w:rPr>
          <w:rStyle w:val="InlineCode"/>
        </w:rPr>
        <w:t>/oauth/provider/token</w:t>
      </w:r>
      <w:r>
        <w:t xml:space="preserve"> as per the RFC. The device must use the device code until it receives the tokens from </w:t>
      </w:r>
      <w:r>
        <w:t>VCF Automation</w:t>
      </w:r>
      <w:r>
        <w:t>, or the request times out.</w:t>
      </w:r>
    </w:p>
    <w:p>
      <w:pPr>
        <w:pStyle w:val="BodyText"/>
        <w:ind w:left="0"/>
      </w:pPr>
      <w:r>
        <w:t>Sample request:</w:t>
      </w:r>
    </w:p>
    <w:p>
      <w:pPr>
        <w:pStyle w:val="CodeBlock"/>
        <w:ind w:left="0"/>
      </w:pPr>
      <w:r>
        <w:t>POST: /oauth/provider/token
Accept:application/json
Content-Type: application/x-www-form-urlencoded
Body:
client_id= 734e3845-1573-4f07-9b6c-b493c9042187&amp;grant_type=urn%3Aietf%3Aparams%3Aoauth%3Agrant-type%3Adevice_code&amp;device_code=tkhZ0uoUMy5xgjJqRJblIq3-g44xy2Ms6TEpv3Z_fKw</w:t>
      </w:r>
    </w:p>
    <w:p>
      <w:pPr>
        <w:pStyle w:val="BodyText"/>
        <w:ind w:left="0"/>
      </w:pPr>
      <w:r>
        <w:t>Sample response before granting:</w:t>
      </w:r>
    </w:p>
    <w:p>
      <w:pPr>
        <w:pStyle w:val="CodeBlock"/>
        <w:ind w:left="0"/>
      </w:pPr>
      <w:r>
        <w:t>{
   "error": "authorization_pending",
   "error_description": "Device authorization request pending",
   "error_uri": null,
   "minorErrorCode": "authorization_pending",
   "message": "Device authorization request pending",
   "stackTrace": null
}</w:t>
      </w:r>
    </w:p>
    <w:p>
      <w:pPr>
        <w:pStyle w:val="BodyText"/>
        <w:ind w:left="0"/>
      </w:pPr>
      <w:r>
        <w:t>Sample response after granting:</w:t>
      </w:r>
    </w:p>
    <w:p>
      <w:pPr>
        <w:pStyle w:val="CodeBlock"/>
        <w:ind w:left="0"/>
      </w:pPr>
      <w:r>
        <w:t>{
   "access_token": "eyJhbGciOiJSU…HqJaDud1sVA",
   "token_type": "Bearer",
   "expires_in": 2592000,
   "refresh_token": "SsybukUed8SBP2p1AaFiGJhrntQNWZVX"
}</w:t>
      </w:r>
    </w:p>
    <w:p>
      <w:pPr>
        <w:pStyle w:val="BodyText"/>
        <w:ind w:left="0"/>
      </w:pPr>
      <w:r>
        <w:t>If you do not confirm or deny an access request, the user code times out. The timeout period appears in the response of the device authorization request.</w:t>
      </w:r>
    </w:p>
    <w:p>
      <w:pPr>
        <w:pStyle w:val="BodyText"/>
        <w:ind w:left="0"/>
      </w:pPr>
      <w:r>
        <w:t>VCF Automation</w:t>
      </w:r>
      <w:r>
        <w:t xml:space="preserve"> grants a primary API token to the application only if the application and the administrator use the device code and user code corresponding to each other.</w:t>
      </w:r>
    </w:p>
    <w:p>
      <w:pPr>
        <w:pStyle w:val="BodyText"/>
        <w:numPr>
          <w:numId w:val="112"/>
        </w:numPr>
      </w:pPr>
      <w:r>
        <w:t>Get the user code from the application. You must enter the code in step 4.</w:t>
      </w:r>
    </w:p>
    <w:p>
      <w:pPr>
        <w:pStyle w:val="BodyText"/>
      </w:pPr>
      <w:r>
        <w:rPr>
          <w:rStyle w:val="Strong"/>
        </w:rPr>
        <w:t>Procedure</w:t>
      </w:r>
    </w:p>
    <w:p>
      <w:pPr>
        <w:pStyle w:val="BodyText"/>
        <w:numPr>
          <w:numId w:val="113"/>
        </w:numPr>
      </w:pPr>
      <w:r>
        <w:t xml:space="preserve">Log in to the </w:t>
      </w:r>
      <w:r>
        <w:t>.</w:t>
      </w:r>
    </w:p>
    <w:p>
      <w:pPr>
        <w:pStyle w:val="BodyText"/>
        <w:numPr>
          <w:numId w:val="113"/>
        </w:numPr>
      </w:pPr>
      <w:r>
        <w:t xml:space="preserve">From the left navigation panel, select </w:t>
      </w:r>
      <w:r>
        <w:rPr>
          <w:rStyle w:val="InlineUI"/>
        </w:rPr>
        <w:t>Access Control</w:t>
      </w:r>
      <w:r>
        <w:t>.</w:t>
      </w:r>
    </w:p>
    <w:p>
      <w:pPr>
        <w:pStyle w:val="BodyText"/>
        <w:numPr>
          <w:numId w:val="113"/>
        </w:numPr>
      </w:pPr>
      <w:r>
        <w:t xml:space="preserve">Select the </w:t>
      </w:r>
      <w:r>
        <w:rPr>
          <w:rStyle w:val="InlineUI"/>
        </w:rPr>
        <w:t>Service Accounts</w:t>
      </w:r>
      <w:r>
        <w:t xml:space="preserve"> tab.</w:t>
      </w:r>
    </w:p>
    <w:p>
      <w:pPr>
        <w:pStyle w:val="BodyText"/>
        <w:numPr>
          <w:numId w:val="113"/>
        </w:numPr>
      </w:pPr>
      <w:r>
        <w:t xml:space="preserve">Click </w:t>
      </w:r>
      <w:r>
        <w:rPr>
          <w:rStyle w:val="InlineUI"/>
        </w:rPr>
        <w:t>Review Access Requests</w:t>
      </w:r>
      <w:r>
        <w:t>.</w:t>
      </w:r>
    </w:p>
    <w:p>
      <w:pPr>
        <w:pStyle w:val="BodyText"/>
        <w:numPr>
          <w:numId w:val="113"/>
        </w:numPr>
      </w:pPr>
      <w:r>
        <w:t xml:space="preserve">Enter the user code for the application that you obtained in prerequisite 3, click </w:t>
      </w:r>
      <w:r>
        <w:rPr>
          <w:rStyle w:val="InlineUI"/>
        </w:rPr>
        <w:t>Lookup</w:t>
      </w:r>
      <w:r>
        <w:t>, and verify the requested access details.</w:t>
      </w:r>
    </w:p>
    <w:p>
      <w:pPr>
        <w:pStyle w:val="BodyText"/>
        <w:numPr>
          <w:numId w:val="113"/>
        </w:numPr>
      </w:pPr>
      <w:r>
        <w:t>Grant access to the application.</w:t>
      </w:r>
    </w:p>
    <w:p>
      <w:pPr>
        <w:pStyle w:val="BodyText"/>
        <w:ind w:left="480"/>
      </w:pPr>
      <w:r>
        <w:t xml:space="preserve">If you deny access to the application, the service account status in the </w:t>
      </w:r>
      <w:r>
        <w:t>Provider Management Portal</w:t>
      </w:r>
      <w:r>
        <w:t xml:space="preserve"> changes back to </w:t>
      </w:r>
      <w:r>
        <w:rPr>
          <w:rStyle w:val="InlineCode"/>
        </w:rPr>
        <w:t>Created</w:t>
      </w:r>
      <w:r>
        <w:t>.</w:t>
      </w:r>
    </w:p>
    <w:p>
      <w:pPr>
        <w:pStyle w:val="BodyText"/>
      </w:pPr>
      <w:r>
        <w:rPr>
          <w:rStyle w:val="Strong"/>
        </w:rPr>
        <w:t>Results</w:t>
      </w:r>
    </w:p>
    <w:p>
      <w:pPr>
        <w:pStyle w:val="BodyText"/>
      </w:pPr>
      <w:r>
        <w:t xml:space="preserve">The service request status changes to </w:t>
      </w:r>
      <w:r>
        <w:rPr>
          <w:rStyle w:val="InlineCode"/>
        </w:rPr>
        <w:t>Granted</w:t>
      </w:r>
      <w:r>
        <w:t xml:space="preserve">. </w:t>
      </w:r>
      <w:r>
        <w:t>VCF Automation</w:t>
      </w:r>
      <w:r>
        <w:t xml:space="preserve"> grants the application linked to the service account its primary API token in the form of an API token. Included in the response, as required by the RFC, is an OAuth access token representing a user session for immediate use by the service account. If the application does not use the OAuth access token immediately, the session times out as per the configured idle session timeout. The service account might also explicitly log out, which is recommended not only for security reasons, but also provides a good test run for the service account to make an API call to </w:t>
      </w:r>
      <w:r>
        <w:t>VCF Automation</w:t>
      </w:r>
      <w:r>
        <w:t xml:space="preserve">. Once the application fetches the API token, the status changes to </w:t>
      </w:r>
      <w:r>
        <w:rPr>
          <w:rStyle w:val="InlineCode"/>
        </w:rPr>
        <w:t>Active</w:t>
      </w:r>
      <w:r>
        <w:t>.</w:t>
      </w:r>
    </w:p>
    <w:p>
      <w:pPr>
        <w:pStyle w:val="BodyText"/>
      </w:pPr>
      <w:r>
        <w:rPr>
          <w:rStyle w:val="Strong"/>
        </w:rPr>
        <w:t>What to do next</w:t>
      </w:r>
    </w:p>
    <w:p>
      <w:pPr>
        <w:pStyle w:val="BodyText"/>
        <w:numPr>
          <w:numId w:val="114"/>
        </w:numPr>
      </w:pPr>
      <w:r>
        <w:t xml:space="preserve">To change the assigned service account role, software ID, software version, client URI, or quota restrictions, select a service account and click </w:t>
      </w:r>
      <w:r>
        <w:rPr>
          <w:rStyle w:val="InlineUI"/>
        </w:rPr>
        <w:t>Edit a Service Account</w:t>
      </w:r>
      <w:r>
        <w:t>. The changes take effect at the next token refresh.</w:t>
      </w:r>
    </w:p>
    <w:p>
      <w:pPr>
        <w:pStyle w:val="BodyText"/>
        <w:numPr>
          <w:numId w:val="114"/>
        </w:numPr>
      </w:pPr>
      <w:r>
        <w:t xml:space="preserve">To revoke service account access so that the granted API token granted becomes invalid, click </w:t>
      </w:r>
      <w:r>
        <w:rPr>
          <w:rStyle w:val="InlineUI"/>
        </w:rPr>
        <w:t>Revoke</w:t>
      </w:r>
      <w:r>
        <w:t xml:space="preserve">. </w:t>
      </w:r>
      <w:r>
        <w:t>VCF Automation</w:t>
      </w:r>
      <w:r>
        <w:t xml:space="preserve"> terminates all active sessions. Revoking an API token does not delete the service account, however, the status of the account changes to </w:t>
      </w:r>
      <w:r>
        <w:rPr>
          <w:rStyle w:val="InlineCode"/>
        </w:rPr>
        <w:t>Created</w:t>
      </w:r>
      <w:r>
        <w:t xml:space="preserve">. If the application has already requested access again, the status of the service account changes to </w:t>
      </w:r>
      <w:r>
        <w:rPr>
          <w:rStyle w:val="InlineCode"/>
        </w:rPr>
        <w:t>Requested</w:t>
      </w:r>
      <w:r>
        <w:t xml:space="preserve">. You must once again follow the procedure to grant access to the service account for the account to become </w:t>
      </w:r>
      <w:r>
        <w:rPr>
          <w:rStyle w:val="InlineCode"/>
        </w:rPr>
        <w:t>Active</w:t>
      </w:r>
      <w:r>
        <w:t>.</w:t>
      </w:r>
    </w:p>
    <w:p>
      <w:pPr>
        <w:pStyle w:val="Heading1"/>
      </w:pPr>
      <w:bookmarkStart w:id="154" w:name="_Toc256000546"/>
      <w:r>
        <w:t>Managing VCF Automation System Settings</w:t>
      </w:r>
      <w:bookmarkEnd w:id="154"/>
    </w:p>
    <w:p>
      <w:pPr>
        <w:pStyle w:val="BodyText"/>
      </w:pPr>
      <w:r>
        <w:t xml:space="preserve">A </w:t>
      </w:r>
      <w:r>
        <w:t>VCF Automation</w:t>
      </w:r>
      <w:r>
        <w:t xml:space="preserve"> system administrator can control system-wide settings that are related to LDAP, email notification, licensing, and general system preferences.</w:t>
      </w:r>
    </w:p>
    <w:p>
      <w:pPr>
        <w:pStyle w:val="BodyText"/>
      </w:pPr>
      <w:r>
        <w:t xml:space="preserve">By default, </w:t>
      </w:r>
      <w:r>
        <w:t>VCF Automation</w:t>
      </w:r>
      <w:r>
        <w:t xml:space="preserve"> uses FIPS 140-3 validated cryptographic modules and runs in FIPS-compliant mode. In </w:t>
      </w:r>
      <w:r>
        <w:t>VCF Automation</w:t>
      </w:r>
      <w:r>
        <w:t xml:space="preserve"> 9.0, FIPS is deactivated only if you upgrade from a VMware Aria Automation installation with deactivated FIPS mode. After installing or upgrading to </w:t>
      </w:r>
      <w:r>
        <w:t>VCF Automation</w:t>
      </w:r>
      <w:r>
        <w:t xml:space="preserve"> 9.0, you cannot activate or deactivate FIPS mode.</w:t>
      </w:r>
    </w:p>
    <w:p>
      <w:pPr>
        <w:pStyle w:val="BodyText"/>
      </w:pPr>
      <w:r>
        <w:t>The Federal Information Processing Standard (FIPS) 140-3 is a U.S. and Canadian government standard that specifies security requirements for cryptographic modules. The NIST Cryptographic Module Validation Program (CMVP) validates the cryptographic modules compliant with the FIPS 140-3 standards.</w:t>
      </w:r>
    </w:p>
    <w:p>
      <w:pPr>
        <w:pStyle w:val="BodyText"/>
      </w:pPr>
      <w:r>
        <w:t>VCF Automation</w:t>
      </w:r>
      <w:r>
        <w:t xml:space="preserve"> uses the BouncyCastle FIPS 2.0.0 cryptographic module compliant with FIPS 140-3 (</w:t>
      </w:r>
      <w:hyperlink r:id="rId15" w:tooltip="Certificate #4743" w:history="1">
        <w:r>
          <w:rPr>
            <w:color w:val="0000FF"/>
            <w:u w:val="single"/>
          </w:rPr>
          <w:t>Certificate #4743</w:t>
        </w:r>
      </w:hyperlink>
      <w:r>
        <w:t>).</w:t>
      </w:r>
    </w:p>
    <w:p>
      <w:pPr>
        <w:pStyle w:val="Heading2"/>
      </w:pPr>
      <w:bookmarkStart w:id="155" w:name="_Toc256000547"/>
      <w:r>
        <w:t>Modify VCF Automation General System Settings</w:t>
      </w:r>
      <w:bookmarkEnd w:id="155"/>
    </w:p>
    <w:p>
      <w:pPr>
        <w:pStyle w:val="BodyText"/>
      </w:pPr>
      <w:r>
        <w:t>VCF Automation</w:t>
      </w:r>
      <w:r>
        <w:t xml:space="preserve"> includes general system settings that are related to activity logs, localization, timeouts, organization limits, and operation limits. The default settings are appropriate for many environments, but you can modify the settings to meet your needs.</w:t>
      </w:r>
    </w:p>
    <w:p>
      <w:pPr>
        <w:pStyle w:val="BodyText"/>
        <w:pBdr>
          <w:top w:val="single" w:sz="8" w:space="2" w:color="D3D3D3"/>
          <w:bottom w:val="single" w:sz="8" w:space="2" w:color="D3D3D3"/>
        </w:pBdr>
      </w:pPr>
      <w:r>
        <w:rPr>
          <w:rStyle w:val="NoteLeadernote"/>
        </w:rPr>
        <w:t>Note</w:t>
        <w:tab/>
      </w:r>
      <w:r>
        <w:t xml:space="preserve">For information about changing the date, time, or time zone of the </w:t>
      </w:r>
      <w:r>
        <w:t>VCF Automation</w:t>
      </w:r>
      <w:r>
        <w:t xml:space="preserve"> appliance, see </w:t>
      </w:r>
      <w:hyperlink r:id="rId16" w:tooltip="KB article 59674" w:history="1">
        <w:r>
          <w:rPr>
            <w:color w:val="0000FF"/>
            <w:u w:val="single"/>
          </w:rPr>
          <w:t>KB article 59674</w:t>
        </w:r>
      </w:hyperlink>
      <w:r>
        <w:t>.</w:t>
      </w:r>
    </w:p>
    <w:p>
      <w:pPr>
        <w:pStyle w:val="BodyText"/>
      </w:pPr>
      <w:r>
        <w:rPr>
          <w:rStyle w:val="Strong"/>
        </w:rPr>
        <w:t>Procedure</w:t>
      </w:r>
    </w:p>
    <w:p>
      <w:pPr>
        <w:pStyle w:val="BodyText"/>
        <w:numPr>
          <w:numId w:val="115"/>
        </w:numPr>
      </w:pPr>
      <w:r>
        <w:t xml:space="preserve">Log in to the </w:t>
      </w:r>
      <w:r>
        <w:t>.</w:t>
      </w:r>
    </w:p>
    <w:p>
      <w:pPr>
        <w:pStyle w:val="BodyText"/>
        <w:numPr>
          <w:numId w:val="115"/>
        </w:numPr>
      </w:pPr>
      <w:r>
        <w:t xml:space="preserve">From the left navigation panel, under </w:t>
      </w:r>
      <w:r>
        <w:rPr>
          <w:rStyle w:val="InlineUI"/>
        </w:rPr>
        <w:t>Administration</w:t>
      </w:r>
      <w:r>
        <w:t xml:space="preserve">, select </w:t>
      </w:r>
      <w:r>
        <w:rPr>
          <w:rStyle w:val="InlineUI"/>
        </w:rPr>
        <w:t>General Settings</w:t>
      </w:r>
      <w:r>
        <w:t>.</w:t>
      </w:r>
    </w:p>
    <w:p>
      <w:pPr>
        <w:pStyle w:val="BodyText"/>
        <w:numPr>
          <w:numId w:val="115"/>
        </w:numPr>
      </w:pPr>
      <w:r>
        <w:t xml:space="preserve">Click </w:t>
      </w:r>
      <w:r>
        <w:rPr>
          <w:rStyle w:val="InlineUI"/>
        </w:rPr>
        <w:t>Edit</w:t>
      </w:r>
      <w:r>
        <w:t xml:space="preserve"> for the section you want to modify, edit the properties, and click </w:t>
      </w:r>
      <w:r>
        <w:rPr>
          <w:rStyle w:val="InlineUI"/>
        </w:rPr>
        <w:t>Save</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85"/>
        <w:gridCol w:w="1580"/>
        <w:gridCol w:w="491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Name</w:t>
            </w:r>
          </w:p>
        </w:tc>
        <w:tc>
          <w:tcPr>
            <w:tcBorders>
              <w:left w:val="nil"/>
              <w:right w:val="nil"/>
            </w:tcBorders>
            <w:shd w:val="clear" w:color="auto" w:fill="E1E1E1"/>
            <w:tcMar>
              <w:top w:w="60" w:type="dxa"/>
              <w:bottom w:w="60" w:type="dxa"/>
            </w:tcMar>
          </w:tcPr>
          <w:p>
            <w:pPr>
              <w:pStyle w:val="TableHeaderText"/>
            </w:pPr>
            <w:r>
              <w:t>Category</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Log history to keep</w:t>
            </w:r>
          </w:p>
        </w:tc>
        <w:tc>
          <w:tcPr>
            <w:tcBorders>
              <w:left w:val="nil"/>
              <w:right w:val="nil"/>
            </w:tcBorders>
          </w:tcPr>
          <w:p>
            <w:pPr>
              <w:pStyle w:val="TableBodyText"/>
            </w:pPr>
            <w:r>
              <w:t>Activity Log</w:t>
            </w:r>
          </w:p>
        </w:tc>
        <w:tc>
          <w:tcPr>
            <w:tcBorders>
              <w:left w:val="nil"/>
              <w:right w:val="nil"/>
            </w:tcBorders>
          </w:tcPr>
          <w:p>
            <w:pPr>
              <w:pStyle w:val="TableBodyText"/>
            </w:pPr>
            <w:r>
              <w:t>Number of days of the log history to keep before deleting it.</w:t>
            </w:r>
          </w:p>
          <w:p>
            <w:pPr>
              <w:pStyle w:val="TableBodyText"/>
            </w:pPr>
            <w:r>
              <w:t xml:space="preserve">Enter </w:t>
            </w:r>
            <w:r>
              <w:t>0</w:t>
            </w:r>
            <w:r>
              <w:t xml:space="preserve"> never to delete logs.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Log history shown</w:t>
            </w:r>
          </w:p>
        </w:tc>
        <w:tc>
          <w:tcPr>
            <w:tcBorders>
              <w:left w:val="nil"/>
              <w:right w:val="nil"/>
            </w:tcBorders>
          </w:tcPr>
          <w:p>
            <w:pPr>
              <w:pStyle w:val="TableBodyText"/>
            </w:pPr>
            <w:r>
              <w:t>Activity Log</w:t>
            </w:r>
          </w:p>
        </w:tc>
        <w:tc>
          <w:tcPr>
            <w:tcBorders>
              <w:left w:val="nil"/>
              <w:right w:val="nil"/>
            </w:tcBorders>
          </w:tcPr>
          <w:p>
            <w:pPr>
              <w:pStyle w:val="TableBodyText"/>
            </w:pPr>
            <w:r>
              <w:t>Number of days of the log history to display.</w:t>
            </w:r>
          </w:p>
          <w:p>
            <w:pPr>
              <w:pStyle w:val="TableBodyText"/>
            </w:pPr>
            <w:r>
              <w:t xml:space="preserve">To show all activity, enter </w:t>
            </w:r>
            <w:r>
              <w:t>0</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Display debug information</w:t>
            </w:r>
          </w:p>
        </w:tc>
        <w:tc>
          <w:tcPr>
            <w:tcBorders>
              <w:left w:val="nil"/>
              <w:right w:val="nil"/>
            </w:tcBorders>
          </w:tcPr>
          <w:p>
            <w:pPr>
              <w:pStyle w:val="TableBodyText"/>
            </w:pPr>
            <w:r>
              <w:t>Activity Log</w:t>
            </w:r>
          </w:p>
        </w:tc>
        <w:tc>
          <w:tcPr>
            <w:tcBorders>
              <w:left w:val="nil"/>
              <w:right w:val="nil"/>
            </w:tcBorders>
          </w:tcPr>
          <w:p>
            <w:pPr>
              <w:pStyle w:val="TableBodyText"/>
            </w:pPr>
            <w:r>
              <w:t xml:space="preserve">Enable this setting to display the debug information in the </w:t>
            </w:r>
            <w:r>
              <w:t>VCF Automation</w:t>
            </w:r>
            <w:r>
              <w:t xml:space="preserve"> task log.</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API token lifetime</w:t>
            </w:r>
          </w:p>
        </w:tc>
        <w:tc>
          <w:tcPr>
            <w:tcBorders>
              <w:left w:val="nil"/>
              <w:right w:val="nil"/>
            </w:tcBorders>
          </w:tcPr>
          <w:p>
            <w:pPr>
              <w:pStyle w:val="TableBodyText"/>
            </w:pPr>
            <w:r>
              <w:t>Timeouts</w:t>
            </w:r>
          </w:p>
        </w:tc>
        <w:tc>
          <w:tcPr>
            <w:tcBorders>
              <w:left w:val="nil"/>
              <w:right w:val="nil"/>
            </w:tcBorders>
          </w:tcPr>
          <w:p>
            <w:pPr>
              <w:pStyle w:val="TableBodyText"/>
            </w:pPr>
            <w:r>
              <w:t xml:space="preserve">The maximum amount of time, in minutes, a </w:t>
            </w:r>
            <w:r>
              <w:t>VCF Automation</w:t>
            </w:r>
            <w:r>
              <w:t xml:space="preserve"> API token remains active. The value must be a whole number from 0 through 3600, where 0 represents an unlimited lifespan.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Host refresh frequency</w:t>
            </w:r>
          </w:p>
        </w:tc>
        <w:tc>
          <w:tcPr>
            <w:tcBorders>
              <w:left w:val="nil"/>
              <w:right w:val="nil"/>
            </w:tcBorders>
          </w:tcPr>
          <w:p>
            <w:pPr>
              <w:pStyle w:val="TableBodyText"/>
            </w:pPr>
            <w:r>
              <w:t>Timeouts</w:t>
            </w:r>
          </w:p>
        </w:tc>
        <w:tc>
          <w:tcPr>
            <w:tcBorders>
              <w:left w:val="nil"/>
              <w:right w:val="nil"/>
            </w:tcBorders>
          </w:tcPr>
          <w:p>
            <w:pPr>
              <w:pStyle w:val="TableBodyText"/>
            </w:pPr>
            <w:r>
              <w:t xml:space="preserve">How often </w:t>
            </w:r>
            <w:r>
              <w:t>VCF Automation</w:t>
            </w:r>
            <w:r>
              <w:t xml:space="preserve"> checks whether its </w:t>
            </w:r>
            <w:r>
              <w:t xml:space="preserve"> hosts are accessible or inaccessible.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Host hung timeout</w:t>
            </w:r>
          </w:p>
        </w:tc>
        <w:tc>
          <w:tcPr>
            <w:tcBorders>
              <w:left w:val="nil"/>
              <w:right w:val="nil"/>
            </w:tcBorders>
          </w:tcPr>
          <w:p>
            <w:pPr>
              <w:pStyle w:val="TableBodyText"/>
            </w:pPr>
            <w:r>
              <w:t>Timeouts</w:t>
            </w:r>
          </w:p>
        </w:tc>
        <w:tc>
          <w:tcPr>
            <w:tcBorders>
              <w:left w:val="nil"/>
              <w:right w:val="nil"/>
            </w:tcBorders>
          </w:tcPr>
          <w:p>
            <w:pPr>
              <w:pStyle w:val="TableBodyText"/>
            </w:pPr>
            <w:r>
              <w:t>Select the amount of time to wait before marking a host as hung.</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Transfer session timeout</w:t>
            </w:r>
          </w:p>
        </w:tc>
        <w:tc>
          <w:tcPr>
            <w:tcBorders>
              <w:left w:val="nil"/>
              <w:right w:val="nil"/>
            </w:tcBorders>
          </w:tcPr>
          <w:p>
            <w:pPr>
              <w:pStyle w:val="TableBodyText"/>
            </w:pPr>
            <w:r>
              <w:t>Timeouts</w:t>
            </w:r>
          </w:p>
        </w:tc>
        <w:tc>
          <w:tcPr>
            <w:tcBorders>
              <w:left w:val="nil"/>
              <w:right w:val="nil"/>
            </w:tcBorders>
          </w:tcPr>
          <w:p>
            <w:pPr>
              <w:pStyle w:val="TableBodyText"/>
            </w:pPr>
            <w:r>
              <w:t>Amount of time to wait before failing a paused or canceled upload task, for example, the upload of media. This timeout does not affect upload tasks that are in progress.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Maximum number of Region Quotas</w:t>
            </w:r>
          </w:p>
        </w:tc>
        <w:tc>
          <w:tcPr>
            <w:tcBorders>
              <w:left w:val="nil"/>
              <w:right w:val="nil"/>
            </w:tcBorders>
          </w:tcPr>
          <w:p>
            <w:pPr>
              <w:pStyle w:val="TableBodyText"/>
            </w:pPr>
            <w:r>
              <w:t>Organization Limits</w:t>
            </w:r>
          </w:p>
        </w:tc>
        <w:tc>
          <w:tcPr>
            <w:tcBorders>
              <w:left w:val="nil"/>
              <w:right w:val="nil"/>
            </w:tcBorders>
          </w:tcPr>
          <w:p>
            <w:pPr>
              <w:pStyle w:val="TableBodyText"/>
            </w:pPr>
            <w:r>
              <w:t xml:space="preserve">Enter the maximum number of region quotas per organization, or select </w:t>
            </w:r>
            <w:r>
              <w:rPr>
                <w:rStyle w:val="InlineUI"/>
              </w:rPr>
              <w:t>Unlimited</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Number of resource-intensive operations per user</w:t>
            </w:r>
          </w:p>
        </w:tc>
        <w:tc>
          <w:tcPr>
            <w:tcBorders>
              <w:left w:val="nil"/>
              <w:right w:val="nil"/>
            </w:tcBorders>
          </w:tcPr>
          <w:p>
            <w:pPr>
              <w:pStyle w:val="TableBodyText"/>
            </w:pPr>
            <w:r>
              <w:t>Operation Limits</w:t>
            </w:r>
          </w:p>
        </w:tc>
        <w:tc>
          <w:tcPr>
            <w:tcBorders>
              <w:left w:val="nil"/>
              <w:right w:val="nil"/>
            </w:tcBorders>
          </w:tcPr>
          <w:p>
            <w:pPr>
              <w:pStyle w:val="TableBodyText"/>
            </w:pPr>
            <w:r>
              <w:t xml:space="preserve">Enter the maximum number of simultaneous resource-intensive operations per user, or select </w:t>
            </w:r>
            <w:r>
              <w:rPr>
                <w:rStyle w:val="InlineUI"/>
              </w:rPr>
              <w:t>Unlimited</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Number of resource-intensive operations to be queued per user</w:t>
            </w:r>
          </w:p>
        </w:tc>
        <w:tc>
          <w:tcPr>
            <w:tcBorders>
              <w:left w:val="nil"/>
              <w:right w:val="nil"/>
            </w:tcBorders>
          </w:tcPr>
          <w:p>
            <w:pPr>
              <w:pStyle w:val="TableBodyText"/>
            </w:pPr>
            <w:r>
              <w:t>Operation Limits</w:t>
            </w:r>
          </w:p>
        </w:tc>
        <w:tc>
          <w:tcPr>
            <w:tcBorders>
              <w:left w:val="nil"/>
              <w:right w:val="nil"/>
            </w:tcBorders>
          </w:tcPr>
          <w:p>
            <w:pPr>
              <w:pStyle w:val="TableBodyText"/>
            </w:pPr>
            <w:r>
              <w:t xml:space="preserve">Enter the maximum number of queued resource-intensive operations per user, or select </w:t>
            </w:r>
            <w:r>
              <w:rPr>
                <w:rStyle w:val="InlineUI"/>
              </w:rPr>
              <w:t>Unlimited</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Number of resource-intensive operations per organization</w:t>
            </w:r>
          </w:p>
        </w:tc>
        <w:tc>
          <w:tcPr>
            <w:tcBorders>
              <w:left w:val="nil"/>
              <w:right w:val="nil"/>
            </w:tcBorders>
          </w:tcPr>
          <w:p>
            <w:pPr>
              <w:pStyle w:val="TableBodyText"/>
            </w:pPr>
            <w:r>
              <w:t>Operation Limits</w:t>
            </w:r>
          </w:p>
        </w:tc>
        <w:tc>
          <w:tcPr>
            <w:tcBorders>
              <w:left w:val="nil"/>
              <w:right w:val="nil"/>
            </w:tcBorders>
          </w:tcPr>
          <w:p>
            <w:pPr>
              <w:pStyle w:val="TableBodyText"/>
            </w:pPr>
            <w:r>
              <w:t xml:space="preserve">Enter the maximum number of simultaneous resource-intensive operations per organization, or select </w:t>
            </w:r>
            <w:r>
              <w:rPr>
                <w:rStyle w:val="InlineUI"/>
              </w:rPr>
              <w:t>Unlimited</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Number of resource-intensive operations to be queued per organization</w:t>
            </w:r>
          </w:p>
        </w:tc>
        <w:tc>
          <w:tcPr>
            <w:tcBorders>
              <w:left w:val="nil"/>
              <w:right w:val="nil"/>
            </w:tcBorders>
          </w:tcPr>
          <w:p>
            <w:pPr>
              <w:pStyle w:val="TableBodyText"/>
            </w:pPr>
            <w:r>
              <w:t>Operation Limits</w:t>
            </w:r>
          </w:p>
        </w:tc>
        <w:tc>
          <w:tcPr>
            <w:tcBorders>
              <w:left w:val="nil"/>
              <w:right w:val="nil"/>
            </w:tcBorders>
          </w:tcPr>
          <w:p>
            <w:pPr>
              <w:pStyle w:val="TableBodyText"/>
            </w:pPr>
            <w:r>
              <w:t xml:space="preserve">Enter the maximum number of queued resource-intensive operations per organization, or select </w:t>
            </w:r>
            <w:r>
              <w:rPr>
                <w:rStyle w:val="InlineUI"/>
              </w:rPr>
              <w:t>Unlimited</w:t>
            </w:r>
            <w:r>
              <w:t>.</w:t>
            </w:r>
          </w:p>
        </w:tc>
      </w:tr>
    </w:tbl>
    <w:p>
      <w:pPr>
        <w:pStyle w:val="Heading2"/>
        <w:spacing w:before="320"/>
      </w:pPr>
      <w:bookmarkStart w:id="156" w:name="B51f6a616698f463e8052ce3ab8415a1a"/>
      <w:bookmarkStart w:id="157" w:name="_Toc256000548"/>
      <w:r>
        <w:t>Configure Blocking Task Settings On Your VCF Automation</w:t>
      </w:r>
      <w:bookmarkEnd w:id="157"/>
      <w:bookmarkEnd w:id="156"/>
    </w:p>
    <w:p>
      <w:pPr>
        <w:pStyle w:val="BodyText"/>
      </w:pPr>
      <w:r>
        <w:t xml:space="preserve">You can configure certain operations as blocking tasks. These operations are suspended until a </w:t>
      </w:r>
      <w:r>
        <w:rPr>
          <w:rStyle w:val="InlineUI"/>
        </w:rPr>
        <w:t>system administrator</w:t>
      </w:r>
      <w:r>
        <w:t xml:space="preserve"> acts on them or a preconfigured timer expires. You can specify the timeout settings and default actions for blocking tasks. The settings apply to all organizations in the installation.</w:t>
      </w:r>
    </w:p>
    <w:p>
      <w:pPr>
        <w:pStyle w:val="BodyText"/>
      </w:pPr>
      <w:r>
        <w:rPr>
          <w:rStyle w:val="Strong"/>
        </w:rPr>
        <w:t>Procedure</w:t>
      </w:r>
    </w:p>
    <w:p>
      <w:pPr>
        <w:pStyle w:val="BodyText"/>
        <w:numPr>
          <w:numId w:val="116"/>
        </w:numPr>
      </w:pPr>
      <w:r>
        <w:t xml:space="preserve">Log in to the </w:t>
      </w:r>
      <w:r>
        <w:t>.</w:t>
      </w:r>
    </w:p>
    <w:p>
      <w:pPr>
        <w:pStyle w:val="BodyText"/>
        <w:numPr>
          <w:numId w:val="116"/>
        </w:numPr>
      </w:pPr>
      <w:r>
        <w:t xml:space="preserve">From the left navigation bar, select </w:t>
      </w:r>
      <w:r>
        <w:rPr>
          <w:rStyle w:val="InlineUI"/>
        </w:rPr>
        <w:t>Events and Tasks</w:t>
      </w:r>
      <w:r>
        <w:t xml:space="preserve">, and click the </w:t>
      </w:r>
      <w:r>
        <w:rPr>
          <w:rStyle w:val="InlineUI"/>
        </w:rPr>
        <w:t>Blocking tasks</w:t>
      </w:r>
      <w:r>
        <w:t xml:space="preserve"> tab.</w:t>
      </w:r>
    </w:p>
    <w:p>
      <w:pPr>
        <w:pStyle w:val="BodyText"/>
        <w:numPr>
          <w:numId w:val="116"/>
        </w:numPr>
      </w:pPr>
      <w:r>
        <w:t xml:space="preserve">To edit the default extension timeout and default timeout action, click </w:t>
      </w:r>
      <w:r>
        <w:rPr>
          <w:rStyle w:val="InlineUI"/>
        </w:rPr>
        <w:t>Configure</w:t>
      </w:r>
      <w:r>
        <w:t>.</w:t>
      </w:r>
    </w:p>
    <w:p>
      <w:pPr>
        <w:pStyle w:val="BodyText"/>
        <w:numPr>
          <w:ilvl w:val="1"/>
          <w:numId w:val="116"/>
        </w:numPr>
      </w:pPr>
      <w:r>
        <w:t xml:space="preserve">Edit the </w:t>
      </w:r>
      <w:r>
        <w:rPr>
          <w:rStyle w:val="InlineUI"/>
        </w:rPr>
        <w:t>Default blocking task timeout</w:t>
      </w:r>
      <w:r>
        <w:t>.</w:t>
      </w:r>
    </w:p>
    <w:p>
      <w:pPr>
        <w:pStyle w:val="BodyText"/>
        <w:numPr>
          <w:ilvl w:val="1"/>
          <w:numId w:val="116"/>
        </w:numPr>
      </w:pPr>
      <w:r>
        <w:t xml:space="preserve">Edit the </w:t>
      </w:r>
      <w:r>
        <w:rPr>
          <w:rStyle w:val="InlineUI"/>
        </w:rPr>
        <w:t>Default Action</w:t>
      </w:r>
      <w:r>
        <w:t>.</w:t>
      </w:r>
    </w:p>
    <w:p>
      <w:pPr>
        <w:pStyle w:val="BodyText"/>
        <w:ind w:left="960"/>
      </w:pPr>
      <w:r>
        <w:t xml:space="preserve">The </w:t>
      </w:r>
      <w:r>
        <w:rPr>
          <w:rStyle w:val="InlineUI"/>
        </w:rPr>
        <w:t>Default Action</w:t>
      </w:r>
      <w:r>
        <w:t xml:space="preserve"> is the action after a </w:t>
      </w:r>
      <w:r>
        <w:rPr>
          <w:rStyle w:val="InlineUI"/>
        </w:rPr>
        <w:t>Default blocking task timeout</w:t>
      </w:r>
      <w:r>
        <w:t xml:space="preserve"> expires.</w:t>
      </w:r>
    </w:p>
    <w:p>
      <w:pPr>
        <w:pStyle w:val="BodyText"/>
        <w:numPr>
          <w:ilvl w:val="1"/>
          <w:numId w:val="116"/>
        </w:numPr>
      </w:pPr>
      <w:r>
        <w:t xml:space="preserve">Click </w:t>
      </w:r>
      <w:r>
        <w:rPr>
          <w:rStyle w:val="InlineUI"/>
        </w:rPr>
        <w:t>Save</w:t>
      </w:r>
      <w:r>
        <w:t>.</w:t>
      </w:r>
    </w:p>
    <w:p>
      <w:pPr>
        <w:pStyle w:val="BodyText"/>
        <w:numPr>
          <w:numId w:val="116"/>
        </w:numPr>
      </w:pPr>
      <w:r>
        <w:t xml:space="preserve">To edit the list of operations, considered as blocking tasks, click the </w:t>
      </w:r>
      <w:r>
        <w:rPr>
          <w:rStyle w:val="InlineUI"/>
        </w:rPr>
        <w:t>Edit</w:t>
      </w:r>
      <w:r>
        <w:t xml:space="preserve"> button under the </w:t>
      </w:r>
      <w:r>
        <w:rPr>
          <w:rStyle w:val="InlineUI"/>
        </w:rPr>
        <w:t>Operations</w:t>
      </w:r>
      <w:r>
        <w:t xml:space="preserve"> section.</w:t>
      </w:r>
    </w:p>
    <w:p>
      <w:pPr>
        <w:pStyle w:val="BodyText"/>
        <w:numPr>
          <w:ilvl w:val="1"/>
          <w:numId w:val="116"/>
        </w:numPr>
      </w:pPr>
      <w:r>
        <w:t>Select or deselect operations from the list of blocking tasks.</w:t>
      </w:r>
    </w:p>
    <w:p>
      <w:pPr>
        <w:pStyle w:val="BodyText"/>
        <w:ind w:left="960"/>
      </w:pPr>
      <w:r>
        <w:t>Blocking tasks can be pre-blocking and post-blocking and occur before and after activities like deployments, system upgrades, and similar major changes.</w:t>
      </w:r>
    </w:p>
    <w:p>
      <w:pPr>
        <w:pStyle w:val="BodyText"/>
        <w:pBdr>
          <w:top w:val="single" w:sz="8" w:space="2" w:color="D3D3D3"/>
        </w:pBdr>
        <w:ind w:left="960"/>
      </w:pPr>
      <w:r>
        <w:rPr>
          <w:rStyle w:val="NoteLeaderimportant"/>
        </w:rPr>
        <w:t>Important</w:t>
        <w:tab/>
      </w:r>
      <w:r>
        <w:t xml:space="preserve">If you deselect the organization-related </w:t>
      </w:r>
      <w:r>
        <w:rPr>
          <w:rStyle w:val="InlineCode"/>
        </w:rPr>
        <w:t>orgCreate</w:t>
      </w:r>
      <w:r>
        <w:t xml:space="preserve"> post-blocking task or </w:t>
      </w:r>
      <w:r>
        <w:rPr>
          <w:rStyle w:val="InlineCode"/>
        </w:rPr>
        <w:t>orgDeleteOrg</w:t>
      </w:r>
      <w:r>
        <w:t xml:space="preserve"> pre-blocking task, when you create a new organization, </w:t>
      </w:r>
      <w:r>
        <w:t>VCF Automation</w:t>
      </w:r>
      <w:r>
        <w:t xml:space="preserve"> cannot create the default objects for the organization and the default </w:t>
      </w:r>
      <w:r>
        <w:t>VMware Cloud Foundation® Operations orchestrator</w:t>
      </w:r>
      <w:r>
        <w:t xml:space="preserve"> integration for the provider consumption organization.</w:t>
      </w:r>
    </w:p>
    <w:p>
      <w:pPr>
        <w:pStyle w:val="BodyText"/>
        <w:pBdr>
          <w:bottom w:val="single" w:sz="8" w:space="2" w:color="D3D3D3"/>
        </w:pBdr>
        <w:ind w:left="960"/>
      </w:pPr>
      <w:r>
        <w:t xml:space="preserve">If you change the organization-related </w:t>
      </w:r>
      <w:r>
        <w:rPr>
          <w:rStyle w:val="InlineCode"/>
        </w:rPr>
        <w:t>orgCreate</w:t>
      </w:r>
      <w:r>
        <w:t xml:space="preserve"> post-blocking task or </w:t>
      </w:r>
      <w:r>
        <w:rPr>
          <w:rStyle w:val="InlineCode"/>
        </w:rPr>
        <w:t>orgDeleteOrg</w:t>
      </w:r>
      <w:r>
        <w:t xml:space="preserve"> pre-blocking task selections, the organization creation and deletion might get stuck.</w:t>
      </w:r>
    </w:p>
    <w:p>
      <w:pPr>
        <w:pStyle w:val="BodyText"/>
        <w:numPr>
          <w:ilvl w:val="1"/>
          <w:numId w:val="116"/>
        </w:numPr>
      </w:pPr>
      <w:r>
        <w:t xml:space="preserve">Click </w:t>
      </w:r>
      <w:r>
        <w:rPr>
          <w:rStyle w:val="InlineUI"/>
        </w:rPr>
        <w:t>Save</w:t>
      </w:r>
      <w:r>
        <w:t>.</w:t>
      </w:r>
    </w:p>
    <w:p>
      <w:pPr>
        <w:pStyle w:val="Heading2"/>
      </w:pPr>
      <w:bookmarkStart w:id="158" w:name="_Toc256000549"/>
      <w:r>
        <w:t>Monitor Blocked Tasks in VCF Automation</w:t>
      </w:r>
      <w:bookmarkEnd w:id="158"/>
    </w:p>
    <w:p>
      <w:pPr>
        <w:pStyle w:val="BodyText"/>
      </w:pPr>
      <w:r>
        <w:t>You can monitor the current blocked tasks or manually cancel, fail, or resume the tasks before the preconfigured timer expires.</w:t>
      </w:r>
    </w:p>
    <w:p>
      <w:pPr>
        <w:pStyle w:val="BodyText"/>
      </w:pPr>
      <w:r>
        <w:rPr>
          <w:rStyle w:val="Strong"/>
        </w:rPr>
        <w:t>Prerequisites</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B51f6a616698f463e8052ce3ab8415a1a</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Blocking Task Settings On Your VCF Automation</w:t>
      </w:r>
      <w:r>
        <w:fldChar w:fldCharType="end"/>
      </w:r>
    </w:p>
    <w:p>
      <w:pPr>
        <w:pStyle w:val="BodyText"/>
      </w:pPr>
      <w:r>
        <w:rPr>
          <w:rStyle w:val="Strong"/>
        </w:rPr>
        <w:t>Procedure</w:t>
      </w:r>
    </w:p>
    <w:p>
      <w:pPr>
        <w:pStyle w:val="BodyText"/>
        <w:numPr>
          <w:numId w:val="117"/>
        </w:numPr>
      </w:pPr>
      <w:r>
        <w:t xml:space="preserve">Log in to the </w:t>
      </w:r>
      <w:r>
        <w:t>.</w:t>
      </w:r>
    </w:p>
    <w:p>
      <w:pPr>
        <w:pStyle w:val="BodyText"/>
        <w:numPr>
          <w:numId w:val="117"/>
        </w:numPr>
      </w:pPr>
      <w:r>
        <w:t xml:space="preserve">From the left navigation bar, select </w:t>
      </w:r>
      <w:r>
        <w:rPr>
          <w:rStyle w:val="InlineUI"/>
        </w:rPr>
        <w:t>Events and Tasks</w:t>
      </w:r>
      <w:r>
        <w:t xml:space="preserve">, and click the </w:t>
      </w:r>
      <w:r>
        <w:rPr>
          <w:rStyle w:val="InlineUI"/>
        </w:rPr>
        <w:t>Blocking tasks</w:t>
      </w:r>
      <w:r>
        <w:t xml:space="preserve"> tab.</w:t>
      </w:r>
    </w:p>
    <w:p>
      <w:pPr>
        <w:pStyle w:val="BodyText"/>
        <w:ind w:left="480"/>
      </w:pPr>
      <w:r>
        <w:t>The tab displays a list of the current blocked tasks.</w:t>
      </w:r>
    </w:p>
    <w:p>
      <w:pPr>
        <w:pStyle w:val="BodyText"/>
        <w:numPr>
          <w:numId w:val="117"/>
        </w:numPr>
      </w:pPr>
      <w:r>
        <w:t>Select the task that you want to edit manually.</w:t>
      </w:r>
    </w:p>
    <w:p>
      <w:pPr>
        <w:pStyle w:val="BodyText"/>
        <w:numPr>
          <w:numId w:val="117"/>
        </w:numPr>
      </w:pPr>
      <w:r>
        <w:t>Decide between canceling, failing, or resuming the task and click the corresponding button.</w:t>
      </w:r>
    </w:p>
    <w:p>
      <w:pPr>
        <w:pStyle w:val="BodyText"/>
        <w:numPr>
          <w:numId w:val="117"/>
        </w:numPr>
      </w:pPr>
      <w:r>
        <w:t xml:space="preserve">Enter a message and click </w:t>
      </w:r>
      <w:r>
        <w:rPr>
          <w:rStyle w:val="InlineUI"/>
        </w:rPr>
        <w:t>Save</w:t>
      </w:r>
      <w:r>
        <w:t>.</w:t>
      </w:r>
    </w:p>
    <w:p>
      <w:pPr>
        <w:pStyle w:val="BodyText"/>
        <w:ind w:left="480"/>
      </w:pPr>
      <w:r>
        <w:t>The message appears in the task details.</w:t>
      </w:r>
    </w:p>
    <w:p>
      <w:pPr>
        <w:pStyle w:val="Heading2"/>
      </w:pPr>
      <w:bookmarkStart w:id="159" w:name="_Toc256000550"/>
      <w:r>
        <w:t>Subscribe to VCF AutomationProvider Management Events, Tasks, and Metrics by Using an MQTT Client</w:t>
      </w:r>
      <w:bookmarkEnd w:id="159"/>
    </w:p>
    <w:p>
      <w:pPr>
        <w:pStyle w:val="BodyText"/>
      </w:pPr>
      <w:r>
        <w:t xml:space="preserve">As a provider administrator, you can use an MQTT client to subscribe to messages about </w:t>
      </w:r>
      <w:r>
        <w:t>Provider Management</w:t>
      </w:r>
      <w:r>
        <w:t xml:space="preserve"> events and tasks.</w:t>
      </w:r>
    </w:p>
    <w:p>
      <w:pPr>
        <w:pStyle w:val="BodyText"/>
      </w:pPr>
      <w:r>
        <w:t xml:space="preserve">MQTT is a lightweight, binary, messaging transport protocol. </w:t>
      </w:r>
      <w:r>
        <w:t>VCF Automation Provider Management Portal</w:t>
      </w:r>
      <w:r>
        <w:t xml:space="preserve"> uses MQTT to publish information about events and tasks to which you can subscribe by using an MQTT client. MQTT messages pass through an MQTT broker which can also store messages in case the clients are not online.</w:t>
      </w:r>
    </w:p>
    <w:p>
      <w:pPr>
        <w:pStyle w:val="BodyText"/>
      </w:pPr>
      <w:r>
        <w:t>You can use an MQTT client to subscribe to metrics.</w:t>
      </w:r>
    </w:p>
    <w:p>
      <w:pPr>
        <w:pStyle w:val="BodyText"/>
      </w:pPr>
      <w:r>
        <w:t xml:space="preserve">Organization administrators can use </w:t>
      </w:r>
      <w:r>
        <w:t xml:space="preserve"> workflows with event subscriptions. See </w:t>
      </w:r>
      <w:r>
        <w:t>Managing Event Subscriptions in</w:t>
      </w:r>
      <w:r>
        <w:t>.</w:t>
      </w:r>
    </w:p>
    <w:p>
      <w:pPr>
        <w:pStyle w:val="BodyText"/>
      </w:pPr>
      <w:r>
        <w:rPr>
          <w:rStyle w:val="Strong"/>
        </w:rPr>
        <w:t>Prerequisites</w:t>
      </w:r>
    </w:p>
    <w:p>
      <w:pPr>
        <w:pStyle w:val="BodyText"/>
        <w:numPr>
          <w:numId w:val="118"/>
        </w:numPr>
      </w:pPr>
      <w:r>
        <w:t>Verify that you have an MQTT client that supports WebSocket.</w:t>
      </w:r>
    </w:p>
    <w:p>
      <w:pPr>
        <w:pStyle w:val="BodyText"/>
        <w:numPr>
          <w:numId w:val="118"/>
        </w:numPr>
      </w:pPr>
      <w:r>
        <w:t>Verify that you can add headers to a WebSocket-upgraded request.</w:t>
      </w:r>
    </w:p>
    <w:p>
      <w:pPr>
        <w:pStyle w:val="BodyText"/>
      </w:pPr>
      <w:r>
        <w:rPr>
          <w:rStyle w:val="Strong"/>
        </w:rPr>
        <w:t>Procedure</w:t>
      </w:r>
    </w:p>
    <w:p>
      <w:pPr>
        <w:pStyle w:val="BodyText"/>
        <w:numPr>
          <w:numId w:val="119"/>
        </w:numPr>
      </w:pPr>
      <w:r>
        <w:t xml:space="preserve">Log in to </w:t>
      </w:r>
      <w:r>
        <w:t>VCF Automation</w:t>
      </w:r>
      <w:r>
        <w:t>Provider Management</w:t>
      </w:r>
      <w:r>
        <w:t xml:space="preserve"> by using the OpenAPI endpoint.</w:t>
      </w:r>
    </w:p>
    <w:p>
      <w:pPr>
        <w:pStyle w:val="BodyText"/>
        <w:numPr>
          <w:ilvl w:val="1"/>
          <w:numId w:val="119"/>
        </w:numPr>
      </w:pPr>
      <w:r>
        <w:t xml:space="preserve">Make an API versions request to </w:t>
      </w:r>
      <w:r>
        <w:t>VCF Automation</w:t>
      </w:r>
      <w:r>
        <w:t xml:space="preserve"> to obtain the </w:t>
      </w:r>
      <w:r>
        <w:t>VCF Automation</w:t>
      </w:r>
      <w:r>
        <w:t xml:space="preserve"> API login URL.</w:t>
      </w:r>
    </w:p>
    <w:p>
      <w:pPr>
        <w:pStyle w:val="BodyText"/>
        <w:ind w:left="960"/>
      </w:pPr>
      <w:r>
        <w:t>This request has the following form:</w:t>
      </w:r>
    </w:p>
    <w:p>
      <w:pPr>
        <w:pStyle w:val="CodeBlock"/>
        <w:ind w:left="960"/>
      </w:pPr>
      <w:r>
        <w:t>GET http://vcfa.example.com/api/versions</w:t>
      </w:r>
    </w:p>
    <w:p>
      <w:pPr>
        <w:pStyle w:val="BodyText"/>
        <w:numPr>
          <w:ilvl w:val="1"/>
          <w:numId w:val="119"/>
        </w:numPr>
      </w:pPr>
      <w:r>
        <w:t>POST a request to the login URL to create a login session.</w:t>
      </w:r>
    </w:p>
    <w:p>
      <w:pPr>
        <w:pStyle w:val="BodyText"/>
        <w:ind w:left="960"/>
      </w:pPr>
      <w:r>
        <w:t>This request has the following form:</w:t>
      </w:r>
    </w:p>
    <w:p>
      <w:pPr>
        <w:pStyle w:val="CodeBlock"/>
        <w:ind w:left="960"/>
      </w:pPr>
      <w:r>
        <w:t>POST https://vcfa.example.com/cloudapi/1.0.0/sessions/provider</w:t>
      </w:r>
    </w:p>
    <w:p>
      <w:pPr>
        <w:pStyle w:val="BodyText"/>
        <w:numPr>
          <w:numId w:val="119"/>
        </w:numPr>
      </w:pPr>
      <w:r>
        <w:t xml:space="preserve">To establish a WebSocket connection, set the Sec-WebSocket-Protocol property to </w:t>
      </w:r>
      <w:r>
        <w:rPr>
          <w:rStyle w:val="InlineCode"/>
        </w:rPr>
        <w:t>mqtt</w:t>
      </w:r>
      <w:r>
        <w:t xml:space="preserve">, set the client to connect to the </w:t>
      </w:r>
      <w:r>
        <w:rPr>
          <w:rStyle w:val="InlineCode"/>
        </w:rPr>
        <w:t>/messaging/mqtt</w:t>
      </w:r>
      <w:r>
        <w:t xml:space="preserve"> path, add an authorization header, and follow the standard MQTT connect flow.</w:t>
      </w:r>
    </w:p>
    <w:p>
      <w:pPr>
        <w:pStyle w:val="BodyText"/>
        <w:ind w:left="480"/>
      </w:pPr>
      <w:r>
        <w:t xml:space="preserve">You receive the JWT token from the standard login request to </w:t>
      </w:r>
      <w:r>
        <w:t>VCF Automation</w:t>
      </w:r>
      <w:r>
        <w:t>. You can leave the user name and password empty.</w:t>
      </w:r>
    </w:p>
    <w:p>
      <w:pPr>
        <w:pStyle w:val="CodeBlock"/>
        <w:ind w:left="480"/>
      </w:pPr>
      <w:r>
        <w:t>Sec-WebSocket-Protocol: mqtt</w:t>
      </w:r>
    </w:p>
    <w:p>
      <w:pPr>
        <w:pStyle w:val="CodeBlock"/>
        <w:ind w:left="480"/>
      </w:pPr>
      <w:r>
        <w:t xml:space="preserve">Authorization: Bearer </w:t>
      </w:r>
      <w:r>
        <w:rPr>
          <w:rStyle w:val="InlineVar"/>
        </w:rPr>
        <w:t>{JWT_token}</w:t>
      </w:r>
    </w:p>
    <w:p>
      <w:pPr>
        <w:pStyle w:val="BodyText"/>
        <w:numPr>
          <w:numId w:val="119"/>
        </w:numPr>
      </w:pPr>
      <w:r>
        <w:t>Once the connection is established successfully, subscribe to topics through the MQTT client.</w:t>
      </w:r>
    </w:p>
    <w:p>
      <w:pPr>
        <w:pStyle w:val="CodeBlock"/>
        <w:ind w:left="480"/>
      </w:pPr>
      <w:r>
        <w:t>publish/</w:t>
      </w:r>
      <w:r>
        <w:rPr>
          <w:rStyle w:val="InlineVar"/>
        </w:rPr>
        <w:t>{user_org_id}</w:t>
      </w:r>
      <w:r>
        <w:t>/</w:t>
      </w:r>
      <w:r>
        <w:rPr>
          <w:rStyle w:val="InlineVar"/>
        </w:rPr>
        <w:t>{user_id}</w:t>
      </w:r>
    </w:p>
    <w:p>
      <w:pPr>
        <w:pStyle w:val="CodeBlock"/>
        <w:ind w:left="480"/>
      </w:pPr>
      <w:r>
        <w:t>publish/debd63a0-6eae-11ea-8c7b-0050561776be/d19fd8ff-6eae-11ea-bb42-0050561776c8</w:t>
      </w:r>
    </w:p>
    <w:p>
      <w:pPr>
        <w:pStyle w:val="BodyText"/>
        <w:ind w:left="480"/>
      </w:pPr>
      <w:r>
        <w:rPr>
          <w:rStyle w:val="InlineUI"/>
        </w:rPr>
        <w:t>Organization administrators</w:t>
      </w:r>
      <w:r>
        <w:t xml:space="preserve"> can use wildcards to access all organization topics.</w:t>
      </w:r>
    </w:p>
    <w:p>
      <w:pPr>
        <w:pStyle w:val="CodeBlock"/>
        <w:ind w:left="480"/>
      </w:pPr>
      <w:r>
        <w:t>publish/</w:t>
      </w:r>
      <w:r>
        <w:rPr>
          <w:rStyle w:val="InlineVar"/>
        </w:rPr>
        <w:t>{user_org_id}</w:t>
      </w:r>
      <w:r>
        <w:t xml:space="preserve">/+ </w:t>
      </w:r>
    </w:p>
    <w:p>
      <w:pPr>
        <w:pStyle w:val="BodyText"/>
        <w:ind w:left="480"/>
      </w:pPr>
      <w:r>
        <w:rPr>
          <w:rStyle w:val="InlineUI"/>
        </w:rPr>
        <w:t>System administrators</w:t>
      </w:r>
      <w:r>
        <w:t xml:space="preserve"> can use wildcards to access all topics.</w:t>
      </w:r>
    </w:p>
    <w:p>
      <w:pPr>
        <w:pStyle w:val="CodeBlock"/>
        <w:ind w:left="480"/>
      </w:pPr>
      <w:r>
        <w:t>publish/#</w:t>
      </w:r>
    </w:p>
    <w:p>
      <w:pPr>
        <w:pStyle w:val="BodyText"/>
        <w:numPr>
          <w:numId w:val="119"/>
        </w:numPr>
      </w:pPr>
      <w:r>
        <w:t xml:space="preserve">(Optional) </w:t>
      </w:r>
      <w:r>
        <w:t>Subscribe to metrics.</w:t>
      </w:r>
    </w:p>
    <w:p>
      <w:pPr>
        <w:pStyle w:val="CodeBlock"/>
        <w:ind w:left="480"/>
      </w:pPr>
      <w:r>
        <w:t>metrics/</w:t>
      </w:r>
      <w:r>
        <w:rPr>
          <w:rStyle w:val="InlineVar"/>
        </w:rPr>
        <w:t>{org_id}</w:t>
      </w:r>
      <w:r>
        <w:t>/</w:t>
      </w:r>
      <w:r>
        <w:rPr>
          <w:rStyle w:val="InlineVar"/>
        </w:rPr>
        <w:t>{vApp_id}</w:t>
      </w:r>
    </w:p>
    <w:p>
      <w:pPr>
        <w:pStyle w:val="BodyText"/>
        <w:ind w:left="480"/>
      </w:pPr>
      <w:r>
        <w:t xml:space="preserve">Only </w:t>
      </w:r>
      <w:r>
        <w:rPr>
          <w:rStyle w:val="InlineUI"/>
        </w:rPr>
        <w:t>system administrators</w:t>
      </w:r>
      <w:r>
        <w:t xml:space="preserve"> can access the metrics topic.</w:t>
      </w:r>
    </w:p>
    <w:p>
      <w:pPr>
        <w:pStyle w:val="Heading2"/>
      </w:pPr>
      <w:bookmarkStart w:id="160" w:name="B2660930d36aa4aaa80807fe48289a08d"/>
      <w:bookmarkStart w:id="161" w:name="_Toc256000551"/>
      <w:r>
        <w:t>Changing the VCF Automation Portal Branding</w:t>
      </w:r>
      <w:bookmarkEnd w:id="161"/>
      <w:bookmarkEnd w:id="160"/>
    </w:p>
    <w:p>
      <w:pPr>
        <w:pStyle w:val="BodyText"/>
      </w:pPr>
      <w:r>
        <w:t xml:space="preserve">To match your corporate branding standards and to create a fully custom cloud experience, you can customize the </w:t>
      </w:r>
      <w:r>
        <w:t>VCF Automation</w:t>
      </w:r>
      <w:r>
        <w:t xml:space="preserve"> portals. In addition, you can modify and add custom links to the login and logout pages.</w:t>
      </w:r>
    </w:p>
    <w:p>
      <w:pPr>
        <w:pStyle w:val="BodyText"/>
      </w:pPr>
      <w:r>
        <w:t xml:space="preserve">The </w:t>
      </w:r>
      <w:r>
        <w:t>VCF Automation</w:t>
      </w:r>
      <w:r>
        <w:t xml:space="preserve"> UI provides a live preview of all changes so that you can see the modifications instantly without the need to save the theme.</w:t>
      </w:r>
    </w:p>
    <w:p>
      <w:pPr>
        <w:pStyle w:val="BodyText"/>
        <w:pBdr>
          <w:top w:val="single" w:sz="8" w:space="2" w:color="D3D3D3"/>
          <w:bottom w:val="single" w:sz="8" w:space="2" w:color="D3D3D3"/>
        </w:pBdr>
      </w:pPr>
      <w:r>
        <w:rPr>
          <w:rStyle w:val="NoteLeadernote"/>
        </w:rPr>
        <w:t>Note</w:t>
        <w:tab/>
      </w:r>
      <w:r>
        <w:t xml:space="preserve">By default, the individual organization branding is not shown outside of a logged-in session. The individual organization branding does not appear on the login and logout pages, so that organizations cannot discover the existence of other organizations. You can enable branding outside of logged in sessions by clicking </w:t>
      </w:r>
      <w:r>
        <w:rPr>
          <w:rStyle w:val="InlineUI"/>
        </w:rPr>
        <w:t>Settings</w:t>
      </w:r>
      <w:r>
        <w:t xml:space="preserve"> and turning on the </w:t>
      </w:r>
      <w:r>
        <w:rPr>
          <w:rStyle w:val="InlineUI"/>
        </w:rPr>
        <w:t>Enable Login and Logout Page Branding</w:t>
      </w:r>
      <w:r>
        <w:t xml:space="preserve"> toggle.</w:t>
      </w:r>
    </w:p>
    <w:p>
      <w:pPr>
        <w:pStyle w:val="SectionHeading3"/>
      </w:pPr>
      <w:bookmarkStart w:id="162" w:name="_Toc256000552"/>
      <w:r>
        <w:t>Portal Branding</w:t>
      </w:r>
      <w:bookmarkEnd w:id="162"/>
    </w:p>
    <w:p>
      <w:pPr>
        <w:pStyle w:val="BodyText"/>
      </w:pPr>
      <w:r>
        <w:t xml:space="preserve">As part of the installation, </w:t>
      </w:r>
      <w:r>
        <w:t>VCF Automation</w:t>
      </w:r>
      <w:r>
        <w:t xml:space="preserve"> contains two themes - light and dark. You can create, manage, and apply custom themes. In addition, you can change the portal name, the logo, the image on the login screen, and the browser icon. The browser title adopts the portal name that you set and the login background.</w:t>
      </w:r>
    </w:p>
    <w:p>
      <w:pPr>
        <w:pStyle w:val="BodyText"/>
      </w:pPr>
      <w:r>
        <w:t xml:space="preserve">When you create a theme, you can assign it to one or more organizations. You can specify a theme to be the default theme, applicable to all organizations apart from the ones with specifically assigned themes through the </w:t>
      </w:r>
      <w:r>
        <w:rPr>
          <w:rStyle w:val="InlineUI"/>
        </w:rPr>
        <w:t>Assign</w:t>
      </w:r>
      <w:r>
        <w:t xml:space="preserve"> option.</w:t>
      </w:r>
    </w:p>
    <w:p>
      <w:pPr>
        <w:pStyle w:val="BodyText"/>
      </w:pPr>
      <w:r>
        <w:t>For a particular theme, you can selectively override any combination of the portal name, colors, logo, icon, custom links, and the login background. Any color value that you do not set uses the corresponding theme base color.</w:t>
      </w:r>
    </w:p>
    <w:p>
      <w:pPr>
        <w:pStyle w:val="BodyText"/>
      </w:pPr>
      <w:r>
        <w:t xml:space="preserve">Certain operations are not applicable to some of the theme types.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7</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Theme operations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6"/>
        <w:gridCol w:w="899"/>
        <w:gridCol w:w="1187"/>
        <w:gridCol w:w="1272"/>
        <w:gridCol w:w="1977"/>
        <w:gridCol w:w="1230"/>
        <w:gridCol w:w="112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Theme type</w:t>
            </w:r>
          </w:p>
        </w:tc>
        <w:tc>
          <w:tcPr>
            <w:tcBorders>
              <w:left w:val="nil"/>
              <w:right w:val="nil"/>
            </w:tcBorders>
            <w:shd w:val="clear" w:color="auto" w:fill="E1E1E1"/>
            <w:tcMar>
              <w:top w:w="60" w:type="dxa"/>
              <w:bottom w:w="60" w:type="dxa"/>
            </w:tcMar>
          </w:tcPr>
          <w:p>
            <w:pPr>
              <w:pStyle w:val="TableHeaderText"/>
            </w:pPr>
            <w:r>
              <w:t>Edit</w:t>
            </w:r>
          </w:p>
        </w:tc>
        <w:tc>
          <w:tcPr>
            <w:tcBorders>
              <w:left w:val="nil"/>
              <w:right w:val="nil"/>
            </w:tcBorders>
            <w:shd w:val="clear" w:color="auto" w:fill="E1E1E1"/>
            <w:tcMar>
              <w:top w:w="60" w:type="dxa"/>
              <w:bottom w:w="60" w:type="dxa"/>
            </w:tcMar>
          </w:tcPr>
          <w:p>
            <w:pPr>
              <w:pStyle w:val="TableHeaderText"/>
            </w:pPr>
            <w:r>
              <w:t>Delete</w:t>
            </w:r>
          </w:p>
        </w:tc>
        <w:tc>
          <w:tcPr>
            <w:tcBorders>
              <w:left w:val="nil"/>
              <w:right w:val="nil"/>
            </w:tcBorders>
            <w:shd w:val="clear" w:color="auto" w:fill="E1E1E1"/>
            <w:tcMar>
              <w:top w:w="60" w:type="dxa"/>
              <w:bottom w:w="60" w:type="dxa"/>
            </w:tcMar>
          </w:tcPr>
          <w:p>
            <w:pPr>
              <w:pStyle w:val="TableHeaderText"/>
            </w:pPr>
            <w:r>
              <w:t>Assign</w:t>
            </w:r>
          </w:p>
        </w:tc>
        <w:tc>
          <w:tcPr>
            <w:tcBorders>
              <w:left w:val="nil"/>
              <w:right w:val="nil"/>
            </w:tcBorders>
            <w:shd w:val="clear" w:color="auto" w:fill="E1E1E1"/>
            <w:tcMar>
              <w:top w:w="60" w:type="dxa"/>
              <w:bottom w:w="60" w:type="dxa"/>
            </w:tcMar>
          </w:tcPr>
          <w:p>
            <w:pPr>
              <w:pStyle w:val="TableHeaderText"/>
            </w:pPr>
            <w:r>
              <w:t>Make default</w:t>
            </w:r>
          </w:p>
        </w:tc>
        <w:tc>
          <w:tcPr>
            <w:tcBorders>
              <w:left w:val="nil"/>
              <w:right w:val="nil"/>
            </w:tcBorders>
            <w:shd w:val="clear" w:color="auto" w:fill="E1E1E1"/>
            <w:tcMar>
              <w:top w:w="60" w:type="dxa"/>
              <w:bottom w:w="60" w:type="dxa"/>
            </w:tcMar>
          </w:tcPr>
          <w:p>
            <w:pPr>
              <w:pStyle w:val="TableHeaderText"/>
            </w:pPr>
            <w:r>
              <w:t>Export</w:t>
            </w:r>
          </w:p>
        </w:tc>
        <w:tc>
          <w:tcPr>
            <w:tcBorders>
              <w:left w:val="nil"/>
              <w:right w:val="nil"/>
            </w:tcBorders>
            <w:shd w:val="clear" w:color="auto" w:fill="E1E1E1"/>
            <w:tcMar>
              <w:top w:w="60" w:type="dxa"/>
              <w:bottom w:w="60" w:type="dxa"/>
            </w:tcMar>
          </w:tcPr>
          <w:p>
            <w:pPr>
              <w:pStyle w:val="TableHeaderText"/>
            </w:pPr>
            <w:r>
              <w:t>Clone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Built-in themes</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r>
              <w:t>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Custom theme</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r>
              <w:t>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Assigned theme</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r>
              <w:t>X</w:t>
            </w:r>
          </w:p>
        </w:tc>
        <w:tc>
          <w:tcPr>
            <w:tcBorders>
              <w:left w:val="nil"/>
              <w:right w:val="nil"/>
            </w:tcBorders>
          </w:tcPr>
          <w:p>
            <w:pPr>
              <w:pStyle w:val="TableBodyText"/>
            </w:pPr>
            <w:r>
              <w:t>X</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Default theme</w:t>
            </w:r>
          </w:p>
        </w:tc>
        <w:tc>
          <w:tcPr>
            <w:tcBorders>
              <w:left w:val="nil"/>
              <w:right w:val="nil"/>
            </w:tcBorders>
          </w:tcPr>
          <w:p>
            <w:pPr>
              <w:pStyle w:val="TableBodyText"/>
            </w:pPr>
            <w:r>
              <w:t>X</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X</w:t>
            </w:r>
          </w:p>
        </w:tc>
        <w:tc>
          <w:tcPr>
            <w:tcBorders>
              <w:left w:val="nil"/>
              <w:right w:val="nil"/>
            </w:tcBorders>
          </w:tcPr>
          <w:p>
            <w:pPr>
              <w:pStyle w:val="TableBodyText"/>
            </w:pPr>
            <w:r>
              <w:t>X</w:t>
            </w:r>
          </w:p>
        </w:tc>
      </w:tr>
    </w:tbl>
    <w:p>
      <w:pPr>
        <w:pStyle w:val="Heading3"/>
        <w:spacing w:before="320"/>
      </w:pPr>
      <w:bookmarkStart w:id="163" w:name="_Toc256000553"/>
      <w:r>
        <w:t>Create a Custom VCF Automation Portal Theme</w:t>
      </w:r>
      <w:bookmarkEnd w:id="163"/>
    </w:p>
    <w:p>
      <w:pPr>
        <w:pStyle w:val="BodyText"/>
      </w:pPr>
      <w:r>
        <w:t xml:space="preserve">You can change the branding for the </w:t>
      </w:r>
      <w:r>
        <w:t>VCF Automation Provider Management Portal</w:t>
      </w:r>
      <w:r>
        <w:t xml:space="preserve"> .</w:t>
      </w:r>
    </w:p>
    <w:p>
      <w:pPr>
        <w:pStyle w:val="BodyText"/>
      </w:pPr>
      <w:r>
        <w:t>When changing the theme, you can instantly see how the selection would change the appearance of the theme.</w:t>
      </w:r>
    </w:p>
    <w:p>
      <w:pPr>
        <w:pStyle w:val="BodyText"/>
      </w:pPr>
      <w:r>
        <w:rPr>
          <w:rStyle w:val="Strong"/>
        </w:rPr>
        <w:t>Procedure</w:t>
      </w:r>
    </w:p>
    <w:p>
      <w:pPr>
        <w:pStyle w:val="BodyText"/>
        <w:numPr>
          <w:numId w:val="120"/>
        </w:numPr>
      </w:pPr>
      <w:r>
        <w:t xml:space="preserve">Log in to the </w:t>
      </w:r>
      <w:r>
        <w:t>.</w:t>
      </w:r>
    </w:p>
    <w:p>
      <w:pPr>
        <w:pStyle w:val="BodyText"/>
        <w:numPr>
          <w:numId w:val="120"/>
        </w:numPr>
      </w:pPr>
      <w:r>
        <w:t xml:space="preserve">From the left panel, select </w:t>
      </w:r>
      <w:r>
        <w:rPr>
          <w:rStyle w:val="InlineUI"/>
        </w:rPr>
        <w:t>Branding</w:t>
      </w:r>
      <w:r>
        <w:t xml:space="preserve"> and click </w:t>
      </w:r>
      <w:r>
        <w:rPr>
          <w:rStyle w:val="InlineUI"/>
        </w:rPr>
        <w:t>Create</w:t>
      </w:r>
      <w:r>
        <w:t>.</w:t>
      </w:r>
    </w:p>
    <w:p>
      <w:pPr>
        <w:pStyle w:val="BodyText"/>
        <w:numPr>
          <w:numId w:val="120"/>
        </w:numPr>
      </w:pPr>
      <w:r>
        <w:t>Enter a name for the theme.</w:t>
      </w:r>
    </w:p>
    <w:p>
      <w:pPr>
        <w:pStyle w:val="BodyText"/>
        <w:numPr>
          <w:numId w:val="120"/>
        </w:numPr>
      </w:pPr>
      <w:r>
        <w:t xml:space="preserve">Change the platform branding from the option in the </w:t>
      </w:r>
      <w:r>
        <w:rPr>
          <w:rStyle w:val="InlineUI"/>
        </w:rPr>
        <w:t>Branding</w:t>
      </w:r>
      <w:r>
        <w:t xml:space="preserve"> tab.</w:t>
      </w:r>
    </w:p>
    <w:p>
      <w:pPr>
        <w:pStyle w:val="BodyText"/>
        <w:numPr>
          <w:ilvl w:val="1"/>
          <w:numId w:val="120"/>
        </w:numPr>
      </w:pPr>
      <w:r>
        <w:t>Enter a platform name.</w:t>
      </w:r>
    </w:p>
    <w:p>
      <w:pPr>
        <w:pStyle w:val="BodyText"/>
        <w:ind w:left="960"/>
      </w:pPr>
      <w:r>
        <w:t xml:space="preserve">The platform name replaces the </w:t>
      </w:r>
      <w:r>
        <w:t>VCF Automation</w:t>
      </w:r>
      <w:r>
        <w:t xml:space="preserve"> name on the top navigation bar, the login page, and the browser title.</w:t>
      </w:r>
    </w:p>
    <w:p>
      <w:pPr>
        <w:pStyle w:val="BodyText"/>
        <w:numPr>
          <w:ilvl w:val="1"/>
          <w:numId w:val="120"/>
        </w:numPr>
      </w:pPr>
      <w:r>
        <w:t>Upload a platform logo.</w:t>
      </w:r>
    </w:p>
    <w:p>
      <w:pPr>
        <w:pStyle w:val="BodyText"/>
        <w:ind w:left="960"/>
      </w:pPr>
      <w:r>
        <w:t>The platform logo replaces the default logo on the top navigation bar and the login page. You can also select to include an additional dark theme logo.</w:t>
      </w:r>
    </w:p>
    <w:p>
      <w:pPr>
        <w:pStyle w:val="BodyText"/>
        <w:numPr>
          <w:ilvl w:val="1"/>
          <w:numId w:val="120"/>
        </w:numPr>
      </w:pPr>
      <w:r>
        <w:t>Upload a browser favicon.</w:t>
      </w:r>
    </w:p>
    <w:p>
      <w:pPr>
        <w:pStyle w:val="BodyText"/>
        <w:ind w:left="960"/>
      </w:pPr>
      <w:r>
        <w:t>The favicon, or browser tab icon, is the icon that appears next to the page title in a browser tab.</w:t>
      </w:r>
    </w:p>
    <w:p>
      <w:pPr>
        <w:pStyle w:val="BodyText"/>
        <w:numPr>
          <w:ilvl w:val="1"/>
          <w:numId w:val="120"/>
        </w:numPr>
      </w:pPr>
      <w:r>
        <w:t>Upload a background image for the login page.</w:t>
      </w:r>
    </w:p>
    <w:p>
      <w:pPr>
        <w:pStyle w:val="BodyText"/>
        <w:ind w:left="960"/>
      </w:pPr>
      <w:r>
        <w:t>The layout adapts to screen sizes at 768 px and 544 px. The login background image might fill the full size of the screen and part of it might be hidden below the login form. Depending on the browser window size and screen resolution settings, some parts of the background image might not appear. Consider using a background with a pattern or an image that looks complete even if parts of it do not appear.</w:t>
      </w:r>
    </w:p>
    <w:p>
      <w:pPr>
        <w:pStyle w:val="BodyText"/>
        <w:numPr>
          <w:numId w:val="120"/>
        </w:numPr>
      </w:pPr>
      <w:r>
        <w:t xml:space="preserve">From the left panel, select </w:t>
      </w:r>
      <w:r>
        <w:rPr>
          <w:rStyle w:val="InlineUI"/>
        </w:rPr>
        <w:t>Light Colors</w:t>
      </w:r>
      <w:r>
        <w:t>, and select a color for each element of the light theme.</w:t>
      </w:r>
    </w:p>
    <w:p>
      <w:pPr>
        <w:pStyle w:val="BodyText"/>
        <w:numPr>
          <w:numId w:val="120"/>
        </w:numPr>
      </w:pPr>
      <w:r>
        <w:t xml:space="preserve">From the left panel, select </w:t>
      </w:r>
      <w:r>
        <w:rPr>
          <w:rStyle w:val="InlineUI"/>
        </w:rPr>
        <w:t>Dark Colors</w:t>
      </w:r>
      <w:r>
        <w:t>, and select a color for each element of the dark theme.</w:t>
      </w:r>
    </w:p>
    <w:p>
      <w:pPr>
        <w:pStyle w:val="BodyText"/>
        <w:numPr>
          <w:numId w:val="120"/>
        </w:numPr>
      </w:pPr>
      <w:r>
        <w:t xml:space="preserve">(Optional) </w:t>
      </w:r>
      <w:r>
        <w:t xml:space="preserve">Select the </w:t>
      </w:r>
      <w:r>
        <w:rPr>
          <w:rStyle w:val="InlineUI"/>
        </w:rPr>
        <w:t>Links</w:t>
      </w:r>
      <w:r>
        <w:t xml:space="preserve"> tab and customize the platform links.</w:t>
      </w:r>
    </w:p>
    <w:p>
      <w:pPr>
        <w:pStyle w:val="BodyText"/>
        <w:numPr>
          <w:ilvl w:val="1"/>
          <w:numId w:val="120"/>
        </w:numPr>
      </w:pPr>
      <w:r>
        <w:t>Enter new URLs for the product communities forum and for support requests.</w:t>
      </w:r>
    </w:p>
    <w:p>
      <w:pPr>
        <w:pStyle w:val="BodyText"/>
        <w:numPr>
          <w:ilvl w:val="1"/>
          <w:numId w:val="120"/>
        </w:numPr>
      </w:pPr>
      <w:r>
        <w:t>Add a link to the login page.</w:t>
      </w:r>
    </w:p>
    <w:p>
      <w:pPr>
        <w:pStyle w:val="BodyText"/>
        <w:ind w:left="960"/>
      </w:pPr>
      <w:r>
        <w:t>For example, you can add links to the terms and conditions on your platform, privacy and accessibility information, trademarks, and so on. The custom link appears on the login page below the login button.</w:t>
      </w:r>
    </w:p>
    <w:p>
      <w:pPr>
        <w:pStyle w:val="BodyText"/>
        <w:pBdr>
          <w:top w:val="single" w:sz="8" w:space="2" w:color="D3D3D3"/>
          <w:bottom w:val="single" w:sz="8" w:space="2" w:color="D3D3D3"/>
        </w:pBdr>
        <w:ind w:left="960"/>
      </w:pPr>
      <w:r>
        <w:rPr>
          <w:rStyle w:val="NoteLeadernote"/>
        </w:rPr>
        <w:t>Note</w:t>
        <w:tab/>
      </w:r>
      <w:r>
        <w:t>If you define custom links, the default links do not appear.</w:t>
      </w:r>
    </w:p>
    <w:p>
      <w:pPr>
        <w:pStyle w:val="BodyText"/>
        <w:numPr>
          <w:ilvl w:val="1"/>
          <w:numId w:val="120"/>
        </w:numPr>
      </w:pPr>
      <w:r>
        <w:t>Add a link to the logout page.</w:t>
      </w:r>
    </w:p>
    <w:p>
      <w:pPr>
        <w:pStyle w:val="BodyText"/>
        <w:ind w:left="960"/>
      </w:pPr>
      <w:r>
        <w:t>For example, you can add links to the terms and conditions on your platform, privacy information, accessibility information, trademarks, and so on.</w:t>
      </w:r>
    </w:p>
    <w:p>
      <w:pPr>
        <w:pStyle w:val="BodyText"/>
        <w:pBdr>
          <w:top w:val="single" w:sz="8" w:space="2" w:color="D3D3D3"/>
          <w:bottom w:val="single" w:sz="8" w:space="2" w:color="D3D3D3"/>
        </w:pBdr>
        <w:ind w:left="960"/>
      </w:pPr>
      <w:r>
        <w:rPr>
          <w:rStyle w:val="NoteLeadernote"/>
        </w:rPr>
        <w:t>Note</w:t>
        <w:tab/>
      </w:r>
      <w:r>
        <w:t>If you define custom links, the default links do not appear.</w:t>
      </w:r>
    </w:p>
    <w:p>
      <w:pPr>
        <w:pStyle w:val="BodyText"/>
        <w:numPr>
          <w:numId w:val="120"/>
        </w:numPr>
      </w:pPr>
      <w:r>
        <w:t xml:space="preserve">Click </w:t>
      </w:r>
      <w:r>
        <w:rPr>
          <w:rStyle w:val="InlineUI"/>
        </w:rPr>
        <w:t>Save</w:t>
      </w:r>
      <w:r>
        <w:t>.</w:t>
      </w:r>
    </w:p>
    <w:p>
      <w:pPr>
        <w:pStyle w:val="BodyText"/>
      </w:pPr>
      <w:r>
        <w:rPr>
          <w:rStyle w:val="Strong"/>
        </w:rPr>
        <w:t>What to do next</w:t>
      </w:r>
    </w:p>
    <w:p>
      <w:pPr>
        <w:pStyle w:val="BodyText"/>
      </w:pPr>
      <w:r>
        <w:t xml:space="preserve">From the </w:t>
      </w:r>
      <w:r>
        <w:rPr>
          <w:rStyle w:val="InlineUI"/>
        </w:rPr>
        <w:t>Actions</w:t>
      </w:r>
      <w:r>
        <w:t xml:space="preserve"> menu on the theme, you can make the theme a default one, assign the theme to an organization, export, clone, and delete the theme. You can assign to </w:t>
      </w:r>
      <w:r>
        <w:t>VCF Automation</w:t>
      </w:r>
      <w:r>
        <w:t xml:space="preserve"> a theme different from the default theme.</w:t>
      </w:r>
    </w:p>
    <w:p>
      <w:pPr>
        <w:pStyle w:val="BodyText"/>
      </w:pPr>
      <w:r>
        <w:t xml:space="preserve">The default theme changes affect all organizations apart from the ones with specifically assigned themes through the </w:t>
      </w:r>
      <w:r>
        <w:rPr>
          <w:rStyle w:val="InlineUI"/>
        </w:rPr>
        <w:t>Assign</w:t>
      </w:r>
      <w:r>
        <w:t xml:space="preserve"> option.</w:t>
      </w:r>
    </w:p>
    <w:p>
      <w:pPr>
        <w:pStyle w:val="BodyText"/>
      </w:pPr>
      <w:r>
        <w:t xml:space="preserve">If an assigned theme becomes the default, it stops being explicitly assigned to organizations. When you change the default theme, </w:t>
      </w:r>
      <w:r>
        <w:t>VCF Automation</w:t>
      </w:r>
      <w:r>
        <w:t xml:space="preserve"> removes it from all organizations to which the theme was assigned to and replaces it with the new default.</w:t>
      </w:r>
    </w:p>
    <w:p>
      <w:pPr>
        <w:pStyle w:val="Heading3"/>
      </w:pPr>
      <w:bookmarkStart w:id="164" w:name="_Toc256000554"/>
      <w:r>
        <w:t>Import a Custom VCF Automation Portal Theme</w:t>
      </w:r>
      <w:bookmarkEnd w:id="164"/>
    </w:p>
    <w:p>
      <w:pPr>
        <w:pStyle w:val="BodyText"/>
      </w:pPr>
      <w:r>
        <w:t xml:space="preserve">You can export a custom portal theme from one </w:t>
      </w:r>
      <w:r>
        <w:t>VCF Automation</w:t>
      </w:r>
      <w:r>
        <w:t xml:space="preserve"> site and import it to another site.</w:t>
      </w:r>
    </w:p>
    <w:p>
      <w:pPr>
        <w:pStyle w:val="BodyText"/>
      </w:pPr>
      <w:r>
        <w:rPr>
          <w:rStyle w:val="Strong"/>
        </w:rPr>
        <w:t>Prerequisites</w:t>
      </w:r>
    </w:p>
    <w:p>
      <w:pPr>
        <w:pStyle w:val="BodyText"/>
        <w:numPr>
          <w:numId w:val="121"/>
        </w:numPr>
      </w:pPr>
      <w:r>
        <w:t xml:space="preserve">Verify that you have an exported theme ZIP file. You can export an existing theme from its </w:t>
      </w:r>
      <w:r>
        <w:rPr>
          <w:rStyle w:val="InlineUI"/>
        </w:rPr>
        <w:t>Actions</w:t>
      </w:r>
      <w:r>
        <w:t xml:space="preserve"> menu.</w:t>
      </w:r>
    </w:p>
    <w:p>
      <w:pPr>
        <w:pStyle w:val="BodyText"/>
        <w:numPr>
          <w:numId w:val="121"/>
        </w:numPr>
      </w:pPr>
      <w:r>
        <w:t>If you want to edit manually a ZIP file and use custom CSS for a theme, export the theme ZIP file and extract the file, make CSS changes to the theme, and compress the files to ZIP format again.</w:t>
      </w:r>
    </w:p>
    <w:p>
      <w:pPr>
        <w:pStyle w:val="BodyText"/>
      </w:pPr>
      <w:r>
        <w:rPr>
          <w:rStyle w:val="Strong"/>
        </w:rPr>
        <w:t>Procedure</w:t>
      </w:r>
    </w:p>
    <w:p>
      <w:pPr>
        <w:pStyle w:val="BodyText"/>
        <w:numPr>
          <w:numId w:val="122"/>
        </w:numPr>
      </w:pPr>
      <w:r>
        <w:t xml:space="preserve">Log in to the </w:t>
      </w:r>
      <w:r>
        <w:t>.</w:t>
      </w:r>
    </w:p>
    <w:p>
      <w:pPr>
        <w:pStyle w:val="BodyText"/>
        <w:numPr>
          <w:numId w:val="122"/>
        </w:numPr>
      </w:pPr>
      <w:r>
        <w:t xml:space="preserve">From the left panel, select </w:t>
      </w:r>
      <w:r>
        <w:rPr>
          <w:rStyle w:val="InlineUI"/>
        </w:rPr>
        <w:t>Branding</w:t>
      </w:r>
      <w:r>
        <w:t xml:space="preserve"> and click </w:t>
      </w:r>
      <w:r>
        <w:rPr>
          <w:rStyle w:val="InlineUI"/>
        </w:rPr>
        <w:t>Import</w:t>
      </w:r>
      <w:r>
        <w:t>.</w:t>
      </w:r>
    </w:p>
    <w:p>
      <w:pPr>
        <w:pStyle w:val="BodyText"/>
        <w:numPr>
          <w:numId w:val="122"/>
        </w:numPr>
      </w:pPr>
      <w:r>
        <w:t>Select a name for the theme and a platform name.</w:t>
      </w:r>
    </w:p>
    <w:p>
      <w:pPr>
        <w:pStyle w:val="BodyText"/>
        <w:numPr>
          <w:numId w:val="122"/>
        </w:numPr>
      </w:pPr>
      <w:r>
        <w:t xml:space="preserve">Select a theme ZIP file, and click </w:t>
      </w:r>
      <w:r>
        <w:rPr>
          <w:rStyle w:val="InlineUI"/>
        </w:rPr>
        <w:t>Import</w:t>
      </w:r>
      <w:r>
        <w:t>.</w:t>
      </w:r>
    </w:p>
    <w:p>
      <w:pPr>
        <w:pStyle w:val="BodyText"/>
      </w:pPr>
      <w:r>
        <w:rPr>
          <w:rStyle w:val="Strong"/>
        </w:rPr>
        <w:t>Results</w:t>
      </w:r>
    </w:p>
    <w:p>
      <w:pPr>
        <w:pStyle w:val="BodyText"/>
      </w:pPr>
      <w:r>
        <w:t xml:space="preserve">The new theme appears on the </w:t>
      </w:r>
      <w:r>
        <w:rPr>
          <w:rStyle w:val="InlineUI"/>
        </w:rPr>
        <w:t>Branding</w:t>
      </w:r>
      <w:r>
        <w:t xml:space="preserve"> page.</w:t>
      </w:r>
    </w:p>
    <w:p>
      <w:pPr>
        <w:pStyle w:val="BodyText"/>
      </w:pPr>
      <w:r>
        <w:rPr>
          <w:rStyle w:val="Strong"/>
        </w:rPr>
        <w:t>What to do next</w:t>
      </w:r>
    </w:p>
    <w:p>
      <w:pPr>
        <w:pStyle w:val="BodyText"/>
      </w:pPr>
      <w:r>
        <w:t xml:space="preserve">From the </w:t>
      </w:r>
      <w:r>
        <w:rPr>
          <w:rStyle w:val="InlineUI"/>
        </w:rPr>
        <w:t>Actions</w:t>
      </w:r>
      <w:r>
        <w:t xml:space="preserve"> menu on the theme, you can make the theme a default one, assign the theme to an organization, export, clone, and delete the theme.</w:t>
      </w:r>
    </w:p>
    <w:p>
      <w:pPr>
        <w:pStyle w:val="BodyText"/>
      </w:pPr>
      <w:r>
        <w:t xml:space="preserve">The default theme changes affect all organizations apart from the ones with specifically assigned themes through the </w:t>
      </w:r>
      <w:r>
        <w:rPr>
          <w:rStyle w:val="InlineUI"/>
        </w:rPr>
        <w:t>Assign</w:t>
      </w:r>
      <w:r>
        <w:t xml:space="preserve"> option.</w:t>
      </w:r>
    </w:p>
    <w:p>
      <w:pPr>
        <w:pStyle w:val="BodyText"/>
      </w:pPr>
      <w:r>
        <w:t xml:space="preserve">If an assigned theme becomes the default, it stops being explicitly assigned to organizations. When you change the default theme, </w:t>
      </w:r>
      <w:r>
        <w:t>VCF Automation</w:t>
      </w:r>
      <w:r>
        <w:t xml:space="preserve"> removes it from all organizations to which the theme was assigned to and replaces it with the new default.</w:t>
      </w:r>
    </w:p>
    <w:p>
      <w:pPr>
        <w:pStyle w:val="Heading1"/>
      </w:pPr>
      <w:bookmarkStart w:id="165" w:name="B5794acb336c44739a28221bf8424f6d8"/>
      <w:bookmarkStart w:id="166" w:name="_Toc256000555"/>
      <w:r>
        <w:t>Managing Identity Providers in VCF Automation</w:t>
      </w:r>
      <w:bookmarkEnd w:id="166"/>
      <w:bookmarkEnd w:id="165"/>
    </w:p>
    <w:p>
      <w:pPr>
        <w:pStyle w:val="BodyText"/>
      </w:pPr>
      <w:r>
        <w:t xml:space="preserve">You can integrate your </w:t>
      </w:r>
      <w:r>
        <w:t>VCF Automation</w:t>
      </w:r>
      <w:r>
        <w:t xml:space="preserve"> with one or more external identity providers (IdPs), and import users and groups to your organizations. You can configure an LDAP server connection at the system or the organization level, a SAML integration at the organization level, and an OpenID Connect (OIDC) integration at the organization level.</w:t>
      </w:r>
    </w:p>
    <w:p>
      <w:pPr>
        <w:pStyle w:val="BodyText"/>
        <w:pBdr>
          <w:top w:val="single" w:sz="8" w:space="2" w:color="D3D3D3"/>
          <w:bottom w:val="single" w:sz="8" w:space="2" w:color="D3D3D3"/>
        </w:pBdr>
      </w:pPr>
      <w:r>
        <w:rPr>
          <w:rStyle w:val="NoteLeadernote"/>
        </w:rPr>
        <w:t>Note</w:t>
        <w:tab/>
      </w:r>
      <w:r>
        <w:t>To determine the correct values and settings and to ensure proper and accurate configuration, see also the product documentation of those identity providers.</w:t>
      </w:r>
    </w:p>
    <w:p>
      <w:pPr>
        <w:pStyle w:val="BodyText"/>
      </w:pPr>
      <w:r>
        <w:t xml:space="preserve">You can also use the </w:t>
      </w:r>
      <w:r>
        <w:t>VCF Operations</w:t>
      </w:r>
      <w:r>
        <w:t xml:space="preserve"> provider identity configuration, making VIDB the identity provider. See </w:t>
      </w:r>
      <w:r>
        <w:t>VCF Single Sign-On Models</w:t>
      </w:r>
      <w:r>
        <w:t xml:space="preserve"> and </w:t>
      </w:r>
      <w:r>
        <w:t>Configuring Single Sign-On</w:t>
      </w:r>
      <w:r>
        <w:t xml:space="preserve">. If you already have an OIDC connection for the provider organization, you cannot connect to </w:t>
      </w:r>
      <w:r>
        <w:t xml:space="preserve"> Single Sign-On (SSO). You must remove the OIDC configuration to configure </w:t>
      </w:r>
      <w:r>
        <w:t xml:space="preserve"> SSO. If you configure </w:t>
      </w:r>
      <w:r>
        <w:t xml:space="preserve"> SSO, a </w:t>
      </w:r>
      <w:r>
        <w:rPr>
          <w:rStyle w:val="InlineUI"/>
        </w:rPr>
        <w:t>VCF SSO</w:t>
      </w:r>
      <w:r>
        <w:t xml:space="preserve"> tab replaces the </w:t>
      </w:r>
      <w:r>
        <w:rPr>
          <w:rStyle w:val="InlineUI"/>
        </w:rPr>
        <w:t>OIDC</w:t>
      </w:r>
      <w:r>
        <w:t xml:space="preserve"> tab on the </w:t>
      </w:r>
      <w:r>
        <w:rPr>
          <w:rStyle w:val="InlineUI"/>
        </w:rPr>
        <w:t>Identity Providers</w:t>
      </w:r>
      <w:r>
        <w:t xml:space="preserve"> page.</w:t>
      </w:r>
    </w:p>
    <w:p>
      <w:pPr>
        <w:pStyle w:val="BodyText"/>
      </w:pPr>
      <w:r>
        <w:t xml:space="preserve">An organization can define an identity provider that it shares with other applications. Users authenticate to the identity provider to obtain a token that they can then use to log in to the organization. Such a strategy can enable an enterprise to provide access to multiple, unrelated services, including </w:t>
      </w:r>
      <w:r>
        <w:t>VCF Automation</w:t>
      </w:r>
      <w:r>
        <w:t>, with a single set of credentials, an arrangement often referred to as single sign-on.</w:t>
      </w:r>
    </w:p>
    <w:p>
      <w:pPr>
        <w:pStyle w:val="BodyText"/>
      </w:pPr>
      <w:r>
        <w:t xml:space="preserve">You can integrate your </w:t>
      </w:r>
      <w:r>
        <w:t>VCF Automation</w:t>
      </w:r>
      <w:r>
        <w:t xml:space="preserve"> organizations with more than one identity provider. You must not have identical user names across IdPs. You can have only one integration per IdP technology. For example, you can have one LDAP, one SAML, and one OpenID Connect (OIDC) integration simultaneously. The login page displays all configured sign-in options and to make the login more user friendly, you can customize the button labels from the IdP edit pages.</w:t>
      </w:r>
    </w:p>
    <w:p>
      <w:pPr>
        <w:pStyle w:val="Heading2"/>
      </w:pPr>
      <w:bookmarkStart w:id="167" w:name="_Toc256000556"/>
      <w:r>
        <w:t>Managing LDAP Connections in Your VCF Automation</w:t>
      </w:r>
      <w:bookmarkEnd w:id="167"/>
    </w:p>
    <w:p>
      <w:pPr>
        <w:pStyle w:val="BodyText"/>
      </w:pPr>
      <w:r>
        <w:t xml:space="preserve">As a </w:t>
      </w:r>
      <w:r>
        <w:rPr>
          <w:rStyle w:val="InlineUI"/>
        </w:rPr>
        <w:t>Provider administrator</w:t>
      </w:r>
      <w:r>
        <w:t xml:space="preserve">, you can configure your </w:t>
      </w:r>
      <w:r>
        <w:t>VCF Automation</w:t>
      </w:r>
      <w:r>
        <w:t xml:space="preserve"> system organization and any other organizations in the system to use an LDAP server as a source of users and groups. The organizations can use either the system LDAP connection or a private LDAP connection.</w:t>
      </w:r>
    </w:p>
    <w:p>
      <w:pPr>
        <w:pStyle w:val="BodyText"/>
        <w:pBdr>
          <w:top w:val="single" w:sz="8" w:space="2" w:color="D3D3D3"/>
          <w:bottom w:val="single" w:sz="8" w:space="2" w:color="D3D3D3"/>
        </w:pBdr>
      </w:pPr>
      <w:r>
        <w:rPr>
          <w:rStyle w:val="NoteLeadernote"/>
        </w:rPr>
        <w:t>Note</w:t>
        <w:tab/>
      </w:r>
      <w:r>
        <w:t xml:space="preserve">You can use </w:t>
      </w:r>
      <w:r>
        <w:t xml:space="preserve"> Single Sign-On (SSO) instead of configuring your </w:t>
      </w:r>
      <w:r>
        <w:t>VCF Automation</w:t>
      </w:r>
      <w:r>
        <w:t xml:space="preserve"> organizations to use an LDAP server.</w:t>
      </w:r>
    </w:p>
    <w:p>
      <w:pPr>
        <w:pStyle w:val="BodyText"/>
      </w:pPr>
      <w:r>
        <w:t xml:space="preserve"> has a centralized, tenant-aware storage area for certificate management. This way, </w:t>
      </w:r>
      <w:r>
        <w:t xml:space="preserve"> centralizes all certificates in one place so that</w:t>
      </w:r>
      <w:r>
        <w:rPr>
          <w:rStyle w:val="InlineUI"/>
        </w:rPr>
        <w:t>system administrators</w:t>
      </w:r>
      <w:r>
        <w:t xml:space="preserve"> and</w:t>
      </w:r>
      <w:r>
        <w:rPr>
          <w:rStyle w:val="InlineUI"/>
        </w:rPr>
        <w:t>organization administrators</w:t>
      </w:r>
      <w:r>
        <w:t xml:space="preserve"> can view, audit, and manage all certificates in use by various components in the system. You can use the </w:t>
      </w:r>
      <w:r>
        <w:t xml:space="preserve"> API to add, update, or remove certificates from the new tenant-aware storage area. See </w:t>
      </w:r>
      <w:r>
        <w:t>VCF Automation</w:t>
      </w:r>
      <w:r>
        <w:rPr>
          <w:rStyle w:val="InlineCite"/>
        </w:rPr>
        <w:t xml:space="preserve"> API Schema Reference</w:t>
      </w:r>
      <w:r>
        <w:t>.</w:t>
      </w:r>
    </w:p>
    <w:p>
      <w:pPr>
        <w:pStyle w:val="BodyText"/>
      </w:pPr>
      <w:r>
        <w:t xml:space="preserve">When adding or editing a new LDAP server endpoint, you can use the </w:t>
      </w:r>
      <w:r>
        <w:t>VCF Automation</w:t>
      </w:r>
      <w:r>
        <w:t xml:space="preserve"> UI to test a remote connection to an endpoint and to establish a trust relationship.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Beb2e5b2b04d44a238f87991d98bb6ff5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Test the VCF Automation Connection to a Remote Server and Establish a Trust Relationship Using the Provider Management Portal</w:t>
      </w:r>
      <w:r>
        <w:fldChar w:fldCharType="end"/>
      </w:r>
      <w:r>
        <w:t xml:space="preserve">. </w:t>
      </w:r>
      <w:r>
        <w:t>VCF Automation</w:t>
      </w:r>
      <w:r>
        <w:t xml:space="preserve"> adds any certificate you decide to trust to a centralized certificate storage area.</w:t>
      </w:r>
    </w:p>
    <w:p>
      <w:pPr>
        <w:pStyle w:val="BodyText"/>
        <w:pBdr>
          <w:top w:val="single" w:sz="8" w:space="2" w:color="D3D3D3"/>
          <w:bottom w:val="single" w:sz="8" w:space="2" w:color="D3D3D3"/>
        </w:pBdr>
      </w:pPr>
      <w:r>
        <w:rPr>
          <w:rStyle w:val="NoteLeadernote"/>
        </w:rPr>
        <w:t>Note</w:t>
        <w:tab/>
      </w:r>
      <w:r>
        <w:t>To determine the correct values and settings and to ensure proper and accurate configuration, see also the product documentation of those identity providers.</w:t>
      </w:r>
    </w:p>
    <w:p>
      <w:pPr>
        <w:pStyle w:val="Heading3"/>
      </w:pPr>
      <w:bookmarkStart w:id="168" w:name="B31b81e65b10a46c5b1b478b7fa4b913a"/>
      <w:bookmarkStart w:id="169" w:name="_Toc256000557"/>
      <w:r>
        <w:t>Configure a System LDAP Connection in Your VCF Automation</w:t>
      </w:r>
      <w:bookmarkEnd w:id="169"/>
      <w:bookmarkEnd w:id="168"/>
    </w:p>
    <w:p>
      <w:pPr>
        <w:pStyle w:val="BodyText"/>
      </w:pPr>
      <w:r>
        <w:t xml:space="preserve">To provide </w:t>
      </w:r>
      <w:r>
        <w:t>VCF Automation</w:t>
      </w:r>
      <w:r>
        <w:t xml:space="preserve"> and its organizations with shared access to users and groups, you can configure an LDAP connection at a system level.</w:t>
      </w:r>
    </w:p>
    <w:p>
      <w:pPr>
        <w:pStyle w:val="BodyText"/>
        <w:pBdr>
          <w:top w:val="single" w:sz="8" w:space="2" w:color="D3D3D3"/>
          <w:bottom w:val="single" w:sz="8" w:space="2" w:color="D3D3D3"/>
        </w:pBdr>
      </w:pPr>
      <w:r>
        <w:rPr>
          <w:rStyle w:val="NoteLeadernote"/>
        </w:rPr>
        <w:t>Note</w:t>
        <w:tab/>
      </w:r>
      <w:r>
        <w:t xml:space="preserve">You can use </w:t>
      </w:r>
      <w:r>
        <w:t xml:space="preserve"> Single Sign-On (SSO) instead of configuring your </w:t>
      </w:r>
      <w:r>
        <w:t>VCF Automation</w:t>
      </w:r>
      <w:r>
        <w:t xml:space="preserve"> organizations to use an LDAP server.</w:t>
      </w:r>
    </w:p>
    <w:p>
      <w:pPr>
        <w:pStyle w:val="BodyText"/>
      </w:pPr>
      <w:r>
        <w:rPr>
          <w:rStyle w:val="Strong"/>
        </w:rPr>
        <w:t>Procedure</w:t>
      </w:r>
    </w:p>
    <w:p>
      <w:pPr>
        <w:pStyle w:val="BodyText"/>
        <w:numPr>
          <w:numId w:val="123"/>
        </w:numPr>
      </w:pPr>
      <w:r>
        <w:t xml:space="preserve">Log in to the </w:t>
      </w:r>
      <w:r>
        <w:t>.</w:t>
      </w:r>
    </w:p>
    <w:p>
      <w:pPr>
        <w:pStyle w:val="BodyText"/>
        <w:numPr>
          <w:numId w:val="123"/>
        </w:numPr>
      </w:pPr>
      <w:r>
        <w:t xml:space="preserve">From the left navigation panel, under Administration, select </w:t>
      </w:r>
      <w:r>
        <w:rPr>
          <w:rStyle w:val="InlineUI"/>
        </w:rPr>
        <w:t>Identity Providers</w:t>
      </w:r>
      <w:r>
        <w:t>.</w:t>
      </w:r>
    </w:p>
    <w:p>
      <w:pPr>
        <w:pStyle w:val="BodyText"/>
        <w:numPr>
          <w:numId w:val="123"/>
        </w:numPr>
      </w:pPr>
      <w:r>
        <w:t xml:space="preserve">On the </w:t>
      </w:r>
      <w:r>
        <w:rPr>
          <w:rStyle w:val="InlineUI"/>
        </w:rPr>
        <w:t>Identity Providers</w:t>
      </w:r>
      <w:r>
        <w:t xml:space="preserve"> page, select the </w:t>
      </w:r>
      <w:r>
        <w:rPr>
          <w:rStyle w:val="InlineUI"/>
        </w:rPr>
        <w:t>LDAP</w:t>
      </w:r>
      <w:r>
        <w:t xml:space="preserve"> tab.</w:t>
      </w:r>
    </w:p>
    <w:p>
      <w:pPr>
        <w:pStyle w:val="BodyText"/>
        <w:ind w:left="480"/>
      </w:pPr>
      <w:r>
        <w:t>The current LDAP settings appear.</w:t>
      </w:r>
    </w:p>
    <w:p>
      <w:pPr>
        <w:pStyle w:val="BodyText"/>
        <w:numPr>
          <w:numId w:val="123"/>
        </w:numPr>
      </w:pPr>
      <w:r>
        <w:t xml:space="preserve">Click </w:t>
      </w:r>
      <w:r>
        <w:rPr>
          <w:rStyle w:val="InlineUI"/>
        </w:rPr>
        <w:t>Configure</w:t>
      </w:r>
      <w:r>
        <w:t>.</w:t>
      </w:r>
    </w:p>
    <w:p>
      <w:pPr>
        <w:pStyle w:val="BodyText"/>
        <w:numPr>
          <w:numId w:val="123"/>
        </w:numPr>
      </w:pPr>
      <w:r>
        <w:t xml:space="preserve">In the </w:t>
      </w:r>
      <w:r>
        <w:rPr>
          <w:rStyle w:val="InlineUI"/>
        </w:rPr>
        <w:t>Connection</w:t>
      </w:r>
      <w:r>
        <w:t xml:space="preserve"> tab, enter the required information for the LDAP connection.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40"/>
        <w:gridCol w:w="222"/>
        <w:gridCol w:w="70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Required Information</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Server</w:t>
            </w:r>
          </w:p>
        </w:tc>
        <w:tc>
          <w:tcPr>
            <w:tcBorders>
              <w:left w:val="nil"/>
              <w:right w:val="nil"/>
            </w:tcBorders>
          </w:tcPr>
          <w:p>
            <w:pPr>
              <w:pStyle w:val="TableBodyText"/>
            </w:pPr>
          </w:p>
        </w:tc>
        <w:tc>
          <w:tcPr>
            <w:tcBorders>
              <w:left w:val="nil"/>
              <w:right w:val="nil"/>
            </w:tcBorders>
          </w:tcPr>
          <w:p>
            <w:pPr>
              <w:pStyle w:val="TableBodyText"/>
            </w:pPr>
            <w:r>
              <w:t>The host name or IP address of the LDAP server.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Port</w:t>
            </w:r>
          </w:p>
        </w:tc>
        <w:tc>
          <w:tcPr>
            <w:tcBorders>
              <w:left w:val="nil"/>
              <w:right w:val="nil"/>
            </w:tcBorders>
          </w:tcPr>
          <w:p>
            <w:pPr>
              <w:pStyle w:val="TableBodyText"/>
            </w:pPr>
          </w:p>
        </w:tc>
        <w:tc>
          <w:tcPr>
            <w:tcBorders>
              <w:left w:val="nil"/>
              <w:right w:val="nil"/>
            </w:tcBorders>
          </w:tcPr>
          <w:p>
            <w:pPr>
              <w:pStyle w:val="TableBodyText"/>
            </w:pPr>
            <w:r>
              <w:t>The port number on which the LDAP server is listening.</w:t>
            </w:r>
          </w:p>
          <w:p>
            <w:pPr>
              <w:pStyle w:val="TableBodyText"/>
            </w:pPr>
            <w:r>
              <w:t>For LDAP, the default port number is 389. For LDAPS, the default port number is 636.</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Base distinguished name</w:t>
            </w:r>
          </w:p>
        </w:tc>
        <w:tc>
          <w:tcPr>
            <w:tcBorders>
              <w:left w:val="nil"/>
              <w:right w:val="nil"/>
            </w:tcBorders>
          </w:tcPr>
          <w:p>
            <w:pPr>
              <w:pStyle w:val="TableBodyText"/>
            </w:pPr>
          </w:p>
        </w:tc>
        <w:tc>
          <w:tcPr>
            <w:tcBorders>
              <w:left w:val="nil"/>
              <w:right w:val="nil"/>
            </w:tcBorders>
          </w:tcPr>
          <w:p>
            <w:pPr>
              <w:pStyle w:val="TableBodyText"/>
            </w:pPr>
            <w:r>
              <w:t xml:space="preserve">The base distinguished name (DN) is the location in the LDAP directory where </w:t>
            </w:r>
            <w:r>
              <w:t>VCF Automation</w:t>
            </w:r>
            <w:r>
              <w:t xml:space="preserve"> to connect.</w:t>
            </w:r>
          </w:p>
          <w:p>
            <w:pPr>
              <w:pStyle w:val="TableBodyText"/>
            </w:pPr>
            <w:r>
              <w:t xml:space="preserve">To connect at root level, enter only the domain components, for example, </w:t>
            </w:r>
            <w:r>
              <w:t>DC=example,DC=com</w:t>
            </w:r>
            <w:r>
              <w:t>.</w:t>
            </w:r>
          </w:p>
          <w:p>
            <w:pPr>
              <w:pStyle w:val="TableBodyText"/>
            </w:pPr>
            <w:r>
              <w:t xml:space="preserve">To connect to a node in the domain tree structure, enter the distinguished name for that node, for example, </w:t>
            </w:r>
            <w:r>
              <w:t>OU=ServiceDirector,DC=example,DC=com</w:t>
            </w:r>
            <w:r>
              <w:t>.</w:t>
            </w:r>
          </w:p>
          <w:p>
            <w:pPr>
              <w:pStyle w:val="TableBodyText"/>
            </w:pPr>
            <w:r>
              <w:t xml:space="preserve">Connecting to a node limits the scope of the directory available to </w:t>
            </w:r>
            <w:r>
              <w:t>VCF Automation</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Connector type</w:t>
            </w:r>
          </w:p>
        </w:tc>
        <w:tc>
          <w:tcPr>
            <w:tcBorders>
              <w:left w:val="nil"/>
              <w:right w:val="nil"/>
            </w:tcBorders>
          </w:tcPr>
          <w:p>
            <w:pPr>
              <w:pStyle w:val="TableBodyText"/>
            </w:pPr>
          </w:p>
        </w:tc>
        <w:tc>
          <w:tcPr>
            <w:tcBorders>
              <w:left w:val="nil"/>
              <w:right w:val="nil"/>
            </w:tcBorders>
          </w:tcPr>
          <w:p>
            <w:pPr>
              <w:pStyle w:val="TableBodyText"/>
            </w:pPr>
            <w:r>
              <w:t xml:space="preserve">The type of your LDAP server. Can be </w:t>
            </w:r>
            <w:r>
              <w:rPr>
                <w:rStyle w:val="InlineUI"/>
              </w:rPr>
              <w:t>Active Directory</w:t>
            </w:r>
            <w:r>
              <w:t xml:space="preserve"> or </w:t>
            </w:r>
            <w:r>
              <w:rPr>
                <w:rStyle w:val="InlineUI"/>
              </w:rPr>
              <w:t>OpenLDAP</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Use SSL</w:t>
            </w:r>
          </w:p>
        </w:tc>
        <w:tc>
          <w:tcPr>
            <w:tcBorders>
              <w:left w:val="nil"/>
              <w:right w:val="nil"/>
            </w:tcBorders>
          </w:tcPr>
          <w:p>
            <w:pPr>
              <w:pStyle w:val="TableBodyText"/>
            </w:pPr>
          </w:p>
        </w:tc>
        <w:tc>
          <w:tcPr>
            <w:tcBorders>
              <w:left w:val="nil"/>
              <w:right w:val="nil"/>
            </w:tcBorders>
          </w:tcPr>
          <w:p>
            <w:pPr>
              <w:pStyle w:val="TableBodyText"/>
            </w:pPr>
            <w:r>
              <w:t>If your server is LDAPS, select this check box.</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Authentication method</w:t>
            </w:r>
          </w:p>
        </w:tc>
        <w:tc>
          <w:tcPr>
            <w:tcBorders>
              <w:left w:val="nil"/>
              <w:right w:val="nil"/>
            </w:tcBorders>
          </w:tcPr>
          <w:p>
            <w:pPr>
              <w:pStyle w:val="TableBodyText"/>
            </w:pPr>
          </w:p>
        </w:tc>
        <w:tc>
          <w:tcPr>
            <w:tcBorders>
              <w:left w:val="nil"/>
              <w:right w:val="nil"/>
            </w:tcBorders>
          </w:tcPr>
          <w:p>
            <w:pPr>
              <w:pStyle w:val="TableBodyText"/>
            </w:pPr>
            <w:r>
              <w:t>Simple authentication consists of sending the user's DN and password to the LDAP server. If you are using LDAP, the LDAP password is sent over the network in plain text.</w:t>
            </w:r>
          </w:p>
          <w:p>
            <w:pPr>
              <w:pStyle w:val="TableBodyText"/>
            </w:pPr>
            <w:r>
              <w:t>If you want to use Kerberos, you must configure the LDAP connection by using the vCloud API.</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User name</w:t>
            </w:r>
          </w:p>
        </w:tc>
        <w:tc>
          <w:tcPr>
            <w:tcBorders>
              <w:left w:val="nil"/>
              <w:right w:val="nil"/>
            </w:tcBorders>
          </w:tcPr>
          <w:p>
            <w:pPr>
              <w:pStyle w:val="TableBodyText"/>
            </w:pPr>
          </w:p>
        </w:tc>
        <w:tc>
          <w:tcPr>
            <w:tcBorders>
              <w:left w:val="nil"/>
              <w:right w:val="nil"/>
            </w:tcBorders>
          </w:tcPr>
          <w:p>
            <w:pPr>
              <w:pStyle w:val="TableBodyText"/>
            </w:pPr>
            <w:r>
              <w:t xml:space="preserve">Enter the full LDAP distinguished name (DN) of a service account with domain admin rights. </w:t>
            </w:r>
            <w:r>
              <w:t>VCF Automation</w:t>
            </w:r>
            <w:r>
              <w:t xml:space="preserve"> uses this account to query the LDAP directory and retrieve user information.</w:t>
            </w:r>
          </w:p>
          <w:p>
            <w:pPr>
              <w:pStyle w:val="TableBodyText"/>
            </w:pPr>
            <w:r>
              <w:t>If the anonymous read support is enabled on your LDAP server, you can leave these text boxes blank.</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Password</w:t>
            </w:r>
          </w:p>
        </w:tc>
        <w:tc>
          <w:tcPr>
            <w:tcBorders>
              <w:left w:val="nil"/>
              <w:right w:val="nil"/>
            </w:tcBorders>
          </w:tcPr>
          <w:p>
            <w:pPr>
              <w:pStyle w:val="TableBodyText"/>
            </w:pPr>
          </w:p>
        </w:tc>
        <w:tc>
          <w:tcPr>
            <w:tcBorders>
              <w:left w:val="nil"/>
              <w:right w:val="nil"/>
            </w:tcBorders>
          </w:tcPr>
          <w:p>
            <w:pPr>
              <w:pStyle w:val="TableBodyText"/>
            </w:pPr>
            <w:r>
              <w:t>The password for the service account that connects to the LDAP server.</w:t>
            </w:r>
          </w:p>
          <w:p>
            <w:pPr>
              <w:pStyle w:val="TableBodyText"/>
            </w:pPr>
            <w:r>
              <w:t>If the anonymous read support is enabled on your LDAP server, you can leave these text boxes blank.</w:t>
            </w:r>
          </w:p>
        </w:tc>
      </w:tr>
    </w:tbl>
    <w:p>
      <w:pPr>
        <w:pStyle w:val="BodyText"/>
        <w:numPr>
          <w:numId w:val="123"/>
        </w:numPr>
        <w:spacing w:before="240"/>
      </w:pPr>
      <w:r>
        <w:t xml:space="preserve">Click the </w:t>
      </w:r>
      <w:r>
        <w:rPr>
          <w:rStyle w:val="InlineUI"/>
        </w:rPr>
        <w:t>User Attributes</w:t>
      </w:r>
      <w:r>
        <w:t xml:space="preserve"> tab, examine the default values for the user attributes, and, if your LDAP directory uses different schema, modify the values.</w:t>
      </w:r>
    </w:p>
    <w:p>
      <w:pPr>
        <w:pStyle w:val="BodyText"/>
        <w:numPr>
          <w:numId w:val="123"/>
        </w:numPr>
      </w:pPr>
      <w:r>
        <w:t xml:space="preserve">Click the </w:t>
      </w:r>
      <w:r>
        <w:rPr>
          <w:rStyle w:val="InlineUI"/>
        </w:rPr>
        <w:t>Group Attributes</w:t>
      </w:r>
      <w:r>
        <w:t xml:space="preserve"> tab, examine the default values for the group attributes, and, if your LDAP directory uses different schema, modify the values.</w:t>
      </w:r>
    </w:p>
    <w:p>
      <w:pPr>
        <w:pStyle w:val="BodyText"/>
        <w:numPr>
          <w:numId w:val="123"/>
        </w:numPr>
      </w:pPr>
      <w:r>
        <w:t xml:space="preserve">If you want to customize the </w:t>
      </w:r>
      <w:r>
        <w:rPr>
          <w:rStyle w:val="InlineUI"/>
        </w:rPr>
        <w:t>Sign in with LDAP</w:t>
      </w:r>
      <w:r>
        <w:t xml:space="preserve"> button label that appears on the </w:t>
      </w:r>
      <w:r>
        <w:t>VCF Automation</w:t>
      </w:r>
      <w:r>
        <w:t xml:space="preserve"> login page, enter a new custom button text.</w:t>
      </w:r>
    </w:p>
    <w:p>
      <w:pPr>
        <w:pStyle w:val="BodyText"/>
        <w:ind w:left="480"/>
      </w:pPr>
      <w:r>
        <w:t>You can enter up to 24 symbols. You can use special characters and accented letters. If you want to revert to the default text, delete the custom label. The default button label is localized, and depending on your browser language settings, the text might appear in a different language. Custom labels always appear as you enter them.</w:t>
      </w:r>
    </w:p>
    <w:p>
      <w:pPr>
        <w:pStyle w:val="BodyText"/>
        <w:numPr>
          <w:numId w:val="123"/>
        </w:numPr>
      </w:pPr>
      <w:r>
        <w:t xml:space="preserve">Click </w:t>
      </w:r>
      <w:r>
        <w:rPr>
          <w:rStyle w:val="InlineUI"/>
        </w:rPr>
        <w:t>Save</w:t>
      </w:r>
      <w:r>
        <w:t>.</w:t>
      </w:r>
    </w:p>
    <w:p>
      <w:pPr>
        <w:pStyle w:val="BodyText"/>
        <w:numPr>
          <w:numId w:val="123"/>
        </w:numPr>
      </w:pPr>
      <w:r>
        <w:t xml:space="preserve">If you selected the </w:t>
      </w:r>
      <w:r>
        <w:rPr>
          <w:rStyle w:val="InlineUI"/>
        </w:rPr>
        <w:t>Use SSL</w:t>
      </w:r>
      <w:r>
        <w:t xml:space="preserve"> check box, and if the certificate of the LDAPS server is not yet trusted, on the </w:t>
      </w:r>
      <w:r>
        <w:rPr>
          <w:rStyle w:val="InlineUI"/>
        </w:rPr>
        <w:t>Trust Certificate</w:t>
      </w:r>
      <w:r>
        <w:t xml:space="preserve"> window, confirm if you trust the certificate presented by the server endpoint.</w:t>
      </w:r>
    </w:p>
    <w:p>
      <w:pPr>
        <w:pStyle w:val="BodyText"/>
        <w:numPr>
          <w:numId w:val="123"/>
        </w:numPr>
      </w:pPr>
      <w:r>
        <w:t>To test the LDAP connection settings and the LDAP attribute mappings:</w:t>
      </w:r>
    </w:p>
    <w:p>
      <w:pPr>
        <w:pStyle w:val="BodyText"/>
        <w:numPr>
          <w:ilvl w:val="1"/>
          <w:numId w:val="123"/>
        </w:numPr>
      </w:pPr>
      <w:r>
        <w:t xml:space="preserve">Click </w:t>
      </w:r>
      <w:r>
        <w:rPr>
          <w:rStyle w:val="InlineUI"/>
        </w:rPr>
        <w:t>Test</w:t>
      </w:r>
      <w:r>
        <w:t>.</w:t>
      </w:r>
    </w:p>
    <w:p>
      <w:pPr>
        <w:pStyle w:val="BodyText"/>
        <w:numPr>
          <w:ilvl w:val="1"/>
          <w:numId w:val="123"/>
        </w:numPr>
      </w:pPr>
      <w:r>
        <w:t xml:space="preserve">Enter the password of the LDAP server user that you configured and click </w:t>
      </w:r>
      <w:r>
        <w:rPr>
          <w:rStyle w:val="InlineUI"/>
        </w:rPr>
        <w:t>Test</w:t>
      </w:r>
      <w:r>
        <w:t>.</w:t>
      </w:r>
    </w:p>
    <w:p>
      <w:pPr>
        <w:pStyle w:val="BodyText"/>
        <w:ind w:left="960"/>
      </w:pPr>
      <w:r>
        <w:t>If connected successfully, a green check mark is displayed.</w:t>
      </w:r>
    </w:p>
    <w:p>
      <w:pPr>
        <w:pStyle w:val="BodyText"/>
        <w:ind w:left="960"/>
      </w:pPr>
      <w:r>
        <w:t>The retrieved user and group attribute values are displayed in a table. The values that are successfully mapped to LDAP attributes are marked with green check marks. The values that are not mapped LDAP attributes are blank and marked with red exclamation marks.</w:t>
      </w:r>
    </w:p>
    <w:p>
      <w:pPr>
        <w:pStyle w:val="BodyText"/>
        <w:numPr>
          <w:ilvl w:val="1"/>
          <w:numId w:val="123"/>
        </w:numPr>
      </w:pPr>
      <w:r>
        <w:t xml:space="preserve">To exit, click </w:t>
      </w:r>
      <w:r>
        <w:rPr>
          <w:rStyle w:val="InlineUI"/>
        </w:rPr>
        <w:t>Cancel</w:t>
      </w:r>
      <w:r>
        <w:t>.</w:t>
      </w:r>
    </w:p>
    <w:p>
      <w:pPr>
        <w:pStyle w:val="BodyText"/>
        <w:numPr>
          <w:numId w:val="123"/>
        </w:numPr>
      </w:pPr>
      <w:r>
        <w:t xml:space="preserve">To synchronize </w:t>
      </w:r>
      <w:r>
        <w:t>VCF Automation</w:t>
      </w:r>
      <w:r>
        <w:t xml:space="preserve"> with the configured LDAP server, click </w:t>
      </w:r>
      <w:r>
        <w:rPr>
          <w:rStyle w:val="InlineUI"/>
        </w:rPr>
        <w:t>Sync</w:t>
      </w:r>
      <w:r>
        <w:t>.</w:t>
      </w:r>
    </w:p>
    <w:p>
      <w:pPr>
        <w:pStyle w:val="BodyText"/>
        <w:ind w:left="480"/>
      </w:pPr>
      <w:r>
        <w:t>VCF Automation</w:t>
      </w:r>
      <w:r>
        <w:t xml:space="preserve"> synchronizes the user and group information with the LDAP server regularly depending on the synchronization interval that you set in the general system settings.</w:t>
      </w:r>
    </w:p>
    <w:p>
      <w:pPr>
        <w:pStyle w:val="BodyText"/>
        <w:ind w:left="480"/>
      </w:pPr>
      <w:r>
        <w:t>Wait a few minutes for the synchronization to finish.</w:t>
      </w:r>
    </w:p>
    <w:p>
      <w:pPr>
        <w:pStyle w:val="BodyText"/>
      </w:pPr>
      <w:r>
        <w:rPr>
          <w:rStyle w:val="Strong"/>
        </w:rPr>
        <w:t>What to do next</w:t>
      </w:r>
    </w:p>
    <w:p>
      <w:pPr>
        <w:pStyle w:val="BodyText"/>
      </w:pPr>
      <w:r>
        <w:t>You can import users and groups from the newly configured LDAP server.</w:t>
      </w:r>
    </w:p>
    <w:p>
      <w:pPr>
        <w:pStyle w:val="Heading3"/>
      </w:pPr>
      <w:bookmarkStart w:id="170" w:name="_Toc256000558"/>
      <w:r>
        <w:t>Configure an Organization LDAP Connection in Your VCF Automation</w:t>
      </w:r>
      <w:bookmarkEnd w:id="170"/>
    </w:p>
    <w:p>
      <w:pPr>
        <w:pStyle w:val="BodyText"/>
      </w:pPr>
      <w:r>
        <w:t xml:space="preserve">As a </w:t>
      </w:r>
      <w:r>
        <w:rPr>
          <w:rStyle w:val="InlineUI"/>
        </w:rPr>
        <w:t>Provider Administrator</w:t>
      </w:r>
      <w:r>
        <w:t xml:space="preserve">, you can configure a </w:t>
      </w:r>
      <w:r>
        <w:t>VCF Automation</w:t>
      </w:r>
      <w:r>
        <w:t xml:space="preserve"> organization to use the system LDAP connection as a shared source of users and groups. You can configure an organization to use a separate LDAP connection as a private source of users and groups.</w:t>
      </w:r>
    </w:p>
    <w:p>
      <w:pPr>
        <w:pStyle w:val="BodyText"/>
      </w:pPr>
      <w:r>
        <w:rPr>
          <w:rStyle w:val="Strong"/>
        </w:rPr>
        <w:t>Procedure</w:t>
      </w:r>
    </w:p>
    <w:p>
      <w:pPr>
        <w:pStyle w:val="BodyText"/>
        <w:numPr>
          <w:numId w:val="124"/>
        </w:numPr>
      </w:pPr>
      <w:r>
        <w:t xml:space="preserve">Log in to the </w:t>
      </w:r>
      <w:r>
        <w:t>.</w:t>
      </w:r>
    </w:p>
    <w:p>
      <w:pPr>
        <w:pStyle w:val="BodyText"/>
        <w:numPr>
          <w:numId w:val="124"/>
        </w:numPr>
      </w:pPr>
      <w:r>
        <w:t xml:space="preserve">From the left navigation panel, select </w:t>
      </w:r>
      <w:r>
        <w:rPr>
          <w:rStyle w:val="InlineUI"/>
        </w:rPr>
        <w:t>Organizations</w:t>
      </w:r>
      <w:r>
        <w:t>.</w:t>
      </w:r>
    </w:p>
    <w:p>
      <w:pPr>
        <w:pStyle w:val="BodyText"/>
        <w:numPr>
          <w:numId w:val="124"/>
        </w:numPr>
      </w:pPr>
      <w:r>
        <w:t xml:space="preserve">Click the name of the target organization, and click </w:t>
      </w:r>
      <w:r>
        <w:rPr>
          <w:rStyle w:val="InlineUI"/>
        </w:rPr>
        <w:t>Launch Organization Portal</w:t>
      </w:r>
      <w:r>
        <w:t>.</w:t>
      </w:r>
    </w:p>
    <w:p>
      <w:pPr>
        <w:pStyle w:val="BodyText"/>
        <w:numPr>
          <w:numId w:val="124"/>
        </w:numPr>
      </w:pPr>
      <w:r>
        <w:t xml:space="preserve">From the top navigation bar of the </w:t>
      </w:r>
      <w:r>
        <w:t>VCF Automation</w:t>
      </w:r>
      <w:r>
        <w:t xml:space="preserve"> organization UI, select </w:t>
      </w:r>
      <w:r>
        <w:rPr>
          <w:rStyle w:val="InlineUI"/>
        </w:rPr>
        <w:t>Administer</w:t>
      </w:r>
      <w:r>
        <w:t>.</w:t>
      </w:r>
    </w:p>
    <w:p>
      <w:pPr>
        <w:pStyle w:val="BodyText"/>
        <w:numPr>
          <w:numId w:val="124"/>
        </w:numPr>
      </w:pPr>
      <w:r>
        <w:t xml:space="preserve">From the left navigation panel, select </w:t>
      </w:r>
      <w:r>
        <w:rPr>
          <w:rStyle w:val="InlineUI"/>
        </w:rPr>
        <w:t>Identity Providers</w:t>
      </w:r>
      <w:r>
        <w:t xml:space="preserve">, and select </w:t>
      </w:r>
      <w:r>
        <w:rPr>
          <w:rStyle w:val="InlineUI"/>
        </w:rPr>
        <w:t>LDAP</w:t>
      </w:r>
      <w:r>
        <w:t>.</w:t>
      </w:r>
    </w:p>
    <w:p>
      <w:pPr>
        <w:pStyle w:val="BodyText"/>
        <w:numPr>
          <w:numId w:val="124"/>
        </w:numPr>
      </w:pPr>
      <w:r>
        <w:t xml:space="preserve">On the </w:t>
      </w:r>
      <w:r>
        <w:rPr>
          <w:rStyle w:val="InlineUI"/>
        </w:rPr>
        <w:t>LDAP Options</w:t>
      </w:r>
      <w:r>
        <w:t xml:space="preserve"> tab, click </w:t>
      </w:r>
      <w:r>
        <w:rPr>
          <w:rStyle w:val="InlineUI"/>
        </w:rPr>
        <w:t>Configure</w:t>
      </w:r>
      <w:r>
        <w:t xml:space="preserve"> for initial configuration, or </w:t>
      </w:r>
      <w:r>
        <w:rPr>
          <w:rStyle w:val="InlineUI"/>
        </w:rPr>
        <w:t>Edit</w:t>
      </w:r>
      <w:r>
        <w:t xml:space="preserve"> for reconfiguring the LDAP connection..</w:t>
      </w:r>
    </w:p>
    <w:p>
      <w:pPr>
        <w:pStyle w:val="BodyText"/>
        <w:numPr>
          <w:numId w:val="124"/>
        </w:numPr>
      </w:pPr>
      <w:r>
        <w:t xml:space="preserve">Configure the LDAP source of users and groups for this organization, and click </w:t>
      </w:r>
      <w:r>
        <w:rPr>
          <w:rStyle w:val="InlineUI"/>
        </w:rPr>
        <w:t>Save</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29"/>
        <w:gridCol w:w="665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Do not use LDAP</w:t>
            </w:r>
          </w:p>
        </w:tc>
        <w:tc>
          <w:tcPr>
            <w:tcBorders>
              <w:left w:val="nil"/>
              <w:right w:val="nil"/>
            </w:tcBorders>
          </w:tcPr>
          <w:p>
            <w:pPr>
              <w:pStyle w:val="TableBodyText"/>
            </w:pPr>
            <w:r>
              <w:t>The organization does not use an LDAP server as a source of organization users and groups.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VCF Automation system LDAP service</w:t>
            </w:r>
          </w:p>
        </w:tc>
        <w:tc>
          <w:tcPr>
            <w:tcBorders>
              <w:left w:val="nil"/>
              <w:right w:val="nil"/>
            </w:tcBorders>
          </w:tcPr>
          <w:p>
            <w:pPr>
              <w:pStyle w:val="TableBodyText"/>
            </w:pPr>
            <w:r>
              <w:t xml:space="preserve">The organization uses the </w:t>
            </w:r>
            <w:r>
              <w:t>VCF Automation</w:t>
            </w:r>
            <w:r>
              <w:t xml:space="preserve"> system LDAP connection that you previously configured.</w:t>
            </w:r>
          </w:p>
          <w:p>
            <w:pPr>
              <w:pStyle w:val="TableBodyText"/>
            </w:pPr>
            <w:r>
              <w:t xml:space="preserve">See </w:t>
            </w:r>
            <w:r>
              <w:t>Configure a System LDAP Connection in Your VCF Automation</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Custom LDAP service</w:t>
            </w:r>
          </w:p>
        </w:tc>
        <w:tc>
          <w:tcPr>
            <w:tcBorders>
              <w:left w:val="nil"/>
              <w:right w:val="nil"/>
            </w:tcBorders>
          </w:tcPr>
          <w:p>
            <w:pPr>
              <w:pStyle w:val="TableBodyText"/>
            </w:pPr>
            <w:r>
              <w:t>The organization uses a private LDAP server as a source of organization users and groups.</w:t>
            </w:r>
          </w:p>
          <w:p>
            <w:pPr>
              <w:pStyle w:val="TableBodyText"/>
            </w:pPr>
            <w:r>
              <w:t xml:space="preserve">Click the </w:t>
            </w:r>
            <w:r>
              <w:rPr>
                <w:rStyle w:val="InlineUI"/>
              </w:rPr>
              <w:t>Custom LDAP</w:t>
            </w:r>
            <w:r>
              <w:t xml:space="preserve"> tab and </w:t>
            </w:r>
            <w:r>
              <w:t>Edit, Test, and Synchronize an LDAP Connection Using Your VCF Automation Provider Management Portal</w:t>
            </w:r>
            <w:r>
              <w:t>.</w:t>
            </w:r>
          </w:p>
        </w:tc>
      </w:tr>
    </w:tbl>
    <w:p>
      <w:pPr>
        <w:pStyle w:val="Heading3"/>
        <w:spacing w:before="320"/>
      </w:pPr>
      <w:bookmarkStart w:id="171" w:name="Be78b09efaf7d45baada9f7879b3bf9cf"/>
      <w:bookmarkStart w:id="172" w:name="_Toc256000559"/>
      <w:r>
        <w:t>Edit, Test, and Synchronize an LDAP Connection Using Your VCF Automation Provider Management Portal</w:t>
      </w:r>
      <w:bookmarkEnd w:id="172"/>
      <w:bookmarkEnd w:id="171"/>
    </w:p>
    <w:p>
      <w:pPr>
        <w:pStyle w:val="BodyText"/>
      </w:pPr>
      <w:r>
        <w:t>To configure an LDAP connection, you set the details of your LDAP server. You can test the connection to make sure that you entered the correct settings and the user and group attributes are mapped correctly. When you have a successful LDAP connection, you can synchronize the user and group information with the LDAP server at any time.</w:t>
      </w:r>
    </w:p>
    <w:p>
      <w:pPr>
        <w:pStyle w:val="BodyText"/>
      </w:pPr>
      <w:r>
        <w:rPr>
          <w:rStyle w:val="Strong"/>
        </w:rPr>
        <w:t>Prerequisites</w:t>
      </w:r>
    </w:p>
    <w:p>
      <w:pPr>
        <w:pStyle w:val="BodyText"/>
        <w:numPr>
          <w:numId w:val="125"/>
        </w:numPr>
      </w:pPr>
      <w:r>
        <w:t xml:space="preserve">If you plan to connect to an LDAP server over SSL (LDAPS), verify that the certificate of your LDAP server is compliant with the Endpoint Identification introduced in Java 8 Update 181. The common name (CN) or the subject alternative name (SAN) of the certificate must match the FQDN of the LDAP server. For more information, see the </w:t>
      </w:r>
      <w:r>
        <w:rPr>
          <w:rStyle w:val="InlineCite"/>
        </w:rPr>
        <w:t>Java 8 Release Changes</w:t>
      </w:r>
      <w:r>
        <w:t xml:space="preserve"> at </w:t>
      </w:r>
      <w:hyperlink r:id="rId17" w:tooltip="https://www.java.com" w:history="1">
        <w:r>
          <w:rPr>
            <w:color w:val="0000FF"/>
            <w:u w:val="single"/>
          </w:rPr>
          <w:t>https://www.java.com</w:t>
        </w:r>
      </w:hyperlink>
      <w:r>
        <w:t>.</w:t>
      </w:r>
    </w:p>
    <w:p>
      <w:pPr>
        <w:pStyle w:val="BodyText"/>
        <w:numPr>
          <w:numId w:val="125"/>
        </w:numPr>
      </w:pPr>
      <w:r>
        <w:t xml:space="preserve">If you want to use SSL, you can test the connection to the LDAP server and establish a trust relationship with it.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Beb2e5b2b04d44a238f87991d98bb6ff5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Test the VCF Automation Connection to a Remote Server and Establish a Trust Relationship Using the Provider Management Portal</w:t>
      </w:r>
      <w:r>
        <w:fldChar w:fldCharType="end"/>
      </w:r>
      <w:r>
        <w:t>.</w:t>
      </w:r>
    </w:p>
    <w:p>
      <w:pPr>
        <w:pStyle w:val="BodyText"/>
      </w:pPr>
      <w:r>
        <w:rPr>
          <w:rStyle w:val="Strong"/>
        </w:rPr>
        <w:t>Procedure</w:t>
      </w:r>
    </w:p>
    <w:p>
      <w:pPr>
        <w:pStyle w:val="BodyText"/>
        <w:numPr>
          <w:numId w:val="126"/>
        </w:numPr>
      </w:pPr>
      <w:r>
        <w:t xml:space="preserve">Log in to the </w:t>
      </w:r>
      <w:r>
        <w:t>.</w:t>
      </w:r>
    </w:p>
    <w:p>
      <w:pPr>
        <w:pStyle w:val="BodyText"/>
        <w:numPr>
          <w:numId w:val="126"/>
        </w:numPr>
      </w:pPr>
      <w:r>
        <w:t xml:space="preserve">From the left navigation panel, select </w:t>
      </w:r>
      <w:r>
        <w:rPr>
          <w:rStyle w:val="InlineUI"/>
        </w:rPr>
        <w:t>Identity Providers</w:t>
      </w:r>
      <w:r>
        <w:t>.</w:t>
      </w:r>
    </w:p>
    <w:p>
      <w:pPr>
        <w:pStyle w:val="BodyText"/>
        <w:numPr>
          <w:numId w:val="126"/>
        </w:numPr>
      </w:pPr>
      <w:r>
        <w:t xml:space="preserve">Select </w:t>
      </w:r>
      <w:r>
        <w:rPr>
          <w:rStyle w:val="InlineUI"/>
        </w:rPr>
        <w:t>LDAP</w:t>
      </w:r>
      <w:r>
        <w:t>.</w:t>
      </w:r>
    </w:p>
    <w:p>
      <w:pPr>
        <w:pStyle w:val="BodyText"/>
        <w:ind w:left="480"/>
      </w:pPr>
      <w:r>
        <w:t>The current LDAP settings appear.</w:t>
      </w:r>
    </w:p>
    <w:p>
      <w:pPr>
        <w:pStyle w:val="BodyText"/>
        <w:numPr>
          <w:numId w:val="126"/>
        </w:numPr>
      </w:pPr>
      <w:r>
        <w:t xml:space="preserve">On the </w:t>
      </w:r>
      <w:r>
        <w:rPr>
          <w:rStyle w:val="InlineUI"/>
        </w:rPr>
        <w:t>Custom LDAP</w:t>
      </w:r>
      <w:r>
        <w:t xml:space="preserve"> tab, click </w:t>
      </w:r>
      <w:r>
        <w:rPr>
          <w:rStyle w:val="InlineUI"/>
        </w:rPr>
        <w:t>Edit</w:t>
      </w:r>
      <w:r>
        <w:t>.</w:t>
      </w:r>
    </w:p>
    <w:p>
      <w:pPr>
        <w:pStyle w:val="BodyText"/>
        <w:numPr>
          <w:numId w:val="126"/>
        </w:numPr>
      </w:pPr>
      <w:r>
        <w:t xml:space="preserve">In the </w:t>
      </w:r>
      <w:r>
        <w:rPr>
          <w:rStyle w:val="InlineUI"/>
        </w:rPr>
        <w:t>Connection</w:t>
      </w:r>
      <w:r>
        <w:t xml:space="preserve"> tab, enter the required information for the LDAP connection.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40"/>
        <w:gridCol w:w="222"/>
        <w:gridCol w:w="70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Required Information</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Server</w:t>
            </w:r>
          </w:p>
        </w:tc>
        <w:tc>
          <w:tcPr>
            <w:tcBorders>
              <w:left w:val="nil"/>
              <w:right w:val="nil"/>
            </w:tcBorders>
          </w:tcPr>
          <w:p>
            <w:pPr>
              <w:pStyle w:val="TableBodyText"/>
            </w:pPr>
          </w:p>
        </w:tc>
        <w:tc>
          <w:tcPr>
            <w:tcBorders>
              <w:left w:val="nil"/>
              <w:right w:val="nil"/>
            </w:tcBorders>
          </w:tcPr>
          <w:p>
            <w:pPr>
              <w:pStyle w:val="TableBodyText"/>
            </w:pPr>
            <w:r>
              <w:t>The host name or IP address of the LDAP server.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Port</w:t>
            </w:r>
          </w:p>
        </w:tc>
        <w:tc>
          <w:tcPr>
            <w:tcBorders>
              <w:left w:val="nil"/>
              <w:right w:val="nil"/>
            </w:tcBorders>
          </w:tcPr>
          <w:p>
            <w:pPr>
              <w:pStyle w:val="TableBodyText"/>
            </w:pPr>
          </w:p>
        </w:tc>
        <w:tc>
          <w:tcPr>
            <w:tcBorders>
              <w:left w:val="nil"/>
              <w:right w:val="nil"/>
            </w:tcBorders>
          </w:tcPr>
          <w:p>
            <w:pPr>
              <w:pStyle w:val="TableBodyText"/>
            </w:pPr>
            <w:r>
              <w:t>The port number on which the LDAP server is listening.</w:t>
            </w:r>
          </w:p>
          <w:p>
            <w:pPr>
              <w:pStyle w:val="TableBodyText"/>
            </w:pPr>
            <w:r>
              <w:t>For LDAP, the default port number is 389. For LDAPS, the default port number is 636.</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Base distinguished name</w:t>
            </w:r>
          </w:p>
        </w:tc>
        <w:tc>
          <w:tcPr>
            <w:tcBorders>
              <w:left w:val="nil"/>
              <w:right w:val="nil"/>
            </w:tcBorders>
          </w:tcPr>
          <w:p>
            <w:pPr>
              <w:pStyle w:val="TableBodyText"/>
            </w:pPr>
          </w:p>
        </w:tc>
        <w:tc>
          <w:tcPr>
            <w:tcBorders>
              <w:left w:val="nil"/>
              <w:right w:val="nil"/>
            </w:tcBorders>
          </w:tcPr>
          <w:p>
            <w:pPr>
              <w:pStyle w:val="TableBodyText"/>
            </w:pPr>
            <w:r>
              <w:t xml:space="preserve">The base distinguished name (DN) is the location in the LDAP directory where </w:t>
            </w:r>
            <w:r>
              <w:t>VCF Automation</w:t>
            </w:r>
            <w:r>
              <w:t xml:space="preserve"> to connect.</w:t>
            </w:r>
          </w:p>
          <w:p>
            <w:pPr>
              <w:pStyle w:val="TableBodyText"/>
            </w:pPr>
            <w:r>
              <w:t xml:space="preserve">To connect at root level, enter only the domain components, for example, </w:t>
            </w:r>
            <w:r>
              <w:t>DC=example,DC=com</w:t>
            </w:r>
            <w:r>
              <w:t>.</w:t>
            </w:r>
          </w:p>
          <w:p>
            <w:pPr>
              <w:pStyle w:val="TableBodyText"/>
            </w:pPr>
            <w:r>
              <w:t xml:space="preserve">To connect to a node in the domain tree structure, enter the distinguished name for that node, for example, </w:t>
            </w:r>
            <w:r>
              <w:t>OU=ServiceDirector,DC=example,DC=com</w:t>
            </w:r>
            <w:r>
              <w:t>.</w:t>
            </w:r>
          </w:p>
          <w:p>
            <w:pPr>
              <w:pStyle w:val="TableBodyText"/>
            </w:pPr>
            <w:r>
              <w:t xml:space="preserve">Connecting to a node limits the scope of the directory available to </w:t>
            </w:r>
            <w:r>
              <w:t>VCF Automation</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Connector type</w:t>
            </w:r>
          </w:p>
        </w:tc>
        <w:tc>
          <w:tcPr>
            <w:tcBorders>
              <w:left w:val="nil"/>
              <w:right w:val="nil"/>
            </w:tcBorders>
          </w:tcPr>
          <w:p>
            <w:pPr>
              <w:pStyle w:val="TableBodyText"/>
            </w:pPr>
          </w:p>
        </w:tc>
        <w:tc>
          <w:tcPr>
            <w:tcBorders>
              <w:left w:val="nil"/>
              <w:right w:val="nil"/>
            </w:tcBorders>
          </w:tcPr>
          <w:p>
            <w:pPr>
              <w:pStyle w:val="TableBodyText"/>
            </w:pPr>
            <w:r>
              <w:t xml:space="preserve">The type of your LDAP server. Can be </w:t>
            </w:r>
            <w:r>
              <w:rPr>
                <w:rStyle w:val="InlineUI"/>
              </w:rPr>
              <w:t>Active Directory</w:t>
            </w:r>
            <w:r>
              <w:t xml:space="preserve"> or </w:t>
            </w:r>
            <w:r>
              <w:rPr>
                <w:rStyle w:val="InlineUI"/>
              </w:rPr>
              <w:t>OpenLDAP</w:t>
            </w:r>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Use SSL</w:t>
            </w:r>
          </w:p>
        </w:tc>
        <w:tc>
          <w:tcPr>
            <w:tcBorders>
              <w:left w:val="nil"/>
              <w:right w:val="nil"/>
            </w:tcBorders>
          </w:tcPr>
          <w:p>
            <w:pPr>
              <w:pStyle w:val="TableBodyText"/>
            </w:pPr>
          </w:p>
        </w:tc>
        <w:tc>
          <w:tcPr>
            <w:tcBorders>
              <w:left w:val="nil"/>
              <w:right w:val="nil"/>
            </w:tcBorders>
          </w:tcPr>
          <w:p>
            <w:pPr>
              <w:pStyle w:val="TableBodyText"/>
            </w:pPr>
            <w:r>
              <w:t>If your server is LDAPS, select this check box.</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Authentication method</w:t>
            </w:r>
          </w:p>
        </w:tc>
        <w:tc>
          <w:tcPr>
            <w:tcBorders>
              <w:left w:val="nil"/>
              <w:right w:val="nil"/>
            </w:tcBorders>
          </w:tcPr>
          <w:p>
            <w:pPr>
              <w:pStyle w:val="TableBodyText"/>
            </w:pPr>
          </w:p>
        </w:tc>
        <w:tc>
          <w:tcPr>
            <w:tcBorders>
              <w:left w:val="nil"/>
              <w:right w:val="nil"/>
            </w:tcBorders>
          </w:tcPr>
          <w:p>
            <w:pPr>
              <w:pStyle w:val="TableBodyText"/>
            </w:pPr>
            <w:r>
              <w:t>Simple authentication consists of sending the user's DN and password to the LDAP server. If you are using LDAP, the LDAP password is sent over the network in plain text.</w:t>
            </w:r>
          </w:p>
          <w:p>
            <w:pPr>
              <w:pStyle w:val="TableBodyText"/>
            </w:pPr>
            <w:r>
              <w:t>If you want to use Kerberos, you must configure the LDAP connection by using the vCloud API.</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User name</w:t>
            </w:r>
          </w:p>
        </w:tc>
        <w:tc>
          <w:tcPr>
            <w:tcBorders>
              <w:left w:val="nil"/>
              <w:right w:val="nil"/>
            </w:tcBorders>
          </w:tcPr>
          <w:p>
            <w:pPr>
              <w:pStyle w:val="TableBodyText"/>
            </w:pPr>
          </w:p>
        </w:tc>
        <w:tc>
          <w:tcPr>
            <w:tcBorders>
              <w:left w:val="nil"/>
              <w:right w:val="nil"/>
            </w:tcBorders>
          </w:tcPr>
          <w:p>
            <w:pPr>
              <w:pStyle w:val="TableBodyText"/>
            </w:pPr>
            <w:r>
              <w:t xml:space="preserve">Enter the full LDAP distinguished name (DN) of a service account with domain admin rights. </w:t>
            </w:r>
            <w:r>
              <w:t>VCF Automation</w:t>
            </w:r>
            <w:r>
              <w:t xml:space="preserve"> uses this account to query the LDAP directory and retrieve user information.</w:t>
            </w:r>
          </w:p>
          <w:p>
            <w:pPr>
              <w:pStyle w:val="TableBodyText"/>
            </w:pPr>
            <w:r>
              <w:t>If the anonymous read support is enabled on your LDAP server, you can leave these text boxes blank.</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Password</w:t>
            </w:r>
          </w:p>
        </w:tc>
        <w:tc>
          <w:tcPr>
            <w:tcBorders>
              <w:left w:val="nil"/>
              <w:right w:val="nil"/>
            </w:tcBorders>
          </w:tcPr>
          <w:p>
            <w:pPr>
              <w:pStyle w:val="TableBodyText"/>
            </w:pPr>
          </w:p>
        </w:tc>
        <w:tc>
          <w:tcPr>
            <w:tcBorders>
              <w:left w:val="nil"/>
              <w:right w:val="nil"/>
            </w:tcBorders>
          </w:tcPr>
          <w:p>
            <w:pPr>
              <w:pStyle w:val="TableBodyText"/>
            </w:pPr>
            <w:r>
              <w:t>The password for the service account that connects to the LDAP server.</w:t>
            </w:r>
          </w:p>
          <w:p>
            <w:pPr>
              <w:pStyle w:val="TableBodyText"/>
            </w:pPr>
            <w:r>
              <w:t>If the anonymous read support is enabled on your LDAP server, you can leave these text boxes blank.</w:t>
            </w:r>
          </w:p>
        </w:tc>
      </w:tr>
    </w:tbl>
    <w:p>
      <w:pPr>
        <w:pStyle w:val="BodyText"/>
        <w:numPr>
          <w:numId w:val="126"/>
        </w:numPr>
        <w:spacing w:before="240"/>
      </w:pPr>
      <w:r>
        <w:t xml:space="preserve">Click the </w:t>
      </w:r>
      <w:r>
        <w:rPr>
          <w:rStyle w:val="InlineUI"/>
        </w:rPr>
        <w:t>User Attributes</w:t>
      </w:r>
      <w:r>
        <w:t xml:space="preserve"> tab, examine the default values for the user attributes, and, if your LDAP directory uses different schema, modify the values.</w:t>
      </w:r>
    </w:p>
    <w:p>
      <w:pPr>
        <w:pStyle w:val="BodyText"/>
        <w:numPr>
          <w:numId w:val="126"/>
        </w:numPr>
      </w:pPr>
      <w:r>
        <w:t xml:space="preserve">Click the </w:t>
      </w:r>
      <w:r>
        <w:rPr>
          <w:rStyle w:val="InlineUI"/>
        </w:rPr>
        <w:t>Group Attributes</w:t>
      </w:r>
      <w:r>
        <w:t xml:space="preserve"> tab, examine the default values for the group attributes, and, if your LDAP directory uses different schema, modify the values.</w:t>
      </w:r>
    </w:p>
    <w:p>
      <w:pPr>
        <w:pStyle w:val="BodyText"/>
        <w:numPr>
          <w:numId w:val="126"/>
        </w:numPr>
      </w:pPr>
      <w:r>
        <w:t xml:space="preserve">If you want to customize the </w:t>
      </w:r>
      <w:r>
        <w:rPr>
          <w:rStyle w:val="InlineUI"/>
        </w:rPr>
        <w:t>Sign in with LDAP</w:t>
      </w:r>
      <w:r>
        <w:t xml:space="preserve"> button label that appears on the </w:t>
      </w:r>
      <w:r>
        <w:t>VCF Automation</w:t>
      </w:r>
      <w:r>
        <w:t xml:space="preserve"> login page, enter a new custom button text.</w:t>
      </w:r>
    </w:p>
    <w:p>
      <w:pPr>
        <w:pStyle w:val="BodyText"/>
        <w:ind w:left="480"/>
      </w:pPr>
      <w:r>
        <w:t>You can enter up to 24 symbols. You can use special characters and accented letters. If you want to revert to the default text, delete the custom label. The default button label is localized, and depending on your browser language settings, the text might appear in a different language. Custom labels always appear as you enter them.</w:t>
      </w:r>
    </w:p>
    <w:p>
      <w:pPr>
        <w:pStyle w:val="BodyText"/>
        <w:numPr>
          <w:numId w:val="126"/>
        </w:numPr>
      </w:pPr>
      <w:r>
        <w:t xml:space="preserve">Click </w:t>
      </w:r>
      <w:r>
        <w:rPr>
          <w:rStyle w:val="InlineUI"/>
        </w:rPr>
        <w:t>Save</w:t>
      </w:r>
      <w:r>
        <w:t>.</w:t>
      </w:r>
    </w:p>
    <w:p>
      <w:pPr>
        <w:pStyle w:val="BodyText"/>
        <w:numPr>
          <w:numId w:val="126"/>
        </w:numPr>
      </w:pPr>
      <w:r>
        <w:t xml:space="preserve">If you selected the </w:t>
      </w:r>
      <w:r>
        <w:rPr>
          <w:rStyle w:val="InlineUI"/>
        </w:rPr>
        <w:t>Use SSL</w:t>
      </w:r>
      <w:r>
        <w:t xml:space="preserve"> check box, and if the certificate of the LDAPS server is not yet trusted, on the </w:t>
      </w:r>
      <w:r>
        <w:rPr>
          <w:rStyle w:val="InlineUI"/>
        </w:rPr>
        <w:t>Trust Certificate</w:t>
      </w:r>
      <w:r>
        <w:t xml:space="preserve"> window, confirm if you trust the certificate presented by the server endpoint.</w:t>
      </w:r>
    </w:p>
    <w:p>
      <w:pPr>
        <w:pStyle w:val="BodyText"/>
        <w:numPr>
          <w:numId w:val="126"/>
        </w:numPr>
      </w:pPr>
      <w:r>
        <w:t>To test the LDAP connection settings and the LDAP attribute mappings:</w:t>
      </w:r>
    </w:p>
    <w:p>
      <w:pPr>
        <w:pStyle w:val="BodyText"/>
        <w:numPr>
          <w:ilvl w:val="1"/>
          <w:numId w:val="126"/>
        </w:numPr>
      </w:pPr>
      <w:r>
        <w:t xml:space="preserve">Click </w:t>
      </w:r>
      <w:r>
        <w:rPr>
          <w:rStyle w:val="InlineUI"/>
        </w:rPr>
        <w:t>Test</w:t>
      </w:r>
    </w:p>
    <w:p>
      <w:pPr>
        <w:pStyle w:val="BodyText"/>
        <w:numPr>
          <w:ilvl w:val="1"/>
          <w:numId w:val="126"/>
        </w:numPr>
      </w:pPr>
      <w:r>
        <w:t xml:space="preserve">Enter the password of the LDAP server user that you configured and click </w:t>
      </w:r>
      <w:r>
        <w:rPr>
          <w:rStyle w:val="InlineUI"/>
        </w:rPr>
        <w:t>Test</w:t>
      </w:r>
      <w:r>
        <w:t>.</w:t>
      </w:r>
    </w:p>
    <w:p>
      <w:pPr>
        <w:pStyle w:val="BodyText"/>
        <w:ind w:left="960"/>
      </w:pPr>
      <w:r>
        <w:t>If connected successfully, a green check mark is displayed.</w:t>
      </w:r>
    </w:p>
    <w:p>
      <w:pPr>
        <w:pStyle w:val="BodyText"/>
        <w:ind w:left="960"/>
      </w:pPr>
      <w:r>
        <w:t>The retrieved user and group attribute values are displayed in a table. The values that are successfully mapped to LDAP attributes are marked with green check marks. The values that are not mapped LDAP attributes are blank and marked with red exclamation marks.</w:t>
      </w:r>
    </w:p>
    <w:p>
      <w:pPr>
        <w:pStyle w:val="BodyText"/>
        <w:numPr>
          <w:ilvl w:val="1"/>
          <w:numId w:val="126"/>
        </w:numPr>
      </w:pPr>
      <w:r>
        <w:t xml:space="preserve">To exit, click </w:t>
      </w:r>
      <w:r>
        <w:rPr>
          <w:rStyle w:val="InlineUI"/>
        </w:rPr>
        <w:t>Cancel</w:t>
      </w:r>
      <w:r>
        <w:t>.</w:t>
      </w:r>
    </w:p>
    <w:p>
      <w:pPr>
        <w:pStyle w:val="BodyText"/>
        <w:numPr>
          <w:numId w:val="126"/>
        </w:numPr>
      </w:pPr>
      <w:r>
        <w:t xml:space="preserve">To synchronize </w:t>
      </w:r>
      <w:r>
        <w:t>VCF Automation</w:t>
      </w:r>
      <w:r>
        <w:t xml:space="preserve"> with the configured LDAP server, click </w:t>
      </w:r>
      <w:r>
        <w:rPr>
          <w:rStyle w:val="InlineUI"/>
        </w:rPr>
        <w:t>Sync</w:t>
      </w:r>
      <w:r>
        <w:t>.</w:t>
      </w:r>
    </w:p>
    <w:p>
      <w:pPr>
        <w:pStyle w:val="BodyText"/>
        <w:ind w:left="480"/>
      </w:pPr>
      <w:r>
        <w:t>VCF Automation</w:t>
      </w:r>
      <w:r>
        <w:t xml:space="preserve"> synchronizes the user and group information with the LDAP server regularly depending on the synchronization interval that you set in the general system settings.</w:t>
      </w:r>
    </w:p>
    <w:p>
      <w:pPr>
        <w:pStyle w:val="BodyText"/>
        <w:ind w:left="480"/>
      </w:pPr>
      <w:r>
        <w:t>Wait a few minutes for the synchronization to finish.</w:t>
      </w:r>
    </w:p>
    <w:p>
      <w:pPr>
        <w:pStyle w:val="BodyText"/>
      </w:pPr>
      <w:r>
        <w:rPr>
          <w:rStyle w:val="Strong"/>
        </w:rPr>
        <w:t>Results</w:t>
      </w:r>
    </w:p>
    <w:p>
      <w:pPr>
        <w:pStyle w:val="BodyText"/>
      </w:pPr>
      <w:r>
        <w:t>You can import users and groups from the newly configured LDAP server.</w:t>
      </w:r>
    </w:p>
    <w:p>
      <w:pPr>
        <w:pStyle w:val="Heading2"/>
      </w:pPr>
      <w:bookmarkStart w:id="173" w:name="Bec1087a718ef4ef1abf2cf7a27f43f48"/>
      <w:bookmarkStart w:id="174" w:name="_Toc256000560"/>
      <w:r>
        <w:t>Configure Your VCF Automation System to Use a SAML Identity Provider</w:t>
      </w:r>
      <w:bookmarkEnd w:id="174"/>
      <w:bookmarkEnd w:id="173"/>
    </w:p>
    <w:p>
      <w:pPr>
        <w:pStyle w:val="BodyText"/>
      </w:pPr>
      <w:r>
        <w:t xml:space="preserve">If you want to import users and groups from a SAML identity provider to your </w:t>
      </w:r>
      <w:r>
        <w:t>VCF Automation</w:t>
      </w:r>
      <w:r>
        <w:rPr>
          <w:rStyle w:val="InlineCode"/>
        </w:rPr>
        <w:t>System</w:t>
      </w:r>
      <w:r>
        <w:t xml:space="preserve"> organization, you must configure the </w:t>
      </w:r>
      <w:r>
        <w:rPr>
          <w:rStyle w:val="InlineCode"/>
        </w:rPr>
        <w:t>System</w:t>
      </w:r>
      <w:r>
        <w:t xml:space="preserve"> organization with this SAML identity provider. Imported users can log in to the </w:t>
      </w:r>
      <w:r>
        <w:rPr>
          <w:rStyle w:val="InlineCode"/>
        </w:rPr>
        <w:t>System</w:t>
      </w:r>
      <w:r>
        <w:t xml:space="preserve"> organization with the credentials established in the SAML identity provider.</w:t>
      </w:r>
    </w:p>
    <w:p>
      <w:pPr>
        <w:pStyle w:val="BodyText"/>
      </w:pPr>
      <w:r>
        <w:t xml:space="preserve">To configure </w:t>
      </w:r>
      <w:r>
        <w:t>VCF Automation</w:t>
      </w:r>
      <w:r>
        <w:t xml:space="preserve"> with a SAML identity provider, you establish a mutual trust by exchanging SAML service provider and identity provider metadata.</w:t>
      </w:r>
    </w:p>
    <w:p>
      <w:pPr>
        <w:pStyle w:val="BodyText"/>
      </w:pPr>
      <w:r>
        <w:t>To determine the correct values and settings and to ensure proper and accurate configuration, see also the product documentation of those identity providers.</w:t>
      </w:r>
    </w:p>
    <w:p>
      <w:pPr>
        <w:pStyle w:val="BodyText"/>
      </w:pPr>
      <w:r>
        <w:t>When an imported user attempts to log in, the system extracts the following attributes from the SAML token, if available, and use them for interpreting the corresponding pieces of information about the user.</w:t>
      </w:r>
    </w:p>
    <w:p>
      <w:pPr>
        <w:pStyle w:val="BodyText"/>
        <w:numPr>
          <w:numId w:val="127"/>
        </w:numPr>
      </w:pPr>
      <w:r>
        <w:rPr>
          <w:rStyle w:val="InlineCode"/>
        </w:rPr>
        <w:t>email address = "EmailAddress"</w:t>
      </w:r>
    </w:p>
    <w:p>
      <w:pPr>
        <w:pStyle w:val="BodyText"/>
        <w:numPr>
          <w:numId w:val="127"/>
        </w:numPr>
      </w:pPr>
      <w:r>
        <w:rPr>
          <w:rStyle w:val="InlineCode"/>
        </w:rPr>
        <w:t>user name = "UserName"</w:t>
      </w:r>
    </w:p>
    <w:p>
      <w:pPr>
        <w:pStyle w:val="BodyText"/>
        <w:numPr>
          <w:numId w:val="127"/>
        </w:numPr>
      </w:pPr>
      <w:r>
        <w:rPr>
          <w:rStyle w:val="InlineCode"/>
        </w:rPr>
        <w:t>full name = "FullName"</w:t>
      </w:r>
    </w:p>
    <w:p>
      <w:pPr>
        <w:pStyle w:val="BodyText"/>
        <w:numPr>
          <w:numId w:val="127"/>
        </w:numPr>
      </w:pPr>
      <w:r>
        <w:rPr>
          <w:rStyle w:val="InlineCode"/>
        </w:rPr>
        <w:t>user's groups = "Groups"</w:t>
      </w:r>
    </w:p>
    <w:p>
      <w:pPr>
        <w:pStyle w:val="BodyText"/>
        <w:numPr>
          <w:numId w:val="127"/>
        </w:numPr>
      </w:pPr>
      <w:r>
        <w:rPr>
          <w:rStyle w:val="InlineCode"/>
        </w:rPr>
        <w:t>user's roles = "Roles"</w:t>
      </w:r>
      <w:r>
        <w:t xml:space="preserve"> (this attribute is configurable)</w:t>
      </w:r>
    </w:p>
    <w:p>
      <w:pPr>
        <w:pStyle w:val="BodyText"/>
      </w:pPr>
      <w:r>
        <w:t>Group information is used if the user is not directly imported but is expected to log in by virtue of membership in imported groups. A user can belong to multiple groups, so can have multiple roles during a session.</w:t>
      </w:r>
    </w:p>
    <w:p>
      <w:pPr>
        <w:pStyle w:val="BodyText"/>
      </w:pPr>
      <w:r>
        <w:t xml:space="preserve">If an imported user or group is assigned the </w:t>
      </w:r>
      <w:r>
        <w:rPr>
          <w:rStyle w:val="InlineUI"/>
        </w:rPr>
        <w:t>Defer to Identity Provider</w:t>
      </w:r>
      <w:r>
        <w:t xml:space="preserve"> role, the roles are assigned based on the information gathered from the </w:t>
      </w:r>
      <w:r>
        <w:rPr>
          <w:rStyle w:val="InlineCode"/>
        </w:rPr>
        <w:t>Roles</w:t>
      </w:r>
      <w:r>
        <w:t xml:space="preserve"> attribute in the token. If a different attribute is used, this attribute name can be configured using API and only the </w:t>
      </w:r>
      <w:r>
        <w:rPr>
          <w:rStyle w:val="InlineCode"/>
        </w:rPr>
        <w:t>Roles</w:t>
      </w:r>
      <w:r>
        <w:t xml:space="preserve"> attribute is configurable. If the </w:t>
      </w:r>
      <w:r>
        <w:rPr>
          <w:rStyle w:val="InlineUI"/>
        </w:rPr>
        <w:t>Defer to Identity Provider</w:t>
      </w:r>
      <w:r>
        <w:t xml:space="preserve"> role is used, but no role information can be extracted, the user can log in but has no any rights to perform any activities.</w:t>
      </w:r>
    </w:p>
    <w:p>
      <w:pPr>
        <w:pStyle w:val="BodyText"/>
      </w:pPr>
      <w:r>
        <w:rPr>
          <w:rStyle w:val="Strong"/>
        </w:rPr>
        <w:t>Prerequisites</w:t>
      </w:r>
    </w:p>
    <w:p>
      <w:pPr>
        <w:pStyle w:val="BodyText"/>
        <w:numPr>
          <w:numId w:val="128"/>
        </w:numPr>
      </w:pPr>
      <w:r>
        <w:t>Verify that you have access to a SAML 2.0 compliant identity provider.</w:t>
      </w:r>
    </w:p>
    <w:p>
      <w:pPr>
        <w:pStyle w:val="BodyText"/>
        <w:numPr>
          <w:numId w:val="128"/>
        </w:numPr>
      </w:pPr>
      <w:r>
        <w:t>Obtain an XML file with the following metadata from your SAML identity provider.</w:t>
      </w:r>
    </w:p>
    <w:p>
      <w:pPr>
        <w:pStyle w:val="BodyText"/>
        <w:numPr>
          <w:ilvl w:val="1"/>
          <w:numId w:val="128"/>
        </w:numPr>
      </w:pPr>
      <w:r>
        <w:t>The location of the single sign-on service</w:t>
      </w:r>
    </w:p>
    <w:p>
      <w:pPr>
        <w:pStyle w:val="BodyText"/>
        <w:numPr>
          <w:ilvl w:val="1"/>
          <w:numId w:val="128"/>
        </w:numPr>
      </w:pPr>
      <w:r>
        <w:t>The location of the single logout service</w:t>
      </w:r>
    </w:p>
    <w:p>
      <w:pPr>
        <w:pStyle w:val="BodyText"/>
        <w:numPr>
          <w:ilvl w:val="1"/>
          <w:numId w:val="128"/>
        </w:numPr>
      </w:pPr>
      <w:r>
        <w:t>The location of the service's X.509 certificate</w:t>
      </w:r>
    </w:p>
    <w:p>
      <w:pPr>
        <w:pStyle w:val="BodyText"/>
        <w:ind w:left="480"/>
      </w:pPr>
      <w:r>
        <w:t>For information on configuring and acquiring metadata from a SAML provider, consult the documentation for your SAML provider.</w:t>
      </w:r>
    </w:p>
    <w:p>
      <w:pPr>
        <w:pStyle w:val="BodyText"/>
      </w:pPr>
      <w:r>
        <w:rPr>
          <w:rStyle w:val="Strong"/>
        </w:rPr>
        <w:t>Procedure</w:t>
      </w:r>
    </w:p>
    <w:p>
      <w:pPr>
        <w:pStyle w:val="BodyText"/>
        <w:numPr>
          <w:numId w:val="129"/>
        </w:numPr>
      </w:pPr>
      <w:r>
        <w:t xml:space="preserve">Log in to the </w:t>
      </w:r>
      <w:r>
        <w:t>.</w:t>
      </w:r>
    </w:p>
    <w:p>
      <w:pPr>
        <w:pStyle w:val="BodyText"/>
        <w:numPr>
          <w:numId w:val="129"/>
        </w:numPr>
      </w:pPr>
      <w:r>
        <w:t xml:space="preserve">From the left navigation panel, select </w:t>
      </w:r>
      <w:r>
        <w:rPr>
          <w:rStyle w:val="InlineUI"/>
        </w:rPr>
        <w:t>Identity Providers</w:t>
      </w:r>
      <w:r>
        <w:t>.</w:t>
      </w:r>
    </w:p>
    <w:p>
      <w:pPr>
        <w:pStyle w:val="BodyText"/>
        <w:numPr>
          <w:numId w:val="129"/>
        </w:numPr>
      </w:pPr>
      <w:r>
        <w:t xml:space="preserve">Select </w:t>
      </w:r>
      <w:r>
        <w:rPr>
          <w:rStyle w:val="InlineUI"/>
        </w:rPr>
        <w:t>SAML</w:t>
      </w:r>
      <w:r>
        <w:t xml:space="preserve">, and click </w:t>
      </w:r>
      <w:r>
        <w:rPr>
          <w:rStyle w:val="InlineUI"/>
        </w:rPr>
        <w:t>Edit</w:t>
      </w:r>
      <w:r>
        <w:t>.</w:t>
      </w:r>
    </w:p>
    <w:p>
      <w:pPr>
        <w:pStyle w:val="BodyText"/>
        <w:ind w:left="480"/>
      </w:pPr>
      <w:r>
        <w:t>The current SAML settings appear.</w:t>
      </w:r>
    </w:p>
    <w:p>
      <w:pPr>
        <w:pStyle w:val="BodyText"/>
        <w:numPr>
          <w:numId w:val="129"/>
        </w:numPr>
      </w:pPr>
      <w:r>
        <w:t xml:space="preserve">From the </w:t>
      </w:r>
      <w:r>
        <w:rPr>
          <w:rStyle w:val="InlineUI"/>
        </w:rPr>
        <w:t>Service Provider</w:t>
      </w:r>
      <w:r>
        <w:t xml:space="preserve"> tab, download the </w:t>
      </w:r>
      <w:r>
        <w:t>VCF Automation</w:t>
      </w:r>
      <w:r>
        <w:t xml:space="preserve"> SAML service provider metadata.</w:t>
      </w:r>
    </w:p>
    <w:p>
      <w:pPr>
        <w:pStyle w:val="BodyText"/>
        <w:numPr>
          <w:ilvl w:val="1"/>
          <w:numId w:val="129"/>
        </w:numPr>
      </w:pPr>
      <w:r>
        <w:t xml:space="preserve">Enter an Entity ID for the </w:t>
      </w:r>
      <w:r>
        <w:rPr>
          <w:rStyle w:val="InlineCode"/>
        </w:rPr>
        <w:t>System</w:t>
      </w:r>
      <w:r>
        <w:t xml:space="preserve"> organization.</w:t>
      </w:r>
    </w:p>
    <w:p>
      <w:pPr>
        <w:pStyle w:val="BodyText"/>
        <w:ind w:left="960"/>
      </w:pPr>
      <w:r>
        <w:t xml:space="preserve">The Entity ID uniquely identifies your </w:t>
      </w:r>
      <w:r>
        <w:rPr>
          <w:rStyle w:val="InlineCode"/>
        </w:rPr>
        <w:t>System</w:t>
      </w:r>
      <w:r>
        <w:t xml:space="preserve"> organization to your Identity Provider.</w:t>
      </w:r>
    </w:p>
    <w:p>
      <w:pPr>
        <w:pStyle w:val="BodyText"/>
        <w:numPr>
          <w:ilvl w:val="1"/>
          <w:numId w:val="129"/>
        </w:numPr>
      </w:pPr>
      <w:r>
        <w:t xml:space="preserve">Examine the certificate expiration date and, if expiring soon, regenerate the certificate by clicking </w:t>
      </w:r>
      <w:r>
        <w:rPr>
          <w:rStyle w:val="InlineUI"/>
        </w:rPr>
        <w:t>Regenerate</w:t>
      </w:r>
      <w:r>
        <w:t>.</w:t>
      </w:r>
    </w:p>
    <w:p>
      <w:pPr>
        <w:pStyle w:val="BodyText"/>
        <w:ind w:left="960"/>
      </w:pPr>
      <w:r>
        <w:t>The certificate is included in the SAML metadata, and is used for both encryption and signing. Either or both of these might be required depending on how trust is established between your organization and your SAML IDP.</w:t>
      </w:r>
    </w:p>
    <w:p>
      <w:pPr>
        <w:pStyle w:val="BodyText"/>
        <w:numPr>
          <w:ilvl w:val="1"/>
          <w:numId w:val="129"/>
        </w:numPr>
      </w:pPr>
      <w:r>
        <w:t xml:space="preserve">Click </w:t>
      </w:r>
      <w:r>
        <w:rPr>
          <w:rStyle w:val="InlineUI"/>
        </w:rPr>
        <w:t>Retrieve Metadata</w:t>
      </w:r>
      <w:r>
        <w:t>.</w:t>
      </w:r>
    </w:p>
    <w:p>
      <w:pPr>
        <w:pStyle w:val="BodyText"/>
        <w:ind w:left="960"/>
      </w:pPr>
      <w:r>
        <w:t>Your browser downloads the SAML service provider metadata, an XML file which you must provide to your identity provider.</w:t>
      </w:r>
    </w:p>
    <w:p>
      <w:pPr>
        <w:pStyle w:val="BodyText"/>
        <w:numPr>
          <w:numId w:val="129"/>
        </w:numPr>
      </w:pPr>
      <w:r>
        <w:t xml:space="preserve">On the </w:t>
      </w:r>
      <w:r>
        <w:rPr>
          <w:rStyle w:val="InlineUI"/>
        </w:rPr>
        <w:t>Identity Provider</w:t>
      </w:r>
      <w:r>
        <w:t xml:space="preserve"> tab, upload the SAML metadata that you previously received from your identity provider.</w:t>
      </w:r>
    </w:p>
    <w:p>
      <w:pPr>
        <w:pStyle w:val="BodyText"/>
        <w:numPr>
          <w:ilvl w:val="1"/>
          <w:numId w:val="129"/>
        </w:numPr>
      </w:pPr>
      <w:r>
        <w:t xml:space="preserve">Select </w:t>
      </w:r>
      <w:r>
        <w:rPr>
          <w:rStyle w:val="InlineUI"/>
        </w:rPr>
        <w:t>Use SAML Identity Provider</w:t>
      </w:r>
      <w:r>
        <w:t>.</w:t>
      </w:r>
    </w:p>
    <w:p>
      <w:pPr>
        <w:pStyle w:val="BodyText"/>
        <w:numPr>
          <w:ilvl w:val="1"/>
          <w:numId w:val="129"/>
        </w:numPr>
      </w:pPr>
      <w:r>
        <w:t xml:space="preserve">Either click the </w:t>
      </w:r>
      <w:r>
        <w:rPr>
          <w:rStyle w:val="InlineUI"/>
        </w:rPr>
        <w:t>Browse</w:t>
      </w:r>
      <w:r>
        <w:t xml:space="preserve"> icon and upload the file, or copy and paste its content in the </w:t>
      </w:r>
      <w:r>
        <w:rPr>
          <w:rStyle w:val="InlineUI"/>
        </w:rPr>
        <w:t>Metadata XML</w:t>
      </w:r>
      <w:r>
        <w:t xml:space="preserve"> text box.</w:t>
      </w:r>
    </w:p>
    <w:p>
      <w:pPr>
        <w:pStyle w:val="BodyText"/>
        <w:numPr>
          <w:numId w:val="129"/>
        </w:numPr>
      </w:pPr>
      <w:r>
        <w:t xml:space="preserve">If you want to customize the </w:t>
      </w:r>
      <w:r>
        <w:rPr>
          <w:rStyle w:val="InlineUI"/>
        </w:rPr>
        <w:t>Sign in with SAML</w:t>
      </w:r>
      <w:r>
        <w:t xml:space="preserve"> button label that appears on the </w:t>
      </w:r>
      <w:r>
        <w:t>VCF Automation</w:t>
      </w:r>
      <w:r>
        <w:t xml:space="preserve"> login page, enter a new custom button text.</w:t>
      </w:r>
    </w:p>
    <w:p>
      <w:pPr>
        <w:pStyle w:val="BodyText"/>
        <w:ind w:left="480"/>
      </w:pPr>
      <w:r>
        <w:t>You can enter up to 24 symbols. You can use special characters and accented letters. If you want to revert to the default text, delete the custom label. The default button label is localized, and depending on your browser language settings, the text might appear in a different language. Custom labels always appear as you enter them.</w:t>
      </w:r>
    </w:p>
    <w:p>
      <w:pPr>
        <w:pStyle w:val="BodyText"/>
        <w:numPr>
          <w:numId w:val="129"/>
        </w:numPr>
      </w:pPr>
      <w:r>
        <w:t xml:space="preserve">Click </w:t>
      </w:r>
      <w:r>
        <w:rPr>
          <w:rStyle w:val="InlineUI"/>
        </w:rPr>
        <w:t>Save</w:t>
      </w:r>
      <w:r>
        <w:t>.</w:t>
      </w:r>
    </w:p>
    <w:p>
      <w:pPr>
        <w:pStyle w:val="Heading2"/>
      </w:pPr>
      <w:bookmarkStart w:id="175" w:name="Bf57b66af9da54dd290e6837ec4625f25"/>
      <w:bookmarkStart w:id="176" w:name="_Toc256000561"/>
      <w:r>
        <w:t>Configure Your System to Use an OpenID Connect Identity Provider Using Your VCF Automation Provider Management Portal</w:t>
      </w:r>
      <w:bookmarkEnd w:id="176"/>
      <w:bookmarkEnd w:id="175"/>
    </w:p>
    <w:p>
      <w:pPr>
        <w:pStyle w:val="BodyText"/>
      </w:pPr>
      <w:r>
        <w:t xml:space="preserve">If you want to import users and groups from an OpenID Connect (OIDC) identity provider to your </w:t>
      </w:r>
      <w:r>
        <w:t>VCF Automation</w:t>
      </w:r>
      <w:r>
        <w:rPr>
          <w:rStyle w:val="InlineCode"/>
        </w:rPr>
        <w:t>System</w:t>
      </w:r>
      <w:r>
        <w:t xml:space="preserve"> organization, you must configure your </w:t>
      </w:r>
      <w:r>
        <w:rPr>
          <w:rStyle w:val="InlineCode"/>
        </w:rPr>
        <w:t>System</w:t>
      </w:r>
      <w:r>
        <w:t xml:space="preserve"> organization with this OIDC identity provider. Imported users can log in to the </w:t>
      </w:r>
      <w:r>
        <w:rPr>
          <w:rStyle w:val="InlineCode"/>
        </w:rPr>
        <w:t>System</w:t>
      </w:r>
      <w:r>
        <w:t xml:space="preserve"> organization with the credentials established in the OIDC identity provider.</w:t>
      </w:r>
    </w:p>
    <w:p>
      <w:pPr>
        <w:pStyle w:val="BodyText"/>
        <w:pBdr>
          <w:top w:val="single" w:sz="8" w:space="2" w:color="D3D3D3"/>
          <w:bottom w:val="single" w:sz="8" w:space="2" w:color="D3D3D3"/>
        </w:pBdr>
      </w:pPr>
      <w:r>
        <w:rPr>
          <w:rStyle w:val="NoteLeadernote"/>
        </w:rPr>
        <w:t>Note</w:t>
        <w:tab/>
      </w:r>
      <w:r>
        <w:t xml:space="preserve">If </w:t>
      </w:r>
      <w:r>
        <w:t xml:space="preserve"> Single Sign-On (SSO) is configured, a </w:t>
      </w:r>
      <w:r>
        <w:rPr>
          <w:rStyle w:val="InlineUI"/>
        </w:rPr>
        <w:t>VCF SSO</w:t>
      </w:r>
      <w:r>
        <w:t xml:space="preserve"> tab replaces the </w:t>
      </w:r>
      <w:r>
        <w:rPr>
          <w:rStyle w:val="InlineUI"/>
        </w:rPr>
        <w:t>OIDC</w:t>
      </w:r>
      <w:r>
        <w:t xml:space="preserve"> tab on the </w:t>
      </w:r>
      <w:r>
        <w:rPr>
          <w:rStyle w:val="InlineUI"/>
        </w:rPr>
        <w:t>Identity Providers</w:t>
      </w:r>
      <w:r>
        <w:t xml:space="preserve"> page.</w:t>
      </w:r>
    </w:p>
    <w:p>
      <w:pPr>
        <w:pStyle w:val="BodyText"/>
      </w:pPr>
      <w:r>
        <w:t xml:space="preserve">OAuth is an open federation standard that delegates user access. OpenID Connect is an authentication layer on top of the OAuth 2.0 protocol. By using OpenID Connect, clients can receive information about authenticated sessions and end-users. The OAuth authentication endpoint must be reachable from the </w:t>
      </w:r>
      <w:r>
        <w:t>VCF Automation</w:t>
      </w:r>
      <w:r>
        <w:t xml:space="preserve"> cells which makes it more suitable when you use public identity providers or provider-managed ones.</w:t>
      </w:r>
    </w:p>
    <w:p>
      <w:pPr>
        <w:pStyle w:val="BodyText"/>
        <w:pBdr>
          <w:top w:val="single" w:sz="8" w:space="2" w:color="D3D3D3"/>
          <w:bottom w:val="single" w:sz="8" w:space="2" w:color="D3D3D3"/>
        </w:pBdr>
      </w:pPr>
      <w:r>
        <w:rPr>
          <w:rStyle w:val="NoteLeaderimportant"/>
        </w:rPr>
        <w:t>Important</w:t>
        <w:tab/>
      </w:r>
      <w:r>
        <w:t xml:space="preserve">Endpoint misconfigurations can lead to user inability to complete the SSO logout from </w:t>
      </w:r>
      <w:r>
        <w:t>VCF Automation</w:t>
      </w:r>
      <w:r>
        <w:t xml:space="preserve">. See </w:t>
      </w:r>
      <w:hyperlink r:id="rId18" w:tooltip="KB article 394731" w:history="1">
        <w:r>
          <w:rPr>
            <w:color w:val="0000FF"/>
            <w:u w:val="single"/>
          </w:rPr>
          <w:t>KB article 394731</w:t>
        </w:r>
      </w:hyperlink>
      <w:r>
        <w:t>.</w:t>
      </w:r>
    </w:p>
    <w:p>
      <w:pPr>
        <w:pStyle w:val="BodyText"/>
      </w:pPr>
      <w:r>
        <w:t>You can allow organizations to generate and issue API access tokens that applications can use on their behalf.</w:t>
      </w:r>
    </w:p>
    <w:p>
      <w:pPr>
        <w:pStyle w:val="BodyText"/>
      </w:pPr>
      <w:r>
        <w:t xml:space="preserve">You can configure </w:t>
      </w:r>
      <w:r>
        <w:t>VCF Automation</w:t>
      </w:r>
      <w:r>
        <w:t xml:space="preserve"> to automatically refresh your OIDC key configurations from the JWKS endpoint you provide. You can configure the frequency of the key refresh process and the rotation strategy that determines whether </w:t>
      </w:r>
      <w:r>
        <w:t>VCF Automation</w:t>
      </w:r>
      <w:r>
        <w:t xml:space="preserve"> adds new keys, replaces the old keys with new, or the old keys expire after a certain period.</w:t>
      </w:r>
    </w:p>
    <w:p>
      <w:pPr>
        <w:pStyle w:val="BodyText"/>
        <w:pBdr>
          <w:top w:val="single" w:sz="8" w:space="2" w:color="D3D3D3"/>
          <w:bottom w:val="single" w:sz="8" w:space="2" w:color="D3D3D3"/>
        </w:pBdr>
      </w:pPr>
      <w:r>
        <w:rPr>
          <w:rStyle w:val="NoteLeadernote"/>
        </w:rPr>
        <w:t>Note</w:t>
        <w:tab/>
      </w:r>
      <w:r>
        <w:t>To determine the correct values and settings and to ensure proper and accurate configuration, see also the product documentation of those identity providers.</w:t>
      </w:r>
    </w:p>
    <w:p>
      <w:pPr>
        <w:pStyle w:val="BodyText"/>
      </w:pPr>
      <w:r>
        <w:t>VCF Automation</w:t>
      </w:r>
      <w:r>
        <w:t xml:space="preserve"> generates audit events for both successful and failed key refreshes under the event topic </w:t>
      </w:r>
      <w:r>
        <w:rPr>
          <w:rStyle w:val="InlineCode"/>
        </w:rPr>
        <w:t>com/vmware/vcloud/event/oidcSettings/keys/modify</w:t>
      </w:r>
      <w:r>
        <w:t>. The audit events for failed key refreshes include additional information about the failure.</w:t>
      </w:r>
    </w:p>
    <w:p>
      <w:pPr>
        <w:pStyle w:val="BodyText"/>
      </w:pPr>
      <w:r>
        <w:rPr>
          <w:rStyle w:val="Strong"/>
        </w:rPr>
        <w:t>Procedure</w:t>
      </w:r>
    </w:p>
    <w:p>
      <w:pPr>
        <w:pStyle w:val="BodyText"/>
        <w:numPr>
          <w:numId w:val="130"/>
        </w:numPr>
      </w:pPr>
      <w:r>
        <w:t xml:space="preserve">Log in to the </w:t>
      </w:r>
      <w:r>
        <w:t>.</w:t>
      </w:r>
    </w:p>
    <w:p>
      <w:pPr>
        <w:pStyle w:val="BodyText"/>
        <w:numPr>
          <w:numId w:val="130"/>
        </w:numPr>
      </w:pPr>
      <w:r>
        <w:t xml:space="preserve">From the left navigation panel, select </w:t>
      </w:r>
      <w:r>
        <w:rPr>
          <w:rStyle w:val="InlineUI"/>
        </w:rPr>
        <w:t>Administration</w:t>
      </w:r>
      <w:r>
        <w:t>.</w:t>
      </w:r>
    </w:p>
    <w:p>
      <w:pPr>
        <w:pStyle w:val="BodyText"/>
        <w:numPr>
          <w:numId w:val="130"/>
        </w:numPr>
      </w:pPr>
      <w:r>
        <w:t xml:space="preserve">In the left panel, under </w:t>
      </w:r>
      <w:r>
        <w:rPr>
          <w:rStyle w:val="InlineUI"/>
        </w:rPr>
        <w:t>Identity Providers</w:t>
      </w:r>
      <w:r>
        <w:t xml:space="preserve">, click </w:t>
      </w:r>
      <w:r>
        <w:rPr>
          <w:rStyle w:val="InlineUI"/>
        </w:rPr>
        <w:t>OIDC</w:t>
      </w:r>
      <w:r>
        <w:t>.</w:t>
      </w:r>
    </w:p>
    <w:p>
      <w:pPr>
        <w:pStyle w:val="BodyText"/>
        <w:numPr>
          <w:numId w:val="130"/>
        </w:numPr>
      </w:pPr>
      <w:r>
        <w:t xml:space="preserve">If you are configuring OIDC for the first time, copy the client configuration redirect URI and use it to create a client application registration with an identity provider that complies with the OpenID Connect standard, for example, </w:t>
      </w:r>
      <w:r>
        <w:t>VMware Cloud Foundation® Identity Broker</w:t>
      </w:r>
      <w:r>
        <w:t>.</w:t>
      </w:r>
    </w:p>
    <w:p>
      <w:pPr>
        <w:pStyle w:val="BodyText"/>
        <w:ind w:left="480"/>
      </w:pPr>
      <w:r>
        <w:t>You need this registration to obtain a client ID and a client secret that you must use during the OIDC identity provider configuration.</w:t>
      </w:r>
    </w:p>
    <w:p>
      <w:pPr>
        <w:pStyle w:val="BodyText"/>
        <w:numPr>
          <w:numId w:val="130"/>
        </w:numPr>
      </w:pPr>
      <w:r>
        <w:t xml:space="preserve">Click </w:t>
      </w:r>
      <w:r>
        <w:rPr>
          <w:rStyle w:val="InlineUI"/>
        </w:rPr>
        <w:t>Configure</w:t>
      </w:r>
      <w:r>
        <w:t>.</w:t>
      </w:r>
    </w:p>
    <w:p>
      <w:pPr>
        <w:pStyle w:val="BodyText"/>
        <w:numPr>
          <w:numId w:val="130"/>
        </w:numPr>
      </w:pPr>
      <w:r>
        <w:t>Verify that OpenID Connect is active, and enter the client ID and client secret information from the OIDC server registration.</w:t>
      </w:r>
    </w:p>
    <w:p>
      <w:pPr>
        <w:pStyle w:val="BodyText"/>
        <w:numPr>
          <w:numId w:val="130"/>
        </w:numPr>
      </w:pPr>
      <w:r>
        <w:t xml:space="preserve">(Optional) </w:t>
      </w:r>
      <w:r>
        <w:t xml:space="preserve">To use the information from a well-known endpoint to automatically fill in the configuration information, turn on the </w:t>
      </w:r>
      <w:r>
        <w:rPr>
          <w:rStyle w:val="InlineUI"/>
        </w:rPr>
        <w:t>Configuration Discovery</w:t>
      </w:r>
      <w:r>
        <w:t xml:space="preserve"> toggle and enter a URL at the site of the provider that </w:t>
      </w:r>
      <w:r>
        <w:t>VCF Automation</w:t>
      </w:r>
      <w:r>
        <w:t xml:space="preserve"> can use to sent authentication requests to.</w:t>
      </w:r>
    </w:p>
    <w:p>
      <w:pPr>
        <w:pStyle w:val="BodyText"/>
        <w:numPr>
          <w:numId w:val="130"/>
        </w:numPr>
      </w:pPr>
      <w:r>
        <w:t xml:space="preserve">Click </w:t>
      </w:r>
      <w:r>
        <w:rPr>
          <w:rStyle w:val="InlineUI"/>
        </w:rPr>
        <w:t>Next</w:t>
      </w:r>
      <w:r>
        <w:t>.</w:t>
      </w:r>
    </w:p>
    <w:p>
      <w:pPr>
        <w:pStyle w:val="BodyText"/>
        <w:numPr>
          <w:numId w:val="130"/>
        </w:numPr>
      </w:pPr>
      <w:r>
        <w:t xml:space="preserve">If you did not use </w:t>
      </w:r>
      <w:r>
        <w:rPr>
          <w:rStyle w:val="InlineUI"/>
        </w:rPr>
        <w:t>Configuration Discovery</w:t>
      </w:r>
      <w:r>
        <w:t xml:space="preserve"> in Step 6, enter the information in the </w:t>
      </w:r>
      <w:r>
        <w:rPr>
          <w:rStyle w:val="InlineUI"/>
        </w:rPr>
        <w:t>Endpoints</w:t>
      </w:r>
      <w:r>
        <w:t xml:space="preserve"> section.</w:t>
      </w:r>
    </w:p>
    <w:p>
      <w:pPr>
        <w:pStyle w:val="BodyText"/>
        <w:numPr>
          <w:ilvl w:val="1"/>
          <w:numId w:val="130"/>
        </w:numPr>
      </w:pPr>
      <w:r>
        <w:t>Enter the endpoint and issuer ID information.</w:t>
      </w:r>
    </w:p>
    <w:p>
      <w:pPr>
        <w:pStyle w:val="BodyText"/>
        <w:numPr>
          <w:ilvl w:val="1"/>
          <w:numId w:val="130"/>
        </w:numPr>
      </w:pPr>
      <w:r>
        <w:t xml:space="preserve">If you are using </w:t>
      </w:r>
      <w:r>
        <w:t>VMware Cloud Foundation® Identity Broker</w:t>
      </w:r>
      <w:r>
        <w:t xml:space="preserve"> as an identity provider, select </w:t>
      </w:r>
      <w:r>
        <w:rPr>
          <w:rStyle w:val="InlineUI"/>
        </w:rPr>
        <w:t>SCIM</w:t>
      </w:r>
      <w:r>
        <w:t xml:space="preserve"> as access type.</w:t>
      </w:r>
    </w:p>
    <w:p>
      <w:pPr>
        <w:pStyle w:val="BodyText"/>
        <w:ind w:left="960"/>
      </w:pPr>
      <w:r>
        <w:t xml:space="preserve">For other identity providers, you can leave the default </w:t>
      </w:r>
      <w:r>
        <w:rPr>
          <w:rStyle w:val="InlineUI"/>
        </w:rPr>
        <w:t>User Info</w:t>
      </w:r>
      <w:r>
        <w:t xml:space="preserve"> selection.</w:t>
      </w:r>
    </w:p>
    <w:p>
      <w:pPr>
        <w:pStyle w:val="BodyText"/>
        <w:numPr>
          <w:ilvl w:val="1"/>
          <w:numId w:val="130"/>
        </w:numPr>
      </w:pPr>
      <w:r>
        <w:t xml:space="preserve">If you want to combine claims from the </w:t>
      </w:r>
      <w:r>
        <w:rPr>
          <w:rStyle w:val="InlineCode"/>
        </w:rPr>
        <w:t>UserInfo</w:t>
      </w:r>
      <w:r>
        <w:t xml:space="preserve"> endpoint and the ID Token, turn on the </w:t>
      </w:r>
      <w:r>
        <w:rPr>
          <w:rStyle w:val="InlineUI"/>
        </w:rPr>
        <w:t>Prefer ID Token</w:t>
      </w:r>
      <w:r>
        <w:t xml:space="preserve"> toggle.</w:t>
      </w:r>
    </w:p>
    <w:p>
      <w:pPr>
        <w:pStyle w:val="BodyText"/>
        <w:ind w:left="960"/>
      </w:pPr>
      <w:r>
        <w:t xml:space="preserve">The identity providers do not provide all the required claims set in the </w:t>
      </w:r>
      <w:r>
        <w:rPr>
          <w:rStyle w:val="InlineCode"/>
        </w:rPr>
        <w:t>UserInfo</w:t>
      </w:r>
      <w:r>
        <w:t xml:space="preserve"> endpoint. By turning on the </w:t>
      </w:r>
      <w:r>
        <w:rPr>
          <w:rStyle w:val="InlineUI"/>
        </w:rPr>
        <w:t>Prefer ID Token</w:t>
      </w:r>
      <w:r>
        <w:t xml:space="preserve"> toggle, </w:t>
      </w:r>
      <w:r>
        <w:t>VCF Automation</w:t>
      </w:r>
      <w:r>
        <w:t xml:space="preserve"> can fetch and consume claims from both sources.</w:t>
      </w:r>
    </w:p>
    <w:p>
      <w:pPr>
        <w:pStyle w:val="BodyText"/>
        <w:numPr>
          <w:ilvl w:val="1"/>
          <w:numId w:val="130"/>
        </w:numPr>
      </w:pPr>
      <w:r>
        <w:t>Enter the maximum acceptable clock skew.</w:t>
      </w:r>
    </w:p>
    <w:p>
      <w:pPr>
        <w:pStyle w:val="BodyText"/>
        <w:ind w:left="960"/>
      </w:pPr>
      <w:r>
        <w:t>The maximum clock skew is the maximum allowable time difference between the client and server. This time compensates for any small time differences in the time stamps when verifying tokens. The default value is 60 seconds.</w:t>
      </w:r>
    </w:p>
    <w:p>
      <w:pPr>
        <w:pStyle w:val="BodyText"/>
        <w:numPr>
          <w:ilvl w:val="1"/>
          <w:numId w:val="130"/>
        </w:numPr>
      </w:pPr>
      <w:r>
        <w:t xml:space="preserve">Click </w:t>
      </w:r>
      <w:r>
        <w:rPr>
          <w:rStyle w:val="InlineUI"/>
        </w:rPr>
        <w:t>Next</w:t>
      </w:r>
      <w:r>
        <w:t>.</w:t>
      </w:r>
    </w:p>
    <w:p>
      <w:pPr>
        <w:pStyle w:val="BodyText"/>
        <w:numPr>
          <w:numId w:val="130"/>
        </w:numPr>
      </w:pPr>
      <w:r>
        <w:t xml:space="preserve">If you did not use </w:t>
      </w:r>
      <w:r>
        <w:rPr>
          <w:rStyle w:val="InlineUI"/>
        </w:rPr>
        <w:t>Configuration Discovery</w:t>
      </w:r>
      <w:r>
        <w:t xml:space="preserve"> in Step 6, enter the scope information, and click </w:t>
      </w:r>
      <w:r>
        <w:rPr>
          <w:rStyle w:val="InlineUI"/>
        </w:rPr>
        <w:t>Next</w:t>
      </w:r>
      <w:r>
        <w:t>.</w:t>
      </w:r>
    </w:p>
    <w:p>
      <w:pPr>
        <w:pStyle w:val="BodyText"/>
        <w:ind w:left="480"/>
      </w:pPr>
      <w:r>
        <w:t>VCF Automation</w:t>
      </w:r>
      <w:r>
        <w:t xml:space="preserve"> uses the scopes to authorize access to user details. When a client requests an access token, the scopes define the permissions that this token has to access user information.</w:t>
      </w:r>
    </w:p>
    <w:p>
      <w:pPr>
        <w:pStyle w:val="BodyText"/>
        <w:numPr>
          <w:numId w:val="130"/>
        </w:numPr>
      </w:pPr>
      <w:r>
        <w:t xml:space="preserve">If you are using </w:t>
      </w:r>
      <w:r>
        <w:rPr>
          <w:rStyle w:val="InlineUI"/>
        </w:rPr>
        <w:t>User Info</w:t>
      </w:r>
      <w:r>
        <w:t xml:space="preserve"> as an access type, map the claims and click </w:t>
      </w:r>
      <w:r>
        <w:rPr>
          <w:rStyle w:val="InlineUI"/>
        </w:rPr>
        <w:t>Next</w:t>
      </w:r>
      <w:r>
        <w:t>.</w:t>
      </w:r>
    </w:p>
    <w:p>
      <w:pPr>
        <w:pStyle w:val="BodyText"/>
        <w:ind w:left="480"/>
      </w:pPr>
      <w:r>
        <w:t xml:space="preserve">You can use this section to map the information </w:t>
      </w:r>
      <w:r>
        <w:t>VCF Automation</w:t>
      </w:r>
      <w:r>
        <w:t xml:space="preserve"> gets from the user info endpoint to specific claims. The claims are strings for the field names in the </w:t>
      </w:r>
      <w:r>
        <w:t>VCF Automation</w:t>
      </w:r>
      <w:r>
        <w:t xml:space="preserve"> response.</w:t>
      </w:r>
    </w:p>
    <w:p>
      <w:pPr>
        <w:pStyle w:val="BodyText"/>
        <w:numPr>
          <w:numId w:val="130"/>
        </w:numPr>
      </w:pPr>
      <w:r>
        <w:t xml:space="preserve">If you want </w:t>
      </w:r>
      <w:r>
        <w:t>VCF Automation</w:t>
      </w:r>
      <w:r>
        <w:t xml:space="preserve"> to automatically refresh the OIDC key configurations, turn on the </w:t>
      </w:r>
      <w:r>
        <w:rPr>
          <w:rStyle w:val="InlineUI"/>
        </w:rPr>
        <w:t>Automatic Key Refresh</w:t>
      </w:r>
      <w:r>
        <w:t xml:space="preserve"> toggle.</w:t>
      </w:r>
    </w:p>
    <w:p>
      <w:pPr>
        <w:pStyle w:val="BodyText"/>
        <w:numPr>
          <w:ilvl w:val="1"/>
          <w:numId w:val="130"/>
        </w:numPr>
      </w:pPr>
      <w:r>
        <w:t xml:space="preserve">If you did not use </w:t>
      </w:r>
      <w:r>
        <w:rPr>
          <w:rStyle w:val="InlineUI"/>
        </w:rPr>
        <w:t>Configuration Discovery</w:t>
      </w:r>
      <w:r>
        <w:t xml:space="preserve"> in Step 6, enter the </w:t>
      </w:r>
      <w:r>
        <w:rPr>
          <w:rStyle w:val="InlineUI"/>
        </w:rPr>
        <w:t>Key Refresh Endpoint</w:t>
      </w:r>
      <w:r>
        <w:t>.</w:t>
      </w:r>
    </w:p>
    <w:p>
      <w:pPr>
        <w:pStyle w:val="BodyText"/>
        <w:ind w:left="960"/>
      </w:pPr>
      <w:r>
        <w:t xml:space="preserve">The </w:t>
      </w:r>
      <w:r>
        <w:rPr>
          <w:rStyle w:val="InlineUI"/>
        </w:rPr>
        <w:t>Key Refresh Endpoint</w:t>
      </w:r>
      <w:r>
        <w:t xml:space="preserve"> is a JSON Web Key Set (JWKS) endpoint and it is the endpoint from which </w:t>
      </w:r>
      <w:r>
        <w:t>VCF Automation</w:t>
      </w:r>
      <w:r>
        <w:t xml:space="preserve"> fetches the keys.</w:t>
      </w:r>
    </w:p>
    <w:p>
      <w:pPr>
        <w:pStyle w:val="BodyText"/>
        <w:numPr>
          <w:ilvl w:val="1"/>
          <w:numId w:val="130"/>
        </w:numPr>
      </w:pPr>
      <w:r>
        <w:t>Select how often the key refresh occurs.</w:t>
      </w:r>
    </w:p>
    <w:p>
      <w:pPr>
        <w:pStyle w:val="BodyText"/>
        <w:ind w:left="960"/>
      </w:pPr>
      <w:r>
        <w:t>You can set the period in hourly increments from 1 hour up to 30 days.</w:t>
      </w:r>
    </w:p>
    <w:p>
      <w:pPr>
        <w:pStyle w:val="BodyText"/>
        <w:numPr>
          <w:ilvl w:val="1"/>
          <w:numId w:val="130"/>
        </w:numPr>
      </w:pPr>
      <w:r>
        <w:t xml:space="preserve">Select a </w:t>
      </w:r>
      <w:r>
        <w:rPr>
          <w:rStyle w:val="InlineUI"/>
        </w:rPr>
        <w:t>Key Refresh Strategy</w:t>
      </w:r>
      <w:r>
        <w: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83"/>
        <w:gridCol w:w="7717"/>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Add</w:t>
            </w:r>
          </w:p>
        </w:tc>
        <w:tc>
          <w:tcPr>
            <w:tcBorders>
              <w:left w:val="nil"/>
              <w:right w:val="nil"/>
            </w:tcBorders>
          </w:tcPr>
          <w:p>
            <w:pPr>
              <w:pStyle w:val="TableBodyText"/>
            </w:pPr>
            <w:r>
              <w:t>Add the incoming set of keys to the existing set of keys. All keys in the merged set are valid and usable.</w:t>
            </w:r>
          </w:p>
          <w:p>
            <w:pPr>
              <w:pStyle w:val="TableBodyText"/>
            </w:pPr>
            <w:r>
              <w:t>For example, your existing set of keys includes keys A, B, and D. Your incoming set of keys includes keys B, C, and D. When the key refresh occurs, the new set includes keys A, B, C, and 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Replace</w:t>
            </w:r>
          </w:p>
        </w:tc>
        <w:tc>
          <w:tcPr>
            <w:tcBorders>
              <w:left w:val="nil"/>
              <w:right w:val="nil"/>
            </w:tcBorders>
          </w:tcPr>
          <w:p>
            <w:pPr>
              <w:pStyle w:val="TableBodyText"/>
            </w:pPr>
            <w:r>
              <w:t>Replace the existing set of keys with the incoming set of keys.</w:t>
            </w:r>
          </w:p>
          <w:p>
            <w:pPr>
              <w:pStyle w:val="TableBodyText"/>
            </w:pPr>
            <w:r>
              <w:t>For example, your existing set of keys includes keys A, B, and D. Your incoming set of keys includes keys B, C, and D. When the key refresh occurs, key C replaces key A. The incoming keys B, C, and D become the new set of valid keys without any overlap with the old set.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Expire After</w:t>
            </w:r>
          </w:p>
        </w:tc>
        <w:tc>
          <w:tcPr>
            <w:tcBorders>
              <w:left w:val="nil"/>
              <w:right w:val="nil"/>
            </w:tcBorders>
          </w:tcPr>
          <w:p>
            <w:pPr>
              <w:pStyle w:val="TableBodyText"/>
            </w:pPr>
            <w:r>
              <w:t xml:space="preserve">You can configure an overlap period between the existing and incoming sets of keys. You can configure the overlapping time using the </w:t>
            </w:r>
            <w:r>
              <w:rPr>
                <w:rStyle w:val="InlineUI"/>
              </w:rPr>
              <w:t>Expire Key After Period</w:t>
            </w:r>
            <w:r>
              <w:t>, which you can set in hourly increments from 1 hour up to 1 day.</w:t>
            </w:r>
          </w:p>
          <w:p>
            <w:pPr>
              <w:pStyle w:val="TableBodyText"/>
            </w:pPr>
            <w:r>
              <w:t xml:space="preserve">The key refresh runs start at the beginning of every hour. When the key refresh occurs, </w:t>
            </w:r>
            <w:r>
              <w:t>VCF Automation</w:t>
            </w:r>
            <w:r>
              <w:t xml:space="preserve"> tags as expiring the keys in the existing set of keys that are not included in the incoming set. At the next key refresh run, </w:t>
            </w:r>
            <w:r>
              <w:t>VCF Automation</w:t>
            </w:r>
            <w:r>
              <w:t xml:space="preserve"> stops using the expiring keys. Only keys included in the incoming set are valid and usable.</w:t>
            </w:r>
          </w:p>
          <w:p>
            <w:pPr>
              <w:pStyle w:val="TableBodyText"/>
            </w:pPr>
            <w:r>
              <w:t xml:space="preserve">For example, your existing set of keys includes keys A, B, and D. The incoming set includes keys B, C, and D. If you configure the existing keys to expire in 1 hour, there is 1 hour of overlap during which both sets of keys are valid. </w:t>
            </w:r>
            <w:r>
              <w:t>VCF Automation</w:t>
            </w:r>
            <w:r>
              <w:t xml:space="preserve"> marks key A as expiring and until the next key refresh run, keys A, B, C, and D are usable. At the next run, key A expires and only B, C, and D continue working.</w:t>
            </w:r>
          </w:p>
        </w:tc>
      </w:tr>
    </w:tbl>
    <w:p>
      <w:pPr>
        <w:pStyle w:val="BodyText"/>
        <w:numPr>
          <w:numId w:val="130"/>
        </w:numPr>
        <w:spacing w:before="240"/>
      </w:pPr>
      <w:r>
        <w:t xml:space="preserve">If you did not use </w:t>
      </w:r>
      <w:r>
        <w:rPr>
          <w:rStyle w:val="InlineUI"/>
        </w:rPr>
        <w:t>Configuration Discovery</w:t>
      </w:r>
      <w:r>
        <w:t xml:space="preserve"> in Step 6, upload the private key that the identity provider uses to sign its tokens.</w:t>
      </w:r>
    </w:p>
    <w:p>
      <w:pPr>
        <w:pStyle w:val="BodyText"/>
        <w:numPr>
          <w:numId w:val="130"/>
        </w:numPr>
      </w:pPr>
      <w:r>
        <w:t xml:space="preserve">If you want to customize the </w:t>
      </w:r>
      <w:r>
        <w:rPr>
          <w:rStyle w:val="InlineUI"/>
        </w:rPr>
        <w:t>Sign in with OIDC</w:t>
      </w:r>
      <w:r>
        <w:t xml:space="preserve"> button label that appears on the </w:t>
      </w:r>
      <w:r>
        <w:t>VCF Automation</w:t>
      </w:r>
      <w:r>
        <w:t xml:space="preserve"> login page, enter a new custom button text.</w:t>
      </w:r>
    </w:p>
    <w:p>
      <w:pPr>
        <w:pStyle w:val="BodyText"/>
        <w:ind w:left="480"/>
      </w:pPr>
      <w:r>
        <w:t>You can enter up to 24 symbols. You can use special characters and accented letters. If you want to revert to the default text, delete the custom label. The default button label is localized, and depending on your browser language settings, the text might appear in a different language. Custom labels always appear as you enter them.</w:t>
      </w:r>
    </w:p>
    <w:p>
      <w:pPr>
        <w:pStyle w:val="BodyText"/>
        <w:numPr>
          <w:numId w:val="130"/>
        </w:numPr>
      </w:pPr>
      <w:r>
        <w:t xml:space="preserve">Click </w:t>
      </w:r>
      <w:r>
        <w:rPr>
          <w:rStyle w:val="InlineUI"/>
        </w:rPr>
        <w:t>Save</w:t>
      </w:r>
      <w:r>
        <w:t>.</w:t>
      </w:r>
    </w:p>
    <w:p>
      <w:pPr>
        <w:pStyle w:val="BodyText"/>
      </w:pPr>
      <w:r>
        <w:rPr>
          <w:rStyle w:val="Strong"/>
        </w:rPr>
        <w:t>What to do next</w:t>
      </w:r>
    </w:p>
    <w:p>
      <w:pPr>
        <w:pStyle w:val="BodyText"/>
        <w:numPr>
          <w:numId w:val="131"/>
        </w:numPr>
      </w:pPr>
      <w:r>
        <w:t xml:space="preserve">Subscribe to the </w:t>
      </w:r>
      <w:r>
        <w:rPr>
          <w:rStyle w:val="InlineCode"/>
        </w:rPr>
        <w:t>com/vmware/vcloud/event/oidcSettings/keys/modify</w:t>
      </w:r>
      <w:r>
        <w:t xml:space="preserve"> event topic.</w:t>
      </w:r>
    </w:p>
    <w:p>
      <w:pPr>
        <w:pStyle w:val="BodyText"/>
        <w:numPr>
          <w:numId w:val="131"/>
        </w:numPr>
      </w:pPr>
      <w:r>
        <w:t xml:space="preserve">Verify that the </w:t>
      </w:r>
      <w:r>
        <w:rPr>
          <w:rStyle w:val="InlineUI"/>
        </w:rPr>
        <w:t>Last Run</w:t>
      </w:r>
      <w:r>
        <w:t xml:space="preserve"> and the </w:t>
      </w:r>
      <w:r>
        <w:rPr>
          <w:rStyle w:val="InlineUI"/>
        </w:rPr>
        <w:t>Last Successful Run</w:t>
      </w:r>
      <w:r>
        <w:t xml:space="preserve"> are identical. The runs start at the beginning of the hour. The </w:t>
      </w:r>
      <w:r>
        <w:rPr>
          <w:rStyle w:val="InlineUI"/>
        </w:rPr>
        <w:t>Last Run</w:t>
      </w:r>
      <w:r>
        <w:t xml:space="preserve"> is the time stamp of the last key refresh attempt. The </w:t>
      </w:r>
      <w:r>
        <w:rPr>
          <w:rStyle w:val="InlineUI"/>
        </w:rPr>
        <w:t>Last Successful Run</w:t>
      </w:r>
      <w:r>
        <w:t xml:space="preserve"> is the time stamp of the last successful key refresh. If the time stamps are different, the automatic key refresh is failing and you can diagnose the problem by reviewing the audit events.</w:t>
      </w:r>
    </w:p>
    <w:p>
      <w:pPr>
        <w:pStyle w:val="Heading2"/>
      </w:pPr>
      <w:bookmarkStart w:id="177" w:name="_Toc256000562"/>
      <w:r>
        <w:t>Enable PKCE in VCF Automation</w:t>
      </w:r>
      <w:bookmarkEnd w:id="177"/>
    </w:p>
    <w:p>
      <w:pPr>
        <w:pStyle w:val="BodyText"/>
      </w:pPr>
      <w:r>
        <w:t>VCF Automation</w:t>
      </w:r>
      <w:r>
        <w:t xml:space="preserve"> supports Proof Key for Code Exchange (PKCE).</w:t>
      </w:r>
    </w:p>
    <w:p>
      <w:pPr>
        <w:pStyle w:val="BodyText"/>
      </w:pPr>
      <w:r>
        <w:t xml:space="preserve">PKCE is an extension to the OAuth 2.0 Authorization Code flow that is used to prevent CSRF and authorization code injection attacks. For more information, see </w:t>
      </w:r>
      <w:hyperlink r:id="rId19" w:tooltip="Proof Key for Code Exchange" w:history="1">
        <w:r>
          <w:rPr>
            <w:color w:val="0000FF"/>
            <w:u w:val="single"/>
          </w:rPr>
          <w:t>Proof Key for Code Exchange</w:t>
        </w:r>
      </w:hyperlink>
      <w:r>
        <w:t xml:space="preserve"> in the OAuth 2.0 documentation.</w:t>
      </w:r>
    </w:p>
    <w:p>
      <w:pPr>
        <w:pStyle w:val="BodyText"/>
      </w:pPr>
      <w:r>
        <w:rPr>
          <w:rStyle w:val="Strong"/>
        </w:rPr>
        <w:t>Prerequisites</w:t>
      </w:r>
    </w:p>
    <w:p>
      <w:pPr>
        <w:pStyle w:val="BodyText"/>
      </w:pPr>
      <w:r>
        <w:t xml:space="preserve">Verify that you configured your system to use an OpenID Connect Identity Provider. See </w:t>
      </w:r>
      <w:r>
        <w:t>Configure Your System to Use an OpenID Connect Identity Provider Using Your VCF Automation Provider Management Portal</w:t>
      </w:r>
      <w:r>
        <w:t>.</w:t>
      </w:r>
    </w:p>
    <w:p>
      <w:pPr>
        <w:pStyle w:val="BodyText"/>
      </w:pPr>
      <w:r>
        <w:rPr>
          <w:rStyle w:val="Strong"/>
        </w:rPr>
        <w:t>Procedure</w:t>
      </w:r>
    </w:p>
    <w:p>
      <w:pPr>
        <w:pStyle w:val="BodyText"/>
        <w:numPr>
          <w:numId w:val="132"/>
        </w:numPr>
      </w:pPr>
      <w:r>
        <w:t>Run the request to retrieve your organization's settings.</w:t>
      </w:r>
    </w:p>
    <w:p>
      <w:pPr>
        <w:pStyle w:val="CodeBlock"/>
        <w:ind w:left="480"/>
      </w:pPr>
      <w:r>
        <w:t>GET https://vcfa.example.com/api/admin/org/</w:t>
      </w:r>
      <w:r>
        <w:rPr>
          <w:rStyle w:val="InlineVar"/>
        </w:rPr>
        <w:t>organization_id</w:t>
      </w:r>
      <w:r>
        <w:t>/settings/oauth</w:t>
      </w:r>
    </w:p>
    <w:p>
      <w:pPr>
        <w:pStyle w:val="BodyText"/>
        <w:ind w:left="480"/>
      </w:pPr>
      <w:r>
        <w:t>The response contains the OAuth settings for your organization.</w:t>
      </w:r>
    </w:p>
    <w:p>
      <w:pPr>
        <w:pStyle w:val="BodyText"/>
        <w:numPr>
          <w:numId w:val="132"/>
        </w:numPr>
      </w:pPr>
      <w:r>
        <w:t xml:space="preserve">Under </w:t>
      </w:r>
      <w:r>
        <w:rPr>
          <w:rStyle w:val="InlineCode"/>
        </w:rPr>
        <w:t>OrgOAuthSettings</w:t>
      </w:r>
      <w:r>
        <w:t>, make the following changes.</w:t>
      </w:r>
    </w:p>
    <w:p>
      <w:pPr>
        <w:pStyle w:val="BodyText"/>
        <w:numPr>
          <w:ilvl w:val="1"/>
          <w:numId w:val="132"/>
        </w:numPr>
      </w:pPr>
      <w:r>
        <w:t xml:space="preserve">Modify the </w:t>
      </w:r>
      <w:r>
        <w:rPr>
          <w:rStyle w:val="InlineCode"/>
        </w:rPr>
        <w:t>usePkce</w:t>
      </w:r>
      <w:r>
        <w:t xml:space="preserve"> element to </w:t>
      </w:r>
      <w:r>
        <w:rPr>
          <w:rStyle w:val="InlineCode"/>
        </w:rPr>
        <w:t>true</w:t>
      </w:r>
      <w:r>
        <w:t>.</w:t>
      </w:r>
    </w:p>
    <w:p>
      <w:pPr>
        <w:pStyle w:val="BodyText"/>
        <w:numPr>
          <w:ilvl w:val="1"/>
          <w:numId w:val="132"/>
        </w:numPr>
      </w:pPr>
      <w:r>
        <w:t xml:space="preserve">(Optional) </w:t>
      </w:r>
      <w:r>
        <w:t xml:space="preserve">If your identity provider requires that client credentials be sent as an authorization header when making the API request to retrieve the access token, modify the </w:t>
      </w:r>
      <w:r>
        <w:rPr>
          <w:rStyle w:val="InlineCode"/>
        </w:rPr>
        <w:t>sendClientCredentialsAsAuthorizationHeader</w:t>
      </w:r>
      <w:r>
        <w:t xml:space="preserve"> element to </w:t>
      </w:r>
      <w:r>
        <w:rPr>
          <w:rStyle w:val="InlineCode"/>
        </w:rPr>
        <w:t>true</w:t>
      </w:r>
      <w:r>
        <w:t>.</w:t>
      </w:r>
    </w:p>
    <w:p>
      <w:pPr>
        <w:pStyle w:val="BodyText"/>
        <w:ind w:left="960"/>
      </w:pPr>
      <w:r>
        <w:t>The default behavior is for the client credentials to be sent in the body of the API request.</w:t>
      </w:r>
    </w:p>
    <w:p>
      <w:pPr>
        <w:pStyle w:val="BodyText"/>
        <w:numPr>
          <w:numId w:val="132"/>
        </w:numPr>
      </w:pPr>
      <w:r>
        <w:t xml:space="preserve">To update your OAuth settings with your modifications, run </w:t>
      </w:r>
      <w:r>
        <w:t>a PUT request.</w:t>
      </w:r>
    </w:p>
    <w:p>
      <w:pPr>
        <w:pStyle w:val="CodeBlock"/>
        <w:ind w:left="480"/>
      </w:pPr>
      <w:r>
        <w:t>PUT https://vcfa.example.com/api/admin/org/organization_id/settings/oauth</w:t>
      </w:r>
    </w:p>
    <w:p>
      <w:pPr>
        <w:pStyle w:val="BodyText"/>
        <w:ind w:left="480"/>
      </w:pPr>
      <w:r>
        <w:t>In the body of the request, include the modified elements of your OAuth settings.</w:t>
      </w:r>
    </w:p>
    <w:p>
      <w:pPr>
        <w:pStyle w:val="Heading2"/>
      </w:pPr>
      <w:bookmarkStart w:id="178" w:name="B5fd9a9d224144396a7404c7153467088"/>
      <w:bookmarkStart w:id="179" w:name="_Toc256000563"/>
      <w:r>
        <w:t>Generate an API Access Token Using Your VCF Automation Provider Management Portal</w:t>
      </w:r>
      <w:bookmarkEnd w:id="179"/>
      <w:bookmarkEnd w:id="178"/>
    </w:p>
    <w:p>
      <w:pPr>
        <w:pStyle w:val="BodyText"/>
      </w:pPr>
      <w:r>
        <w:t xml:space="preserve">You can generate and issue API access tokens. You are authenticated using your respective security best practices, including leveraging two-factor authorization, by using API access tokens, you can grant access for building automation against </w:t>
      </w:r>
      <w:r>
        <w:t>VCF Automation</w:t>
      </w:r>
      <w:r>
        <w:t>.</w:t>
      </w:r>
    </w:p>
    <w:p>
      <w:pPr>
        <w:pStyle w:val="BodyText"/>
      </w:pPr>
      <w:r>
        <w:t>Access tokens are artifacts that client applications use to make API requests on behalf of a user. Applications need access tokens for authentication. When an access token expires, to obtain access tokens, applications can use API tokens. By default, API tokens expire after 90 days.</w:t>
      </w:r>
    </w:p>
    <w:p>
      <w:pPr>
        <w:pStyle w:val="BodyText"/>
      </w:pPr>
      <w:r>
        <w:t>When using access tokens, applications cannot perform certain tasks.</w:t>
      </w:r>
    </w:p>
    <w:p>
      <w:pPr>
        <w:pStyle w:val="BodyText"/>
        <w:numPr>
          <w:numId w:val="133"/>
        </w:numPr>
      </w:pPr>
      <w:r>
        <w:t>Change the user password</w:t>
      </w:r>
    </w:p>
    <w:p>
      <w:pPr>
        <w:pStyle w:val="BodyText"/>
        <w:numPr>
          <w:numId w:val="133"/>
        </w:numPr>
      </w:pPr>
      <w:r>
        <w:t>Perform user management tasks</w:t>
      </w:r>
    </w:p>
    <w:p>
      <w:pPr>
        <w:pStyle w:val="BodyText"/>
        <w:numPr>
          <w:numId w:val="133"/>
        </w:numPr>
      </w:pPr>
      <w:r>
        <w:t>Create more tokens</w:t>
      </w:r>
    </w:p>
    <w:p>
      <w:pPr>
        <w:pStyle w:val="BodyText"/>
        <w:numPr>
          <w:numId w:val="133"/>
        </w:numPr>
      </w:pPr>
      <w:r>
        <w:t>View or revoke other tokens</w:t>
      </w:r>
    </w:p>
    <w:p>
      <w:pPr>
        <w:pStyle w:val="BodyText"/>
      </w:pPr>
      <w:r>
        <w:t xml:space="preserve">When accessing </w:t>
      </w:r>
      <w:r>
        <w:t>VCF Automation</w:t>
      </w:r>
      <w:r>
        <w:t xml:space="preserve"> by using an API access token, applications have only view rights for the following resources.</w:t>
      </w:r>
    </w:p>
    <w:p>
      <w:pPr>
        <w:pStyle w:val="BodyText"/>
        <w:numPr>
          <w:numId w:val="134"/>
        </w:numPr>
      </w:pPr>
      <w:r>
        <w:t>User</w:t>
      </w:r>
    </w:p>
    <w:p>
      <w:pPr>
        <w:pStyle w:val="BodyText"/>
        <w:numPr>
          <w:numId w:val="134"/>
        </w:numPr>
      </w:pPr>
      <w:r>
        <w:t>Group</w:t>
      </w:r>
    </w:p>
    <w:p>
      <w:pPr>
        <w:pStyle w:val="BodyText"/>
        <w:numPr>
          <w:numId w:val="134"/>
        </w:numPr>
      </w:pPr>
      <w:r>
        <w:t>Roles</w:t>
      </w:r>
    </w:p>
    <w:p>
      <w:pPr>
        <w:pStyle w:val="BodyText"/>
        <w:numPr>
          <w:numId w:val="134"/>
        </w:numPr>
      </w:pPr>
      <w:r>
        <w:t>Global roles</w:t>
      </w:r>
    </w:p>
    <w:p>
      <w:pPr>
        <w:pStyle w:val="BodyText"/>
        <w:numPr>
          <w:numId w:val="134"/>
        </w:numPr>
      </w:pPr>
      <w:r>
        <w:t>Rights bundles</w:t>
      </w:r>
    </w:p>
    <w:p>
      <w:pPr>
        <w:pStyle w:val="BodyText"/>
      </w:pPr>
      <w:r>
        <w:t xml:space="preserve">Applications accessing </w:t>
      </w:r>
      <w:r>
        <w:t>VCF Automation</w:t>
      </w:r>
      <w:r>
        <w:t xml:space="preserve"> by using an API access token do not have the following rights.</w:t>
      </w:r>
    </w:p>
    <w:p>
      <w:pPr>
        <w:pStyle w:val="BodyText"/>
        <w:numPr>
          <w:numId w:val="135"/>
        </w:numPr>
      </w:pPr>
      <w:r>
        <w:t>Token: Manage</w:t>
      </w:r>
    </w:p>
    <w:p>
      <w:pPr>
        <w:pStyle w:val="BodyText"/>
        <w:numPr>
          <w:numId w:val="135"/>
        </w:numPr>
      </w:pPr>
      <w:r>
        <w:t>Token: Manage All</w:t>
      </w:r>
    </w:p>
    <w:p>
      <w:pPr>
        <w:pStyle w:val="BodyText"/>
      </w:pPr>
      <w:r>
        <w:t xml:space="preserve">Similar to generating a user API token, you can create a service account by using the </w:t>
      </w:r>
      <w:r>
        <w:t>VCF Automation</w:t>
      </w:r>
      <w:r>
        <w:t xml:space="preserve"> API. The API request for creating a service account uses the same API endpoint as creating a user API token, but the presence of the </w:t>
      </w:r>
      <w:r>
        <w:rPr>
          <w:rStyle w:val="InlineCode"/>
        </w:rPr>
        <w:t>software_id</w:t>
      </w:r>
      <w:r>
        <w:t xml:space="preserve"> field indicates the intent to create a service account.</w:t>
      </w:r>
    </w:p>
    <w:p>
      <w:pPr>
        <w:pStyle w:val="BodyText"/>
      </w:pPr>
      <w:r>
        <w:rPr>
          <w:rStyle w:val="Strong"/>
        </w:rPr>
        <w:t>Prerequisites</w:t>
      </w:r>
    </w:p>
    <w:p>
      <w:pPr>
        <w:pStyle w:val="BodyText"/>
      </w:pPr>
      <w:r>
        <w:t xml:space="preserve">Authenticating with an API token uses the "Refreshing an Access Token" standard as specified in the OAuth 2.0 RFC 6749 Section 6 to allow access to </w:t>
      </w:r>
      <w:r>
        <w:t>VCF Automation</w:t>
      </w:r>
      <w:r>
        <w:t xml:space="preserve"> as an OAuth application. The returned access token is the same as a </w:t>
      </w:r>
      <w:r>
        <w:t>VCF Automation</w:t>
      </w:r>
      <w:r>
        <w:t xml:space="preserve"> access token and client applications can use it to make subsequent API calls to </w:t>
      </w:r>
      <w:r>
        <w:t>VCF Automation</w:t>
      </w:r>
      <w:r>
        <w:t xml:space="preserve">. To make an OAuth 2.0 RFC-compliant request, familiarize yourself with </w:t>
      </w:r>
      <w:hyperlink r:id="rId20" w:tooltip="Request for Comments (RFC) 6749 Section 6" w:history="1">
        <w:r>
          <w:rPr>
            <w:color w:val="0000FF"/>
            <w:u w:val="single"/>
          </w:rPr>
          <w:t>Request for Comments (RFC) 6749 Section 6</w:t>
        </w:r>
      </w:hyperlink>
      <w:r>
        <w:t xml:space="preserve"> information about refreshing an access token.</w:t>
      </w:r>
    </w:p>
    <w:p>
      <w:pPr>
        <w:pStyle w:val="BodyText"/>
      </w:pPr>
      <w:r>
        <w:rPr>
          <w:rStyle w:val="Strong"/>
        </w:rPr>
        <w:t>Procedure</w:t>
      </w:r>
    </w:p>
    <w:p>
      <w:pPr>
        <w:pStyle w:val="BodyText"/>
        <w:numPr>
          <w:numId w:val="136"/>
        </w:numPr>
      </w:pPr>
      <w:r>
        <w:t xml:space="preserve">In the upper right corner of the navigation bar, click your user name, and select </w:t>
      </w:r>
      <w:r>
        <w:rPr>
          <w:rStyle w:val="InlineUI"/>
        </w:rPr>
        <w:t>User preferences</w:t>
      </w:r>
      <w:r>
        <w:t>.</w:t>
      </w:r>
    </w:p>
    <w:p>
      <w:pPr>
        <w:pStyle w:val="BodyText"/>
        <w:numPr>
          <w:numId w:val="136"/>
        </w:numPr>
      </w:pPr>
      <w:r>
        <w:t xml:space="preserve">Under the </w:t>
      </w:r>
      <w:r>
        <w:rPr>
          <w:rStyle w:val="InlineUI"/>
        </w:rPr>
        <w:t>API Tokens</w:t>
      </w:r>
      <w:r>
        <w:t xml:space="preserve"> section, click </w:t>
      </w:r>
      <w:r>
        <w:rPr>
          <w:rStyle w:val="InlineUI"/>
        </w:rPr>
        <w:t>New</w:t>
      </w:r>
      <w:r>
        <w:t>.</w:t>
      </w:r>
    </w:p>
    <w:p>
      <w:pPr>
        <w:pStyle w:val="BodyText"/>
        <w:numPr>
          <w:numId w:val="136"/>
        </w:numPr>
      </w:pPr>
      <w:r>
        <w:t xml:space="preserve">Enter a name for the token, and click </w:t>
      </w:r>
      <w:r>
        <w:rPr>
          <w:rStyle w:val="InlineUI"/>
        </w:rPr>
        <w:t>Create</w:t>
      </w:r>
      <w:r>
        <w:t>.</w:t>
      </w:r>
    </w:p>
    <w:p>
      <w:pPr>
        <w:pStyle w:val="BodyText"/>
        <w:ind w:left="480"/>
      </w:pPr>
      <w:r>
        <w:t xml:space="preserve">The generated API token appears. You must copy the token because it appears only once. After you click </w:t>
      </w:r>
      <w:r>
        <w:rPr>
          <w:rStyle w:val="InlineUI"/>
        </w:rPr>
        <w:t>OK</w:t>
      </w:r>
      <w:r>
        <w:t>, you cannot retrieve this token again, you can only revoke it.</w:t>
      </w:r>
    </w:p>
    <w:p>
      <w:pPr>
        <w:pStyle w:val="BodyText"/>
        <w:numPr>
          <w:numId w:val="136"/>
        </w:numPr>
      </w:pPr>
      <w:r>
        <w:t xml:space="preserve">Make an OAuth 2.0 RFC-compliant request to the </w:t>
      </w:r>
      <w:r>
        <w:rPr>
          <w:rStyle w:val="InlineCode"/>
        </w:rPr>
        <w:t>https://</w:t>
      </w:r>
      <w:r>
        <w:rPr>
          <w:rStyle w:val="InlineVar"/>
        </w:rPr>
        <w:t>site.cloud.example.com</w:t>
      </w:r>
      <w:r>
        <w:rPr>
          <w:rStyle w:val="InlineCode"/>
        </w:rPr>
        <w:t>/oauth/provider/token</w:t>
      </w:r>
      <w:r>
        <w:t xml:space="preserve"> API endpoint.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40"/>
        <w:gridCol w:w="237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Key</w:t>
            </w:r>
          </w:p>
        </w:tc>
        <w:tc>
          <w:tcPr>
            <w:tcBorders>
              <w:left w:val="nil"/>
              <w:right w:val="nil"/>
            </w:tcBorders>
            <w:shd w:val="clear" w:color="auto" w:fill="E1E1E1"/>
            <w:tcMar>
              <w:top w:w="60" w:type="dxa"/>
              <w:bottom w:w="60" w:type="dxa"/>
            </w:tcMar>
          </w:tcPr>
          <w:p>
            <w:pPr>
              <w:pStyle w:val="TableHeaderText"/>
            </w:pPr>
            <w:r>
              <w:t>Value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grant_type</w:t>
            </w:r>
          </w:p>
        </w:tc>
        <w:tc>
          <w:tcPr>
            <w:tcBorders>
              <w:left w:val="nil"/>
              <w:right w:val="nil"/>
            </w:tcBorders>
          </w:tcPr>
          <w:p>
            <w:pPr>
              <w:pStyle w:val="TableBodyText"/>
            </w:pPr>
            <w:r>
              <w:rPr>
                <w:rStyle w:val="InlineCode"/>
              </w:rPr>
              <w:t>Refresh_token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refresh_token</w:t>
            </w:r>
          </w:p>
        </w:tc>
        <w:tc>
          <w:tcPr>
            <w:tcBorders>
              <w:left w:val="nil"/>
              <w:right w:val="nil"/>
            </w:tcBorders>
          </w:tcPr>
          <w:p>
            <w:pPr>
              <w:pStyle w:val="TableBodyText"/>
            </w:pPr>
            <w:r>
              <w:rPr>
                <w:rStyle w:val="InlineCode"/>
              </w:rPr>
              <w:t>Generated_API_token</w:t>
            </w:r>
          </w:p>
        </w:tc>
      </w:tr>
    </w:tbl>
    <w:p>
      <w:pPr>
        <w:pStyle w:val="BodyText"/>
        <w:spacing w:before="240"/>
      </w:pPr>
      <w:r>
        <w:t xml:space="preserve">The request returns an access token that applications can use to perform tasks in </w:t>
      </w:r>
      <w:r>
        <w:t>VCF Automation</w:t>
      </w:r>
      <w:r>
        <w:t>. The token is valid even after the user logs out. When an access token expires, the application can obtain more access tokens by using the API token.</w:t>
      </w:r>
    </w:p>
    <w:p>
      <w:pPr>
        <w:pStyle w:val="BodyText"/>
      </w:pPr>
      <w:r>
        <w:t>Request:</w:t>
      </w:r>
    </w:p>
    <w:p>
      <w:pPr>
        <w:pStyle w:val="CodeBlock"/>
      </w:pPr>
      <w:r>
        <w:t>POST https://</w:t>
      </w:r>
      <w:r>
        <w:rPr>
          <w:rStyle w:val="InlineVar"/>
        </w:rPr>
        <w:t>host_name</w:t>
      </w:r>
      <w:r>
        <w:t>/oauth/provider/token
Accept: application/json
Content-Type: application/x-www-form-urlencoded
Content-Length: 71
grant_type=refresh_token&amp;refresh_token=</w:t>
      </w:r>
      <w:r>
        <w:rPr>
          <w:rStyle w:val="InlineVar"/>
        </w:rPr>
        <w:t>Generated_API_Token</w:t>
      </w:r>
    </w:p>
    <w:p>
      <w:pPr>
        <w:pStyle w:val="BodyText"/>
      </w:pPr>
      <w:r>
        <w:t>Response:</w:t>
      </w:r>
    </w:p>
    <w:p>
      <w:pPr>
        <w:pStyle w:val="CodeBlock"/>
      </w:pPr>
      <w:r>
        <w:t>HTTP/1.1 200 OK
Content-Type: application/json
{
   "access_token":"</w:t>
      </w:r>
      <w:r>
        <w:rPr>
          <w:rStyle w:val="InlineVar"/>
        </w:rPr>
        <w:t>Generated_Access_Token</w:t>
      </w:r>
      <w:r>
        <w:t>",
   "token_type":"Bearer",
   "expires_in":2592000,
   "refresh_token":null
}</w:t>
      </w:r>
    </w:p>
    <w:p>
      <w:pPr>
        <w:pStyle w:val="BodyText"/>
      </w:pPr>
      <w:r>
        <w:t>Request using the generated access token:</w:t>
      </w:r>
    </w:p>
    <w:p>
      <w:pPr>
        <w:pStyle w:val="CodeBlock"/>
      </w:pPr>
      <w:r>
        <w:t>GET https://host_name/cloudapi/1.0.0/orgs 
Accept: application/json;version=40.0 
Authorization: Bearer Generated_Access_Token
</w:t>
      </w:r>
    </w:p>
    <w:p>
      <w:pPr>
        <w:pStyle w:val="BodyText"/>
      </w:pPr>
      <w:r>
        <w:t>Response:</w:t>
      </w:r>
    </w:p>
    <w:p>
      <w:pPr>
        <w:pStyle w:val="CodeBlock"/>
      </w:pPr>
      <w:r>
        <w:t>{"resultTotal":1,"pageCount":1,"page":1,"pageSize":25,"associations":[{"entityId":"urn:vcloud:org:a11a11a1-1111-1111-1a11","associationId":"a11a11a1-1111-1111-1a11</w:t>
      </w:r>
      <w:r>
        <w:t>@</w:t>
      </w:r>
      <w:r>
        <w:t>a11a1a11-1111-1111-1a11</w:t>
      </w:r>
      <w:r>
        <w:t xml:space="preserve">"}],"values":[{"id":"urn:vcloud:org:a11a1a11-1111-1111-1a11-a1a11aa11a1","name":"System","displayName":"System","description":"System Bucket","isEnabled":true,"managedBy":null,"canManageOrgs":true,"maskedEventTaskUsername":"system","directlyManagedOrgCount":0,"isClassicTenant":false,"isProviderConsumptionOrg":false,"creationStatus":"READY"}]}% </w:t>
      </w:r>
    </w:p>
    <w:p>
      <w:pPr>
        <w:pStyle w:val="BodyText"/>
      </w:pPr>
      <w:r>
        <w:rPr>
          <w:rStyle w:val="Strong"/>
        </w:rPr>
        <w:t>What to do next</w:t>
      </w:r>
    </w:p>
    <w:p>
      <w:pPr>
        <w:pStyle w:val="BodyText"/>
        <w:numPr>
          <w:numId w:val="137"/>
        </w:numPr>
      </w:pPr>
      <w:r>
        <w:t xml:space="preserve">If you want tenants to be able to generate tokens, you must grant tenant roles the </w:t>
      </w:r>
      <w:r>
        <w:rPr>
          <w:rStyle w:val="InlineUI"/>
        </w:rPr>
        <w:t>Manage user's own API token</w:t>
      </w:r>
      <w:r>
        <w:t xml:space="preserve"> right.</w:t>
      </w:r>
    </w:p>
    <w:p>
      <w:pPr>
        <w:pStyle w:val="BodyText"/>
        <w:numPr>
          <w:numId w:val="137"/>
        </w:numPr>
      </w:pPr>
      <w:r>
        <w:t xml:space="preserve">By default, tenant users see only the tokens they create. To allow organization administrators to see and revoke the tokens of the other tenant users in the organization, you must grant them the </w:t>
      </w:r>
      <w:r>
        <w:rPr>
          <w:rStyle w:val="InlineUI"/>
        </w:rPr>
        <w:t>Manage all users' API tokens</w:t>
      </w:r>
      <w:r>
        <w:t xml:space="preserve"> right. Administrators with the </w:t>
      </w:r>
      <w:r>
        <w:rPr>
          <w:rStyle w:val="InlineUI"/>
        </w:rPr>
        <w:t>Manage all users' API tokens</w:t>
      </w:r>
      <w:r>
        <w:t xml:space="preserve"> right can see only the names of other users' the tokens, not the tokens themselves.</w:t>
      </w:r>
    </w:p>
    <w:p>
      <w:pPr>
        <w:pStyle w:val="BodyText"/>
        <w:numPr>
          <w:numId w:val="137"/>
        </w:numPr>
      </w:pPr>
      <w:r>
        <w:t xml:space="preserve">To revoke any of your tokens, navigate to the </w:t>
      </w:r>
      <w:r>
        <w:rPr>
          <w:rStyle w:val="InlineUI"/>
        </w:rPr>
        <w:t>User preferences</w:t>
      </w:r>
      <w:r>
        <w:t xml:space="preserve"> page, and click the vertical ellipsis next to the token.</w:t>
      </w:r>
    </w:p>
    <w:p>
      <w:pPr>
        <w:pStyle w:val="BodyText"/>
        <w:numPr>
          <w:numId w:val="137"/>
        </w:numPr>
      </w:pPr>
      <w:r>
        <w:t xml:space="preserve">To revoke the tokens of other users, in the top navigation bar, under </w:t>
      </w:r>
      <w:r>
        <w:rPr>
          <w:rStyle w:val="InlineUI"/>
        </w:rPr>
        <w:t>Administration</w:t>
      </w:r>
      <w:r>
        <w:t>, navigate to the access control settings for users. When selecting a specific user, you can also see their access tokens and revoke them.</w:t>
      </w:r>
    </w:p>
    <w:p>
      <w:pPr>
        <w:pStyle w:val="BodyText"/>
        <w:numPr>
          <w:numId w:val="137"/>
        </w:numPr>
      </w:pPr>
      <w:r>
        <w:t xml:space="preserve">If you must identify events triggered by the use of an API access token, in the event log the following line appears in the </w:t>
      </w:r>
      <w:r>
        <w:rPr>
          <w:rStyle w:val="InlineCode"/>
        </w:rPr>
        <w:t>additionalProperties</w:t>
      </w:r>
      <w:r>
        <w:t xml:space="preserve"> section of an event.</w:t>
      </w:r>
    </w:p>
    <w:p>
      <w:pPr>
        <w:pStyle w:val="CodeBlock"/>
        <w:ind w:left="480"/>
      </w:pPr>
      <w:r>
        <w:t>"currentContext.refreshTokenId": "&lt;</w:t>
      </w:r>
      <w:r>
        <w:rPr>
          <w:rStyle w:val="InlineVar"/>
        </w:rPr>
        <w:t>UUID_of_the_token_that_performed_the_action</w:t>
      </w:r>
      <w:r>
        <w:t>&gt;",</w:t>
      </w:r>
    </w:p>
    <w:p>
      <w:pPr>
        <w:pStyle w:val="Heading2"/>
      </w:pPr>
      <w:bookmarkStart w:id="180" w:name="_Toc256000564"/>
      <w:r>
        <w:t>Remapping VCF Automation Users Between Identity Providers</w:t>
      </w:r>
      <w:bookmarkEnd w:id="180"/>
    </w:p>
    <w:p>
      <w:pPr>
        <w:pStyle w:val="BodyText"/>
      </w:pPr>
      <w:r>
        <w:t xml:space="preserve">You can remap </w:t>
      </w:r>
      <w:r>
        <w:t>VCF Automation</w:t>
      </w:r>
      <w:r>
        <w:t xml:space="preserve"> users between identity providers.</w:t>
      </w:r>
    </w:p>
    <w:p>
      <w:pPr>
        <w:pStyle w:val="BodyText"/>
      </w:pPr>
      <w:r>
        <w:t xml:space="preserve">You can remap individual users from one identity provider (IDP) to another by using the </w:t>
      </w:r>
      <w:r>
        <w:t>VCF Automation</w:t>
      </w:r>
      <w:r>
        <w:t xml:space="preserve"> API. You can use the </w:t>
      </w:r>
      <w:r>
        <w:t>VCF Automation</w:t>
      </w:r>
      <w:r>
        <w:t xml:space="preserve"> UI for bulk remapping of users between identity providers.</w:t>
      </w:r>
    </w:p>
    <w:p>
      <w:pPr>
        <w:pStyle w:val="Heading3"/>
      </w:pPr>
      <w:bookmarkStart w:id="181" w:name="B54a9db12c788423a85799895db0d6052"/>
      <w:bookmarkStart w:id="182" w:name="_Toc256000565"/>
      <w:r>
        <w:t>Remap Users Between Identity Providers Using Your VCF Automation Provider Management Portal</w:t>
      </w:r>
      <w:bookmarkEnd w:id="182"/>
      <w:bookmarkEnd w:id="181"/>
    </w:p>
    <w:p>
      <w:pPr>
        <w:pStyle w:val="BodyText"/>
      </w:pPr>
      <w:r>
        <w:t xml:space="preserve">You can use the </w:t>
      </w:r>
      <w:r>
        <w:t>VCF Automation</w:t>
      </w:r>
      <w:r>
        <w:t xml:space="preserve"> UI for bulk remapping of users between identity providers.</w:t>
      </w:r>
    </w:p>
    <w:p>
      <w:pPr>
        <w:pStyle w:val="BodyText"/>
      </w:pPr>
      <w:r>
        <w:rPr>
          <w:rStyle w:val="Strong"/>
        </w:rPr>
        <w:t>Prerequisites</w:t>
      </w:r>
    </w:p>
    <w:p>
      <w:pPr>
        <w:pStyle w:val="BodyText"/>
        <w:numPr>
          <w:numId w:val="138"/>
        </w:numPr>
      </w:pPr>
      <w:r>
        <w:t>Verify that your role includes the</w:t>
      </w:r>
      <w:r>
        <w:rPr>
          <w:rStyle w:val="InlineUI"/>
        </w:rPr>
        <w:t>Group / User: Manage</w:t>
      </w:r>
      <w:r>
        <w:t xml:space="preserve"> right.</w:t>
      </w:r>
    </w:p>
    <w:p>
      <w:pPr>
        <w:pStyle w:val="BodyText"/>
        <w:numPr>
          <w:numId w:val="138"/>
        </w:numPr>
      </w:pPr>
      <w:r>
        <w:t>Verify that the organization is configured with the identity provider types that you want to remap between.</w:t>
      </w:r>
    </w:p>
    <w:p>
      <w:pPr>
        <w:pStyle w:val="BodyText"/>
      </w:pPr>
      <w:r>
        <w:rPr>
          <w:rStyle w:val="Strong"/>
        </w:rPr>
        <w:t>Procedure</w:t>
      </w:r>
    </w:p>
    <w:p>
      <w:pPr>
        <w:pStyle w:val="BodyText"/>
        <w:numPr>
          <w:numId w:val="139"/>
        </w:numPr>
      </w:pPr>
      <w:r>
        <w:t xml:space="preserve">Log in to the </w:t>
      </w:r>
      <w:r>
        <w:t>.</w:t>
      </w:r>
    </w:p>
    <w:p>
      <w:pPr>
        <w:pStyle w:val="BodyText"/>
        <w:numPr>
          <w:numId w:val="139"/>
        </w:numPr>
      </w:pPr>
      <w:r>
        <w:t xml:space="preserve">From the primary left navigation panel, select </w:t>
      </w:r>
      <w:r>
        <w:rPr>
          <w:rStyle w:val="InlineUI"/>
        </w:rPr>
        <w:t>Access Control</w:t>
      </w:r>
      <w:r>
        <w:t>.</w:t>
      </w:r>
    </w:p>
    <w:p>
      <w:pPr>
        <w:pStyle w:val="BodyText"/>
        <w:numPr>
          <w:numId w:val="139"/>
        </w:numPr>
      </w:pPr>
      <w:r>
        <w:t xml:space="preserve">Select </w:t>
      </w:r>
      <w:r>
        <w:rPr>
          <w:rStyle w:val="InlineUI"/>
        </w:rPr>
        <w:t>Users</w:t>
      </w:r>
      <w:r>
        <w:t>.</w:t>
      </w:r>
    </w:p>
    <w:p>
      <w:pPr>
        <w:pStyle w:val="BodyText"/>
        <w:numPr>
          <w:numId w:val="139"/>
        </w:numPr>
      </w:pPr>
      <w:r>
        <w:t xml:space="preserve">Click </w:t>
      </w:r>
      <w:r>
        <w:rPr>
          <w:rStyle w:val="InlineUI"/>
        </w:rPr>
        <w:t>Bulk Update</w:t>
      </w:r>
      <w:r>
        <w:t>.</w:t>
      </w:r>
    </w:p>
    <w:p>
      <w:pPr>
        <w:pStyle w:val="BodyText"/>
        <w:numPr>
          <w:numId w:val="139"/>
        </w:numPr>
      </w:pPr>
      <w:r>
        <w:t xml:space="preserve">Click </w:t>
      </w:r>
      <w:r>
        <w:rPr>
          <w:rStyle w:val="InlineUI"/>
        </w:rPr>
        <w:t>Export Users</w:t>
      </w:r>
      <w:r>
        <w:t>.</w:t>
      </w:r>
    </w:p>
    <w:p>
      <w:pPr>
        <w:pStyle w:val="BodyText"/>
        <w:ind w:left="480"/>
      </w:pPr>
      <w:r>
        <w:t>The users are exported into a CSV file.</w:t>
      </w:r>
    </w:p>
    <w:p>
      <w:pPr>
        <w:pStyle w:val="BodyText"/>
        <w:numPr>
          <w:numId w:val="139"/>
        </w:numPr>
      </w:pPr>
      <w:r>
        <w:t xml:space="preserve">In the CSV file with the users, change the value in the </w:t>
      </w:r>
      <w:r>
        <w:rPr>
          <w:rStyle w:val="InlineCode"/>
        </w:rPr>
        <w:t>providerType</w:t>
      </w:r>
      <w:r>
        <w:t xml:space="preserve"> field to identify the new IdP for each user.</w:t>
      </w:r>
    </w:p>
    <w:p>
      <w:pPr>
        <w:pStyle w:val="BodyText"/>
        <w:ind w:left="480"/>
      </w:pPr>
      <w:r>
        <w:t>VCF Automation</w:t>
      </w:r>
      <w:r>
        <w:t xml:space="preserve"> supports the </w:t>
      </w:r>
      <w:r>
        <w:rPr>
          <w:rStyle w:val="InlineCode"/>
        </w:rPr>
        <w:t>SAML</w:t>
      </w:r>
      <w:r>
        <w:t xml:space="preserve">, </w:t>
      </w:r>
      <w:r>
        <w:rPr>
          <w:rStyle w:val="InlineCode"/>
        </w:rPr>
        <w:t>LDAP</w:t>
      </w:r>
      <w:r>
        <w:t xml:space="preserve">, and </w:t>
      </w:r>
      <w:r>
        <w:rPr>
          <w:rStyle w:val="InlineCode"/>
        </w:rPr>
        <w:t>OAUTH</w:t>
      </w:r>
      <w:r>
        <w:t xml:space="preserve"> values. To remap a user to an OIDC identity provider, you must change the value in the </w:t>
      </w:r>
      <w:r>
        <w:rPr>
          <w:rStyle w:val="InlineCode"/>
        </w:rPr>
        <w:t>providerType</w:t>
      </w:r>
      <w:r>
        <w:t xml:space="preserve"> field to </w:t>
      </w:r>
      <w:r>
        <w:rPr>
          <w:rStyle w:val="InlineCode"/>
        </w:rPr>
        <w:t>OAUTH</w:t>
      </w:r>
      <w:r>
        <w:t>.</w:t>
      </w:r>
    </w:p>
    <w:p>
      <w:pPr>
        <w:pStyle w:val="BodyText"/>
        <w:numPr>
          <w:numId w:val="139"/>
        </w:numPr>
      </w:pPr>
      <w:r>
        <w:t xml:space="preserve">(Optional) </w:t>
      </w:r>
      <w:r>
        <w:t>To match the user name in the IdP that each user is remapping to, modify the user name.</w:t>
      </w:r>
    </w:p>
    <w:p>
      <w:pPr>
        <w:pStyle w:val="BodyText"/>
        <w:ind w:left="480"/>
      </w:pPr>
      <w:r>
        <w:t xml:space="preserve">For </w:t>
      </w:r>
      <w:r>
        <w:t>VCF Automation</w:t>
      </w:r>
      <w:r>
        <w:t xml:space="preserve"> to continue to associate the user's assets with the user when they log in through the new login flow, the ID of the user must remain unchanged. Changes to all other fields are ignored.</w:t>
      </w:r>
    </w:p>
    <w:p>
      <w:pPr>
        <w:pStyle w:val="BodyText"/>
        <w:numPr>
          <w:numId w:val="139"/>
        </w:numPr>
      </w:pPr>
      <w:r>
        <w:t>Save your changes and close the CSV file.</w:t>
      </w:r>
    </w:p>
    <w:p>
      <w:pPr>
        <w:pStyle w:val="BodyText"/>
        <w:numPr>
          <w:numId w:val="139"/>
        </w:numPr>
      </w:pPr>
      <w:r>
        <w:t xml:space="preserve">In the </w:t>
      </w:r>
      <w:r>
        <w:rPr>
          <w:rStyle w:val="InlineUI"/>
        </w:rPr>
        <w:t>Users Bulk Update</w:t>
      </w:r>
      <w:r>
        <w:t xml:space="preserve"> wizard, click </w:t>
      </w:r>
      <w:r>
        <w:rPr>
          <w:rStyle w:val="InlineUI"/>
        </w:rPr>
        <w:t>Next</w:t>
      </w:r>
      <w:r>
        <w:t>.</w:t>
      </w:r>
    </w:p>
    <w:p>
      <w:pPr>
        <w:pStyle w:val="BodyText"/>
        <w:numPr>
          <w:numId w:val="139"/>
        </w:numPr>
      </w:pPr>
      <w:r>
        <w:t xml:space="preserve">Click </w:t>
      </w:r>
      <w:r>
        <w:rPr>
          <w:rStyle w:val="InlineUI"/>
        </w:rPr>
        <w:t>Select CSV File</w:t>
      </w:r>
      <w:r>
        <w:t>, browse for the file, and upload it.</w:t>
      </w:r>
    </w:p>
    <w:p>
      <w:pPr>
        <w:pStyle w:val="BodyText"/>
        <w:numPr>
          <w:numId w:val="139"/>
        </w:numPr>
      </w:pPr>
      <w:r>
        <w:t xml:space="preserve">Click </w:t>
      </w:r>
      <w:r>
        <w:rPr>
          <w:rStyle w:val="InlineUI"/>
        </w:rPr>
        <w:t>Next</w:t>
      </w:r>
      <w:r>
        <w:t>.</w:t>
      </w:r>
    </w:p>
    <w:p>
      <w:pPr>
        <w:pStyle w:val="BodyText"/>
        <w:numPr>
          <w:numId w:val="139"/>
        </w:numPr>
      </w:pPr>
      <w:r>
        <w:t xml:space="preserve">Click </w:t>
      </w:r>
      <w:r>
        <w:rPr>
          <w:rStyle w:val="InlineUI"/>
        </w:rPr>
        <w:t>Update</w:t>
      </w:r>
      <w:r>
        <w:t>.</w:t>
      </w:r>
    </w:p>
    <w:p>
      <w:pPr>
        <w:pStyle w:val="BodyText"/>
        <w:ind w:left="480"/>
      </w:pPr>
      <w:r>
        <w:t xml:space="preserve">When you start the update process, users are remapped one by one. Users for which no changes are detected are skipped. If you close the </w:t>
      </w:r>
      <w:r>
        <w:t>VCF Automation</w:t>
      </w:r>
      <w:r>
        <w:t xml:space="preserve"> UI tab while before the process is complete, the update stops.</w:t>
      </w:r>
    </w:p>
    <w:p>
      <w:pPr>
        <w:pStyle w:val="Heading3"/>
      </w:pPr>
      <w:bookmarkStart w:id="183" w:name="_Toc256000566"/>
      <w:r>
        <w:t>Remap a User Between Identity Providers by Using the VCF Automation API</w:t>
      </w:r>
      <w:bookmarkEnd w:id="183"/>
    </w:p>
    <w:p>
      <w:pPr>
        <w:pStyle w:val="BodyText"/>
      </w:pPr>
      <w:r>
        <w:t xml:space="preserve">You can remap individual users from one identity provider (IdP) to another by using the </w:t>
      </w:r>
      <w:r>
        <w:t>VCF Automation</w:t>
      </w:r>
      <w:r>
        <w:t xml:space="preserve"> API.</w:t>
      </w:r>
    </w:p>
    <w:p>
      <w:pPr>
        <w:pStyle w:val="BodyText"/>
      </w:pPr>
      <w:r>
        <w:t xml:space="preserve">For information about bulk remapping of users between identity providers by using the </w:t>
      </w:r>
      <w:r>
        <w:t>VCF Automation</w:t>
      </w:r>
      <w:r>
        <w:t xml:space="preserve"> UI, see </w:t>
      </w:r>
      <w:r>
        <w:t>Remap Users Between Identity Providers Using Your VCF Automation Provider Management Portal</w:t>
      </w:r>
      <w:r>
        <w:t>.</w:t>
      </w:r>
    </w:p>
    <w:p>
      <w:pPr>
        <w:pStyle w:val="BodyText"/>
      </w:pPr>
      <w:r>
        <w:rPr>
          <w:rStyle w:val="Strong"/>
        </w:rPr>
        <w:t>Prerequisites</w:t>
      </w:r>
    </w:p>
    <w:p>
      <w:pPr>
        <w:pStyle w:val="BodyText"/>
        <w:numPr>
          <w:numId w:val="140"/>
        </w:numPr>
      </w:pPr>
      <w:r>
        <w:t>Verify that your role includes the</w:t>
      </w:r>
      <w:r>
        <w:rPr>
          <w:rStyle w:val="InlineUI"/>
        </w:rPr>
        <w:t>Group / User: Manage</w:t>
      </w:r>
      <w:r>
        <w:t xml:space="preserve"> right.</w:t>
      </w:r>
    </w:p>
    <w:p>
      <w:pPr>
        <w:pStyle w:val="BodyText"/>
        <w:numPr>
          <w:numId w:val="140"/>
        </w:numPr>
      </w:pPr>
      <w:r>
        <w:t>Verify that the organization is configured with the identity provider types that you want to remap between.</w:t>
      </w:r>
    </w:p>
    <w:p>
      <w:pPr>
        <w:pStyle w:val="BodyText"/>
      </w:pPr>
      <w:r>
        <w:rPr>
          <w:rStyle w:val="Strong"/>
        </w:rPr>
        <w:t>Procedure</w:t>
      </w:r>
    </w:p>
    <w:p>
      <w:pPr>
        <w:pStyle w:val="BodyText"/>
        <w:numPr>
          <w:numId w:val="141"/>
        </w:numPr>
      </w:pPr>
      <w:r>
        <w:t xml:space="preserve">Make a GET request to </w:t>
      </w:r>
      <w:r>
        <w:rPr>
          <w:rStyle w:val="InlineCode"/>
        </w:rPr>
        <w:t>/cloudapi/1.0.0/users</w:t>
      </w:r>
      <w:r>
        <w:t>.</w:t>
      </w:r>
    </w:p>
    <w:p>
      <w:pPr>
        <w:pStyle w:val="BodyText"/>
        <w:ind w:left="480"/>
      </w:pPr>
      <w:r>
        <w:t>VCF Automation</w:t>
      </w:r>
      <w:r>
        <w:t xml:space="preserve"> returns a list of the users within the organization.</w:t>
      </w:r>
    </w:p>
    <w:p>
      <w:pPr>
        <w:pStyle w:val="BodyText"/>
        <w:numPr>
          <w:numId w:val="141"/>
        </w:numPr>
      </w:pPr>
      <w:r>
        <w:t>Locate the user you want to remap, and retrieve the user information.</w:t>
      </w:r>
    </w:p>
    <w:p>
      <w:pPr>
        <w:pStyle w:val="CodeBlock"/>
        <w:ind w:left="480"/>
      </w:pPr>
      <w:r>
        <w:t>GET /cloudapi/1.0.0/users/</w:t>
      </w:r>
      <w:r>
        <w:rPr>
          <w:rStyle w:val="InlineVar"/>
        </w:rPr>
        <w:t>{user_id}</w:t>
      </w:r>
    </w:p>
    <w:p>
      <w:pPr>
        <w:pStyle w:val="BodyText"/>
        <w:numPr>
          <w:numId w:val="141"/>
        </w:numPr>
      </w:pPr>
      <w:r>
        <w:t xml:space="preserve">Make a PUT request to </w:t>
      </w:r>
      <w:r>
        <w:rPr>
          <w:rStyle w:val="InlineCode"/>
        </w:rPr>
        <w:t>/cloudapi/1.0.0/users/</w:t>
      </w:r>
      <w:r>
        <w:rPr>
          <w:rStyle w:val="InlineVar"/>
        </w:rPr>
        <w:t>{user_id}</w:t>
      </w:r>
      <w:r>
        <w:t>.</w:t>
      </w:r>
    </w:p>
    <w:p>
      <w:pPr>
        <w:pStyle w:val="BodyText"/>
        <w:ind w:left="480"/>
      </w:pPr>
      <w:r>
        <w:t xml:space="preserve">To remap a user, you must change the </w:t>
      </w:r>
      <w:r>
        <w:rPr>
          <w:rStyle w:val="InlineCode"/>
        </w:rPr>
        <w:t>providerType</w:t>
      </w:r>
      <w:r>
        <w:t xml:space="preserve"> field to identify the new IDP. </w:t>
      </w:r>
      <w:r>
        <w:t>VCF Automation</w:t>
      </w:r>
      <w:r>
        <w:t xml:space="preserve"> supports the </w:t>
      </w:r>
      <w:r>
        <w:rPr>
          <w:rStyle w:val="InlineCode"/>
        </w:rPr>
        <w:t>SAML</w:t>
      </w:r>
      <w:r>
        <w:t xml:space="preserve">, </w:t>
      </w:r>
      <w:r>
        <w:rPr>
          <w:rStyle w:val="InlineCode"/>
        </w:rPr>
        <w:t>LDAP</w:t>
      </w:r>
      <w:r>
        <w:t xml:space="preserve">, and </w:t>
      </w:r>
      <w:r>
        <w:rPr>
          <w:rStyle w:val="InlineCode"/>
        </w:rPr>
        <w:t>OAUTH</w:t>
      </w:r>
      <w:r>
        <w:t xml:space="preserve"> values. Additionally, to match the user name in the IDP that the user is remapping to, you can modify the user name. For </w:t>
      </w:r>
      <w:r>
        <w:t>VCF Automation</w:t>
      </w:r>
      <w:r>
        <w:t xml:space="preserve"> to continue to associate the user's assets with the user when they log in through the new login flow, the ID of the user must remain unchanged.</w:t>
      </w:r>
    </w:p>
    <w:p>
      <w:pPr>
        <w:pStyle w:val="BodyText"/>
        <w:pBdr>
          <w:top w:val="single" w:sz="8" w:space="2" w:color="D3D3D3"/>
        </w:pBdr>
        <w:ind w:left="480"/>
      </w:pPr>
      <w:r>
        <w:rPr>
          <w:rStyle w:val="NoteLeaderimportant"/>
        </w:rPr>
        <w:t>Important</w:t>
        <w:tab/>
      </w:r>
      <w:r>
        <w:t xml:space="preserve">If you are remapping to provider type </w:t>
      </w:r>
      <w:r>
        <w:rPr>
          <w:rStyle w:val="InlineCode"/>
        </w:rPr>
        <w:t>LDAP</w:t>
      </w:r>
      <w:r>
        <w:t xml:space="preserve">, </w:t>
      </w:r>
      <w:r>
        <w:t>VCF Automation</w:t>
      </w:r>
      <w:r>
        <w:t xml:space="preserve"> validates the user name with the LDAP server before committing the operation. If </w:t>
      </w:r>
      <w:r>
        <w:t>VCF Automation</w:t>
      </w:r>
      <w:r>
        <w:t xml:space="preserve"> does not complete this step for any reason, for example, loss of connectivity to the LDAP server, the remapping fails.</w:t>
      </w:r>
    </w:p>
    <w:p>
      <w:pPr>
        <w:pStyle w:val="BodyText"/>
        <w:pBdr>
          <w:bottom w:val="single" w:sz="8" w:space="2" w:color="D3D3D3"/>
        </w:pBdr>
        <w:ind w:left="480"/>
      </w:pPr>
      <w:r>
        <w:t xml:space="preserve">If you are remapping a user to be a local user by specifying provider type </w:t>
      </w:r>
      <w:r>
        <w:rPr>
          <w:rStyle w:val="InlineCode"/>
        </w:rPr>
        <w:t>LOCAL</w:t>
      </w:r>
      <w:r>
        <w:t>, similar to the process of creating a user, you must provide a password.</w:t>
      </w:r>
    </w:p>
    <w:p>
      <w:pPr>
        <w:pStyle w:val="BodyText"/>
        <w:numPr>
          <w:numId w:val="141"/>
        </w:numPr>
      </w:pPr>
      <w:r>
        <w:t xml:space="preserve">Verify that </w:t>
      </w:r>
      <w:r>
        <w:t>VCF Automation</w:t>
      </w:r>
      <w:r>
        <w:t xml:space="preserve"> returns an </w:t>
      </w:r>
      <w:r>
        <w:rPr>
          <w:rStyle w:val="InlineCode"/>
        </w:rPr>
        <w:t>OK</w:t>
      </w:r>
      <w:r>
        <w:t xml:space="preserve"> response specifying the newly remapped provider type in the response body.</w:t>
      </w:r>
    </w:p>
    <w:p>
      <w:pPr>
        <w:pStyle w:val="BodyText"/>
      </w:pPr>
      <w:r>
        <w:t>To find the user that you want to remap, make the following request.</w:t>
      </w:r>
    </w:p>
    <w:p>
      <w:pPr>
        <w:pStyle w:val="BodyText"/>
      </w:pPr>
      <w:r>
        <w:t>Request:</w:t>
      </w:r>
    </w:p>
    <w:p>
      <w:pPr>
        <w:pStyle w:val="CodeBlock"/>
      </w:pPr>
      <w:r>
        <w:t>GET /cloudapi/1.0.0/users?pageSize=10 HTTP/1.1
Host: 127.0.0.1:8443
Accept: application/json;version=37.1</w:t>
      </w:r>
    </w:p>
    <w:p>
      <w:pPr>
        <w:pStyle w:val="BodyText"/>
      </w:pPr>
      <w:r>
        <w:t>Sample response:</w:t>
      </w:r>
    </w:p>
    <w:p>
      <w:pPr>
        <w:pStyle w:val="CodeBlock"/>
      </w:pPr>
      <w:r>
        <w:t>{
  "resultTotal": 2,
  "pageCount": 1,
  "page": 1,
  "pageSize": 10,
  "associations": null,
  "values": [
    ...,
    {
      "username": "testuser",
      "fullName": "",
      "description": null,
      "id": "urn:vcloud:user:2b038199-0063-4c13-9bba-a3b58d775785",
      "roleEntityRefs": [
        {
          "name": "vApp Author",
          "id": "urn:vcloud:role:85f69506-52a5-3e20-869a-ea18d667e19e"
        }
      ],
      "orgEntityRef": {
        "name": "testorg",
        "id": "urn:vcloud:org:806f0d87-c8b9-47f5-bfbe-3dc73a4c0d14"
      },
      "password": "******",
      "email": "",
      "nameInSource": "testuser",
      "enabled": true,
      "isGroupRole": false,
      "providerType": "LOCAL"
    }
  ]
}</w:t>
      </w:r>
    </w:p>
    <w:p>
      <w:pPr>
        <w:pStyle w:val="BodyText"/>
      </w:pPr>
      <w:r>
        <w:t xml:space="preserve">To remap </w:t>
      </w:r>
      <w:r>
        <w:rPr>
          <w:rStyle w:val="InlineCode"/>
        </w:rPr>
        <w:t>testuser</w:t>
      </w:r>
      <w:r>
        <w:t xml:space="preserve"> from </w:t>
      </w:r>
      <w:r>
        <w:rPr>
          <w:rStyle w:val="InlineCode"/>
        </w:rPr>
        <w:t>LOCAL</w:t>
      </w:r>
      <w:r>
        <w:t xml:space="preserve"> to </w:t>
      </w:r>
      <w:r>
        <w:rPr>
          <w:rStyle w:val="InlineCode"/>
        </w:rPr>
        <w:t>LDAP</w:t>
      </w:r>
      <w:r>
        <w:t>, make a PUT request.</w:t>
      </w:r>
    </w:p>
    <w:p>
      <w:pPr>
        <w:pStyle w:val="BodyText"/>
      </w:pPr>
      <w:r>
        <w:t>Request:</w:t>
      </w:r>
    </w:p>
    <w:p>
      <w:pPr>
        <w:pStyle w:val="CodeBlock"/>
      </w:pPr>
      <w:r>
        <w:t>PUT /cloudapi/1.0.0/users/urn:vcloud:user:2b038199-0063-4c13-9bba-a3b58d775785 HTTP/1.1
Host: 127.0.0.1:8443
Accept: application/json;version=37.1
Content-Type: application/json;version=37.1
Body: {
  "username": "testuser",
  "fullName": "",
  "description": null,
  "id": "urn:vcloud:user:2b038199-0063-4c13-9bba-a3b58d775785",
  "roleEntityRefs": [
    {
      "name": "vApp Author",
      "id": "urn:vcloud:role:85f69506-52a5-3e20-869a-ea18d667e19e"
    }
  ],
  "orgEntityRef": {
    "name": "testorg",
    "id": "urn:vcloud:org:806f0d87-c8b9-47f5-bfbe-3dc73a4c0d14"
  },
  "password": "******",
  "email": "",
  "nameInSource": "testuser",
  "enabled": true,
  "isGroupRole": false,
  "providerType": "LDAP"
}</w:t>
      </w:r>
    </w:p>
    <w:p>
      <w:pPr>
        <w:pStyle w:val="BodyText"/>
      </w:pPr>
      <w:r>
        <w:t>Sample response:</w:t>
      </w:r>
    </w:p>
    <w:p>
      <w:pPr>
        <w:pStyle w:val="CodeBlock"/>
      </w:pPr>
      <w:r>
        <w:t>{
  "username": "testuser",
  "fullName": "",
  "description": null,
  "id": "urn:vcloud:user:2b038199-0063-4c13-9bba-a3b58d775785",
  "roleEntityRefs": [
    {
      "name": "vApp Author",
      "id": "urn:vcloud:role:85f69506-52a5-3e20-869a-ea18d667e19e"
    }
  ],
  "orgEntityRef": {
    "name": "testorg",
    "id": "urn:vcloud:org:806f0d87-c8b9-47f5-bfbe-3dc73a4c0d14"
  },
  "password": null,
  "email": "",
  "nameInSource": "\\63\\36\\62\\35\\30\\66\\35\\63\\2D\\61\\62\\30\\35\\2D\\34\\37\\64\\33\\2D\\62\\61\\64\\34\\2D\\39\\32\\64\\35\\32\\37\\30\\36\\62\\39\\39\\33",
  "enabled": true,
  "isGroupRole": false,
  "providerType": "LDAP"
}</w:t>
      </w:r>
    </w:p>
    <w:p>
      <w:pPr>
        <w:pStyle w:val="Heading1"/>
      </w:pPr>
      <w:bookmarkStart w:id="184" w:name="_Toc256000567"/>
      <w:r>
        <w:t>Using VCF Automation as an Identity Provider Proxy Server</w:t>
      </w:r>
      <w:bookmarkEnd w:id="184"/>
    </w:p>
    <w:p>
      <w:pPr>
        <w:pStyle w:val="BodyText"/>
      </w:pPr>
      <w:r>
        <w:t xml:space="preserve">You can take advantage of the </w:t>
      </w:r>
      <w:r>
        <w:rPr>
          <w:rStyle w:val="InlineUI"/>
        </w:rPr>
        <w:t>OIDC Services</w:t>
      </w:r>
      <w:r>
        <w:t xml:space="preserve"> to use </w:t>
      </w:r>
      <w:r>
        <w:t>VCF Automation</w:t>
      </w:r>
      <w:r>
        <w:t xml:space="preserve"> as a tenant-aware identity provider proxy server.</w:t>
      </w:r>
    </w:p>
    <w:p>
      <w:pPr>
        <w:pStyle w:val="BodyText"/>
      </w:pPr>
      <w:r>
        <w:t xml:space="preserve">When </w:t>
      </w:r>
      <w:r>
        <w:t>VCF Automation</w:t>
      </w:r>
      <w:r>
        <w:t xml:space="preserve"> is configured as an identity provider proxy server by using the OAuth 2.0 OpenID Connect standard, relying parties can use </w:t>
      </w:r>
      <w:r>
        <w:t>VCF Automation</w:t>
      </w:r>
      <w:r>
        <w:t xml:space="preserve"> for tenant-aware authentication of users known to </w:t>
      </w:r>
      <w:r>
        <w:t>VCF Automation</w:t>
      </w:r>
      <w:r>
        <w:t xml:space="preserve">. For detailed information on the OpenID Connect standard, see </w:t>
      </w:r>
      <w:hyperlink r:id="rId21" w:tooltip="OpenID Connect Core 1.0" w:history="1">
        <w:r>
          <w:rPr>
            <w:color w:val="0000FF"/>
            <w:u w:val="single"/>
          </w:rPr>
          <w:t>OpenID Connect Core 1.0</w:t>
        </w:r>
      </w:hyperlink>
      <w:r>
        <w:t>.</w:t>
      </w:r>
    </w:p>
    <w:p>
      <w:pPr>
        <w:pStyle w:val="BodyText"/>
      </w:pPr>
      <w:r>
        <w:t xml:space="preserve">As an identity provider proxy server, </w:t>
      </w:r>
      <w:r>
        <w:t>VCF Automation</w:t>
      </w:r>
      <w:r>
        <w:t xml:space="preserve"> acts as intermediary between the client application (relying party) and the identity provider, and delegates actual authentication to the respective authentication mechanism used by the provider or tenants.</w:t>
      </w:r>
    </w:p>
    <w:p>
      <w:pPr>
        <w:pStyle w:val="BodyText"/>
      </w:pPr>
      <w:r>
        <w:t xml:space="preserve">A </w:t>
      </w:r>
      <w:r>
        <w:rPr>
          <w:rStyle w:val="InlineUI"/>
        </w:rPr>
        <w:t>system administrator</w:t>
      </w:r>
      <w:r>
        <w:t xml:space="preserve"> can configure relying parties that integrate with </w:t>
      </w:r>
      <w:r>
        <w:t>VCF Automation</w:t>
      </w:r>
      <w:r>
        <w:t xml:space="preserve"> and then enable individual organizations to allow their users to use </w:t>
      </w:r>
      <w:r>
        <w:t>VCF Automation</w:t>
      </w:r>
      <w:r>
        <w:t xml:space="preserve"> as an identity provider proxy.</w:t>
      </w:r>
    </w:p>
    <w:p>
      <w:pPr>
        <w:pStyle w:val="BodyText"/>
        <w:pBdr>
          <w:top w:val="single" w:sz="8" w:space="2" w:color="D3D3D3"/>
          <w:bottom w:val="single" w:sz="8" w:space="2" w:color="D3D3D3"/>
        </w:pBdr>
      </w:pPr>
      <w:r>
        <w:rPr>
          <w:rStyle w:val="NoteLeaderimportant"/>
        </w:rPr>
        <w:t>Important</w:t>
        <w:tab/>
      </w:r>
      <w:r>
        <w:t xml:space="preserve">When making browser-based requests to the </w:t>
      </w:r>
      <w:r>
        <w:rPr>
          <w:rStyle w:val="InlineCode"/>
        </w:rPr>
        <w:t>/oidc</w:t>
      </w:r>
      <w:r>
        <w:t xml:space="preserve"> endpoints, the default behavior is for browser pages to be loaded from the </w:t>
      </w:r>
      <w:r>
        <w:t>VCF Automation</w:t>
      </w:r>
      <w:r>
        <w:t xml:space="preserve"> host. To use OIDC, you can also configure a non-</w:t>
      </w:r>
      <w:r>
        <w:t>VCF Automation</w:t>
      </w:r>
      <w:r>
        <w:t xml:space="preserve"> host into the CORS filtering list.</w:t>
      </w:r>
    </w:p>
    <w:p>
      <w:pPr>
        <w:pStyle w:val="SectionHeading2"/>
      </w:pPr>
      <w:bookmarkStart w:id="185" w:name="_Toc256000568"/>
      <w:r>
        <w:t>Authentication Flow</w:t>
      </w:r>
      <w:bookmarkEnd w:id="185"/>
    </w:p>
    <w:p>
      <w:pPr>
        <w:pStyle w:val="BodyText"/>
      </w:pPr>
      <w:r>
        <w:t xml:space="preserve">Integration with </w:t>
      </w:r>
      <w:r>
        <w:t>VCF Automation</w:t>
      </w:r>
      <w:r>
        <w:t xml:space="preserve"> is implemented through the OAuth 2.0 OIDC authorization code flow standard. For detailed information, see </w:t>
      </w:r>
      <w:hyperlink r:id="rId22" w:tooltip="Authentication using the Authorization Code Flow" w:history="1">
        <w:r>
          <w:rPr>
            <w:color w:val="0000FF"/>
            <w:u w:val="single"/>
          </w:rPr>
          <w:t>Authentication using the Authorization Code Flow</w:t>
        </w:r>
      </w:hyperlink>
      <w:r>
        <w:t>.</w:t>
      </w:r>
    </w:p>
    <w:p>
      <w:pPr>
        <w:pStyle w:val="BodyText"/>
      </w:pPr>
      <w:r>
        <w:t xml:space="preserve">When a relying party redirects a user to </w:t>
      </w:r>
      <w:r>
        <w:t>VCF Automation</w:t>
      </w:r>
      <w:r>
        <w:t xml:space="preserve">, if there is no existing client session, the user is prompted to log in to </w:t>
      </w:r>
      <w:r>
        <w:t>VCF Automation</w:t>
      </w:r>
      <w:r>
        <w:t xml:space="preserve"> by first identifying the organization or provider portal they wish to log into. The user authenticates through the configured authentication mechanism, which may involve further redirections to external identity providers. If the user's browser detects an existing </w:t>
      </w:r>
      <w:r>
        <w:t>VCF Automation</w:t>
      </w:r>
      <w:r>
        <w:t xml:space="preserve"> user session, the authentication flow provides an SSO experience and no user interaction is required for reauthentication. Upon successful completion of the process, </w:t>
      </w:r>
      <w:r>
        <w:t>VCF Automation</w:t>
      </w:r>
      <w:r>
        <w:t xml:space="preserve"> returns an access token and an ID token. The authorization code that is issued as part of the flow is valid for 5 minutes. The access token is valid for 5 minutes, and the ID token is valid for an hour.</w:t>
      </w:r>
    </w:p>
    <w:p>
      <w:pPr>
        <w:pStyle w:val="BodyText"/>
        <w:pBdr>
          <w:top w:val="single" w:sz="8" w:space="2" w:color="D3D3D3"/>
          <w:bottom w:val="single" w:sz="8" w:space="2" w:color="D3D3D3"/>
        </w:pBdr>
      </w:pPr>
      <w:r>
        <w:rPr>
          <w:rStyle w:val="NoteLeadernote"/>
        </w:rPr>
        <w:t>Note</w:t>
        <w:tab/>
      </w:r>
      <w:r>
        <w:t>VCF Automation</w:t>
      </w:r>
      <w:r>
        <w:t xml:space="preserve"> does not return a refresh token.</w:t>
      </w:r>
    </w:p>
    <w:p>
      <w:pPr>
        <w:pStyle w:val="BodyText"/>
      </w:pPr>
      <w:r>
        <w:t xml:space="preserve">You cannot use the access token that </w:t>
      </w:r>
      <w:r>
        <w:t>VCF Automation</w:t>
      </w:r>
      <w:r>
        <w:t xml:space="preserve"> returns upon successful authentication for accessing the UI portals or for making regular </w:t>
      </w:r>
      <w:r>
        <w:t>VCF Automation</w:t>
      </w:r>
      <w:r>
        <w:t xml:space="preserve"> API calls.</w:t>
      </w:r>
    </w:p>
    <w:p>
      <w:pPr>
        <w:pStyle w:val="ditaDT"/>
      </w:pPr>
      <w:r>
        <w:t>ID Token Details</w:t>
      </w:r>
    </w:p>
    <w:p>
      <w:pPr>
        <w:pStyle w:val="ditaDD"/>
      </w:pPr>
      <w:r>
        <w:t xml:space="preserve">The ID token that </w:t>
      </w:r>
      <w:r>
        <w:t>VCF Automation</w:t>
      </w:r>
      <w:r>
        <w:t xml:space="preserve"> returns contains the following OpenID standard claims and </w:t>
      </w:r>
      <w:r>
        <w:t>VCF Automation</w:t>
      </w:r>
      <w:r>
        <w:t xml:space="preserve"> specific claims.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2"/>
        <w:gridCol w:w="769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Claim</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at_hash</w:t>
            </w:r>
          </w:p>
        </w:tc>
        <w:tc>
          <w:tcPr>
            <w:tcBorders>
              <w:left w:val="nil"/>
              <w:right w:val="nil"/>
            </w:tcBorders>
          </w:tcPr>
          <w:p>
            <w:pPr>
              <w:pStyle w:val="TableBodyText"/>
            </w:pPr>
            <w:r>
              <w:t>(OpenID standard claim) Access token hash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sub</w:t>
            </w:r>
          </w:p>
        </w:tc>
        <w:tc>
          <w:tcPr>
            <w:tcBorders>
              <w:left w:val="nil"/>
              <w:right w:val="nil"/>
            </w:tcBorders>
          </w:tcPr>
          <w:p>
            <w:pPr>
              <w:pStyle w:val="TableBodyText"/>
            </w:pPr>
            <w:r>
              <w:t xml:space="preserve">(OpenID standard claim) The </w:t>
            </w:r>
            <w:r>
              <w:rPr>
                <w:rStyle w:val="InlineCode"/>
              </w:rPr>
              <w:t>userId</w:t>
            </w:r>
            <w:r>
              <w:t xml:space="preserve"> in </w:t>
            </w:r>
            <w:r>
              <w:t>VCF Automation</w:t>
            </w:r>
            <w:r>
              <w:t>in UUID format.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iss</w:t>
            </w:r>
          </w:p>
        </w:tc>
        <w:tc>
          <w:tcPr>
            <w:tcBorders>
              <w:left w:val="nil"/>
              <w:right w:val="nil"/>
            </w:tcBorders>
          </w:tcPr>
          <w:p>
            <w:pPr>
              <w:pStyle w:val="TableBodyText"/>
            </w:pPr>
            <w:r>
              <w:t xml:space="preserve">(OpenID standard claim) Public address of </w:t>
            </w:r>
            <w:r>
              <w:t>VCF Automation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preferred_username</w:t>
            </w:r>
          </w:p>
        </w:tc>
        <w:tc>
          <w:tcPr>
            <w:tcBorders>
              <w:left w:val="nil"/>
              <w:right w:val="nil"/>
            </w:tcBorders>
          </w:tcPr>
          <w:p>
            <w:pPr>
              <w:pStyle w:val="TableBodyText"/>
            </w:pPr>
            <w:r>
              <w:t xml:space="preserve">(OpenID standard claim) User name of the user in </w:t>
            </w:r>
            <w:r>
              <w:t>VCF Automation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nonce</w:t>
            </w:r>
          </w:p>
        </w:tc>
        <w:tc>
          <w:tcPr>
            <w:tcBorders>
              <w:left w:val="nil"/>
              <w:right w:val="nil"/>
            </w:tcBorders>
          </w:tcPr>
          <w:p>
            <w:pPr>
              <w:pStyle w:val="TableBodyText"/>
            </w:pPr>
            <w:r>
              <w:t>(OpenID standard claim) String value used to associate a client session with an ID token, and to mitigate replay attacks. Only present if it was initially included in the relying party request.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aud</w:t>
            </w:r>
          </w:p>
        </w:tc>
        <w:tc>
          <w:tcPr>
            <w:tcBorders>
              <w:left w:val="nil"/>
              <w:right w:val="nil"/>
            </w:tcBorders>
          </w:tcPr>
          <w:p>
            <w:pPr>
              <w:pStyle w:val="TableBodyText"/>
            </w:pPr>
            <w:r>
              <w:t>(OpenID standard claim) The audience for this token. The value is the client ID of requesting relying party.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azp</w:t>
            </w:r>
          </w:p>
        </w:tc>
        <w:tc>
          <w:tcPr>
            <w:tcBorders>
              <w:left w:val="nil"/>
              <w:right w:val="nil"/>
            </w:tcBorders>
          </w:tcPr>
          <w:p>
            <w:pPr>
              <w:pStyle w:val="TableBodyText"/>
            </w:pPr>
            <w:r>
              <w:t xml:space="preserve">(OpenID standard claim) Authorized party for the token. The value is the client ID of the relying party. Its value is same as the </w:t>
            </w:r>
            <w:r>
              <w:rPr>
                <w:rStyle w:val="InlineCode"/>
              </w:rPr>
              <w:t>aud</w:t>
            </w:r>
            <w:r>
              <w:t xml:space="preserve"> claim.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name</w:t>
            </w:r>
          </w:p>
        </w:tc>
        <w:tc>
          <w:tcPr>
            <w:tcBorders>
              <w:left w:val="nil"/>
              <w:right w:val="nil"/>
            </w:tcBorders>
          </w:tcPr>
          <w:p>
            <w:pPr>
              <w:pStyle w:val="TableBodyText"/>
            </w:pPr>
            <w:r>
              <w:t xml:space="preserve">(OpenID standard claim) Full name of the user, if known to </w:t>
            </w:r>
            <w:r>
              <w:t>VCF Automation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phone_number</w:t>
            </w:r>
          </w:p>
        </w:tc>
        <w:tc>
          <w:tcPr>
            <w:tcBorders>
              <w:left w:val="nil"/>
              <w:right w:val="nil"/>
            </w:tcBorders>
          </w:tcPr>
          <w:p>
            <w:pPr>
              <w:pStyle w:val="TableBodyText"/>
            </w:pPr>
            <w:r>
              <w:t xml:space="preserve">(OpenID standard claim) Phone number of the user, if known to </w:t>
            </w:r>
            <w:r>
              <w:t>VCF Automation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exp</w:t>
            </w:r>
          </w:p>
        </w:tc>
        <w:tc>
          <w:tcPr>
            <w:tcBorders>
              <w:left w:val="nil"/>
              <w:right w:val="nil"/>
            </w:tcBorders>
          </w:tcPr>
          <w:p>
            <w:pPr>
              <w:pStyle w:val="TableBodyText"/>
            </w:pPr>
            <w:r>
              <w:t>(OpenID standard claim) Expiration time. Time after which the ID token is not accepted for processing.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iat</w:t>
            </w:r>
          </w:p>
        </w:tc>
        <w:tc>
          <w:tcPr>
            <w:tcBorders>
              <w:left w:val="nil"/>
              <w:right w:val="nil"/>
            </w:tcBorders>
          </w:tcPr>
          <w:p>
            <w:pPr>
              <w:pStyle w:val="TableBodyText"/>
            </w:pPr>
            <w:r>
              <w:t>(OpenID standard claim) Time at which the ID token was issued.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email</w:t>
            </w:r>
          </w:p>
        </w:tc>
        <w:tc>
          <w:tcPr>
            <w:tcBorders>
              <w:left w:val="nil"/>
              <w:right w:val="nil"/>
            </w:tcBorders>
          </w:tcPr>
          <w:p>
            <w:pPr>
              <w:pStyle w:val="TableBodyText"/>
            </w:pPr>
            <w:r>
              <w:t xml:space="preserve">(OpenID standard claim) Email address of the user, if known to </w:t>
            </w:r>
            <w:r>
              <w:t>VCF Automation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roles</w:t>
            </w:r>
          </w:p>
        </w:tc>
        <w:tc>
          <w:tcPr>
            <w:tcBorders>
              <w:left w:val="nil"/>
              <w:right w:val="nil"/>
            </w:tcBorders>
          </w:tcPr>
          <w:p>
            <w:pPr>
              <w:pStyle w:val="TableBodyText"/>
            </w:pPr>
            <w:r>
              <w:t>(</w:t>
            </w:r>
            <w:r>
              <w:t>VCF Automation</w:t>
            </w:r>
            <w:r>
              <w:t xml:space="preserve"> custom claim) An array of the names of the roles the user has in </w:t>
            </w:r>
            <w:r>
              <w:t>VCF Automation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groups</w:t>
            </w:r>
          </w:p>
        </w:tc>
        <w:tc>
          <w:tcPr>
            <w:tcBorders>
              <w:left w:val="nil"/>
              <w:right w:val="nil"/>
            </w:tcBorders>
          </w:tcPr>
          <w:p>
            <w:pPr>
              <w:pStyle w:val="TableBodyText"/>
            </w:pPr>
            <w:r>
              <w:t>(</w:t>
            </w:r>
            <w:r>
              <w:t>VCF Automation</w:t>
            </w:r>
            <w:r>
              <w:t xml:space="preserve"> custom claim) An array of the names of the groups in which the user belongs in </w:t>
            </w:r>
            <w:r>
              <w:t>VCF Automation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org_name</w:t>
            </w:r>
          </w:p>
        </w:tc>
        <w:tc>
          <w:tcPr>
            <w:tcBorders>
              <w:left w:val="nil"/>
              <w:right w:val="nil"/>
            </w:tcBorders>
          </w:tcPr>
          <w:p>
            <w:pPr>
              <w:pStyle w:val="TableBodyText"/>
            </w:pPr>
            <w:r>
              <w:t>(</w:t>
            </w:r>
            <w:r>
              <w:t>VCF Automation</w:t>
            </w:r>
            <w:r>
              <w:t xml:space="preserve"> custom claim) Name of the organization in which the user is logged in.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org_display_name</w:t>
            </w:r>
          </w:p>
        </w:tc>
        <w:tc>
          <w:tcPr>
            <w:tcBorders>
              <w:left w:val="nil"/>
              <w:right w:val="nil"/>
            </w:tcBorders>
          </w:tcPr>
          <w:p>
            <w:pPr>
              <w:pStyle w:val="TableBodyText"/>
            </w:pPr>
            <w:r>
              <w:t>(</w:t>
            </w:r>
            <w:r>
              <w:t>VCF Automation</w:t>
            </w:r>
            <w:r>
              <w:t xml:space="preserve"> custom claim) Display name of the organization.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org_id</w:t>
            </w:r>
          </w:p>
        </w:tc>
        <w:tc>
          <w:tcPr>
            <w:tcBorders>
              <w:left w:val="nil"/>
              <w:right w:val="nil"/>
            </w:tcBorders>
          </w:tcPr>
          <w:p>
            <w:pPr>
              <w:pStyle w:val="TableBodyText"/>
            </w:pPr>
            <w:r>
              <w:t>(</w:t>
            </w:r>
            <w:r>
              <w:t>VCF Automation</w:t>
            </w:r>
            <w:r>
              <w:t xml:space="preserve"> custom claim) The organization ID in UUID format.</w:t>
            </w:r>
          </w:p>
        </w:tc>
      </w:tr>
    </w:tbl>
    <w:p>
      <w:pPr>
        <w:pStyle w:val="ditaDT"/>
        <w:spacing w:before="240"/>
      </w:pPr>
      <w:r>
        <w:t>OpenID Request Scopes</w:t>
      </w:r>
    </w:p>
    <w:p>
      <w:pPr>
        <w:pStyle w:val="ditaDD"/>
      </w:pPr>
      <w:r>
        <w:t>The scope of the OpenID request is used to specify the privileges requested for an access token.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73"/>
        <w:gridCol w:w="85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Scope Values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openid</w:t>
            </w:r>
          </w:p>
        </w:tc>
        <w:tc>
          <w:tcPr>
            <w:tcBorders>
              <w:left w:val="nil"/>
              <w:right w:val="nil"/>
            </w:tcBorders>
          </w:tcPr>
          <w:p>
            <w:pPr>
              <w:pStyle w:val="TableBodyText"/>
            </w:pPr>
            <w:r>
              <w:t>Required. OpenID standard scope.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profile</w:t>
            </w:r>
          </w:p>
        </w:tc>
        <w:tc>
          <w:tcPr>
            <w:tcBorders>
              <w:left w:val="nil"/>
              <w:right w:val="nil"/>
            </w:tcBorders>
          </w:tcPr>
          <w:p>
            <w:pPr>
              <w:pStyle w:val="TableBodyText"/>
            </w:pPr>
            <w:r>
              <w:t>OpenID standard scope. Requests access to the end-user default profile claims.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email</w:t>
            </w:r>
          </w:p>
        </w:tc>
        <w:tc>
          <w:tcPr>
            <w:tcBorders>
              <w:left w:val="nil"/>
              <w:right w:val="nil"/>
            </w:tcBorders>
          </w:tcPr>
          <w:p>
            <w:pPr>
              <w:pStyle w:val="TableBodyText"/>
            </w:pPr>
            <w:r>
              <w:t>OpenID standard scope. Requests access to the end-user email address claims.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groups</w:t>
            </w:r>
          </w:p>
        </w:tc>
        <w:tc>
          <w:tcPr>
            <w:tcBorders>
              <w:left w:val="nil"/>
              <w:right w:val="nil"/>
            </w:tcBorders>
          </w:tcPr>
          <w:p>
            <w:pPr>
              <w:pStyle w:val="TableBodyText"/>
            </w:pPr>
            <w:r>
              <w:t xml:space="preserve">OpenID standard scope. Requests access to the groups that the user is part of in </w:t>
            </w:r>
            <w:r>
              <w:t>VCF Automation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phone</w:t>
            </w:r>
          </w:p>
        </w:tc>
        <w:tc>
          <w:tcPr>
            <w:tcBorders>
              <w:left w:val="nil"/>
              <w:right w:val="nil"/>
            </w:tcBorders>
          </w:tcPr>
          <w:p>
            <w:pPr>
              <w:pStyle w:val="TableBodyText"/>
            </w:pPr>
            <w:r>
              <w:t>OpenID standard scope. Requests access to the user phone number claim.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vcd_idp</w:t>
            </w:r>
          </w:p>
        </w:tc>
        <w:tc>
          <w:tcPr>
            <w:tcBorders>
              <w:left w:val="nil"/>
              <w:right w:val="nil"/>
            </w:tcBorders>
          </w:tcPr>
          <w:p>
            <w:pPr>
              <w:pStyle w:val="TableBodyText"/>
            </w:pPr>
            <w:r>
              <w:t>VCF Automation</w:t>
            </w:r>
            <w:r>
              <w:t xml:space="preserve"> specific scope. Requests access to </w:t>
            </w:r>
            <w:r>
              <w:t>VCF Automation</w:t>
            </w:r>
            <w:r>
              <w:t xml:space="preserve">custom claims, such as </w:t>
            </w:r>
            <w:r>
              <w:rPr>
                <w:rStyle w:val="InlineCode"/>
              </w:rPr>
              <w:t>roles</w:t>
            </w:r>
            <w:r>
              <w:t xml:space="preserve">, </w:t>
            </w:r>
            <w:r>
              <w:rPr>
                <w:rStyle w:val="InlineCode"/>
              </w:rPr>
              <w:t>groups</w:t>
            </w:r>
            <w:r>
              <w:t xml:space="preserve">, </w:t>
            </w:r>
            <w:r>
              <w:rPr>
                <w:rStyle w:val="InlineCode"/>
              </w:rPr>
              <w:t>org_name</w:t>
            </w:r>
            <w:r>
              <w:t xml:space="preserve">, </w:t>
            </w:r>
            <w:r>
              <w:rPr>
                <w:rStyle w:val="InlineCode"/>
              </w:rPr>
              <w:t>org_display_name</w:t>
            </w:r>
            <w:r>
              <w:t xml:space="preserve">, and </w:t>
            </w:r>
            <w:r>
              <w:rPr>
                <w:rStyle w:val="InlineCode"/>
              </w:rPr>
              <w:t>org_id</w:t>
            </w:r>
            <w:r>
              <w:t>.</w:t>
            </w:r>
          </w:p>
        </w:tc>
      </w:tr>
    </w:tbl>
    <w:p>
      <w:pPr>
        <w:pStyle w:val="ditaDT"/>
        <w:spacing w:before="240"/>
      </w:pPr>
      <w:r>
        <w:t>Endpoints</w:t>
      </w:r>
    </w:p>
    <w:p>
      <w:pPr>
        <w:pStyle w:val="ditaDD"/>
        <w:numPr>
          <w:numId w:val="142"/>
        </w:numPr>
      </w:pPr>
      <w:r>
        <w:t xml:space="preserve">You can use the access token returned by </w:t>
      </w:r>
      <w:r>
        <w:t>VCF Automation</w:t>
      </w:r>
      <w:r>
        <w:t xml:space="preserve"> to retrieve claims about the authenticated user at the </w:t>
      </w:r>
      <w:r>
        <w:rPr>
          <w:rStyle w:val="InlineVar"/>
        </w:rPr>
        <w:t>hostname</w:t>
      </w:r>
      <w:r>
        <w:rPr>
          <w:rStyle w:val="InlineCode"/>
        </w:rPr>
        <w:t>/oidc/UserInfo</w:t>
      </w:r>
      <w:r>
        <w:t xml:space="preserve"> endpoint. For details, see </w:t>
      </w:r>
      <w:hyperlink r:id="rId23" w:tooltip="UserInfo Endpoint" w:history="1">
        <w:r>
          <w:rPr>
            <w:color w:val="0000FF"/>
            <w:u w:val="single"/>
          </w:rPr>
          <w:t>UserInfo Endpoint</w:t>
        </w:r>
      </w:hyperlink>
      <w:r>
        <w:t>.</w:t>
      </w:r>
    </w:p>
    <w:p>
      <w:pPr>
        <w:pStyle w:val="ditaDD"/>
        <w:numPr>
          <w:numId w:val="142"/>
        </w:numPr>
      </w:pPr>
      <w:r>
        <w:t xml:space="preserve">You can retrieve the provider configuration values, including the JWKS endpoint and information about other endpoints and scopes necessary for the OIDC proxy configuration at the well-known configuration URL </w:t>
      </w:r>
      <w:r>
        <w:rPr>
          <w:rStyle w:val="InlineVar"/>
        </w:rPr>
        <w:t>hostname</w:t>
      </w:r>
      <w:r>
        <w:rPr>
          <w:rStyle w:val="InlineCode"/>
        </w:rPr>
        <w:t>/oidc/.well-known/openid-configuration</w:t>
      </w:r>
      <w:r>
        <w:t xml:space="preserve">. See </w:t>
      </w:r>
      <w:r>
        <w:t>View and Edit the OIDC Proxy General Settings in Your VCF Automation</w:t>
      </w:r>
      <w:r>
        <w:t>.</w:t>
      </w:r>
    </w:p>
    <w:p>
      <w:pPr>
        <w:pStyle w:val="SectionHeading2"/>
      </w:pPr>
      <w:bookmarkStart w:id="186" w:name="_Toc256000569"/>
      <w:r>
        <w:t>Token Exchange Access to VCF Automation Identity Provider Proxy</w:t>
      </w:r>
      <w:bookmarkEnd w:id="186"/>
    </w:p>
    <w:p>
      <w:pPr>
        <w:pStyle w:val="BodyText"/>
      </w:pPr>
      <w:r>
        <w:t xml:space="preserve">Programmatic integration with the identity provider proxy functionality of </w:t>
      </w:r>
      <w:r>
        <w:t>VCF Automation</w:t>
      </w:r>
      <w:r>
        <w:t xml:space="preserve"> is available through the token exchange flow that is detailed below. This flow does not involve the </w:t>
      </w:r>
      <w:r>
        <w:t>VCF Automation</w:t>
      </w:r>
      <w:r>
        <w:t xml:space="preserve"> UI and is suitable for scripted access, such as CLI.</w:t>
      </w:r>
    </w:p>
    <w:p>
      <w:pPr>
        <w:pStyle w:val="BodyText"/>
        <w:numPr>
          <w:numId w:val="143"/>
        </w:numPr>
      </w:pPr>
      <w:r>
        <w:t xml:space="preserve">Obtain a </w:t>
      </w:r>
      <w:r>
        <w:t>VCF Automation</w:t>
      </w:r>
      <w:r>
        <w:t xml:space="preserve"> JWT by either directly logging in or by using an API token.</w:t>
      </w:r>
    </w:p>
    <w:p>
      <w:pPr>
        <w:pStyle w:val="BodyText"/>
        <w:numPr>
          <w:numId w:val="143"/>
        </w:numPr>
      </w:pPr>
      <w:r>
        <w:t>Run a POST request.</w:t>
      </w:r>
    </w:p>
    <w:p>
      <w:pPr>
        <w:pStyle w:val="CodeBlock"/>
        <w:ind w:left="480"/>
      </w:pPr>
      <w:r>
        <w:t xml:space="preserve">POST  </w:t>
      </w:r>
      <w:r>
        <w:rPr>
          <w:rStyle w:val="InlineVar"/>
        </w:rPr>
        <w:t>hostname</w:t>
      </w:r>
      <w:r>
        <w:t>/oidc/oauth2/token</w:t>
      </w:r>
    </w:p>
    <w:p>
      <w:pPr>
        <w:pStyle w:val="BodyText"/>
        <w:numPr>
          <w:ilvl w:val="1"/>
          <w:numId w:val="143"/>
        </w:numPr>
      </w:pPr>
      <w:r>
        <w:t xml:space="preserve">Select </w:t>
      </w:r>
      <w:r>
        <w:rPr>
          <w:rStyle w:val="InlineCode"/>
        </w:rPr>
        <w:t>x-www-form-urlencoded</w:t>
      </w:r>
      <w:r>
        <w:t xml:space="preserve"> for the body of the request.</w:t>
      </w:r>
    </w:p>
    <w:p>
      <w:pPr>
        <w:pStyle w:val="BodyText"/>
        <w:numPr>
          <w:ilvl w:val="1"/>
          <w:numId w:val="143"/>
        </w:numPr>
      </w:pPr>
      <w:r>
        <w:t>Include the following parameters in the body of the request.</w:t>
      </w:r>
    </w:p>
    <w:p>
      <w:pPr>
        <w:pStyle w:val="CodeBlock"/>
        <w:ind w:left="960"/>
      </w:pPr>
      <w:r>
        <w:t>{
     "grant_type": "urn:ietf:params:oauth:grant-type:jwt-bearer",
     "assertion": "</w:t>
      </w:r>
      <w:r>
        <w:rPr>
          <w:rStyle w:val="InlineVar"/>
        </w:rPr>
        <w:t>VMware_Cloud_Director JWT</w:t>
      </w:r>
      <w:r>
        <w:t>",
     "client_id": "</w:t>
      </w:r>
      <w:r>
        <w:rPr>
          <w:rStyle w:val="InlineVar"/>
        </w:rPr>
        <w:t>Relying_party_ID</w:t>
      </w:r>
      <w:r>
        <w:t>",
     "scope": "openid profile email phone groups vcd_idp",
   }</w:t>
      </w:r>
    </w:p>
    <w:p>
      <w:pPr>
        <w:pStyle w:val="BodyText"/>
        <w:numPr>
          <w:numId w:val="143"/>
        </w:numPr>
      </w:pPr>
      <w:r>
        <w:t xml:space="preserve">The response returns both an ID token that includes the OIDC and </w:t>
      </w:r>
      <w:r>
        <w:t>VCF Automation</w:t>
      </w:r>
      <w:r>
        <w:t xml:space="preserve"> claims, and an access token that you can use to retrieve claims about the authenticated user at the </w:t>
      </w:r>
      <w:r>
        <w:rPr>
          <w:rStyle w:val="InlineVar"/>
        </w:rPr>
        <w:t>hostname</w:t>
      </w:r>
      <w:r>
        <w:rPr>
          <w:rStyle w:val="InlineCode"/>
        </w:rPr>
        <w:t>/oidc/UserInfo</w:t>
      </w:r>
      <w:r>
        <w:t xml:space="preserve"> endpoint.</w:t>
      </w:r>
    </w:p>
    <w:p>
      <w:pPr>
        <w:pStyle w:val="BodyText"/>
      </w:pPr>
      <w:r>
        <w:t>Encoded ID token example:</w:t>
      </w:r>
    </w:p>
    <w:p>
      <w:pPr>
        <w:pStyle w:val="CodeBlock"/>
      </w:pPr>
      <w:r>
        <w:t>eyJhbGciOiJSUzI1NiIsInR5NDg4SI6I................4dHnbU1RQ6Y9Yohgw</w:t>
      </w:r>
    </w:p>
    <w:p>
      <w:pPr>
        <w:pStyle w:val="BodyText"/>
      </w:pPr>
      <w:r>
        <w:t>Decoded ID token example:</w:t>
      </w:r>
    </w:p>
    <w:p>
      <w:pPr>
        <w:pStyle w:val="CodeBlock"/>
      </w:pPr>
      <w:r>
        <w:t>{
  "at_hash": "1AA1aAA1AAAAAAaAA1A11a",
  "sub": "111111111-1111-1111-1111-11111111",
  "roles": [
    "Organization Administrator"
  ],
  "iss": "https://</w:t>
      </w:r>
      <w:r>
        <w:rPr>
          <w:rStyle w:val="InlineVar"/>
        </w:rPr>
        <w:t>hostname</w:t>
      </w:r>
      <w:r>
        <w:t>/oidc",
  "groups": [
    "ALL USERS"
  ],
  "preferred_username": "testuser@vcd-ms1",
  "nonce": "ab123acab",
  "aud": "33333333-3333-3333-3333-33333333333",
  "azp": "22222222-2222-2222-2222-22222222",
  "org_id": "12345678-1234-1234-1234-123456789abc",
  "org_display_name": "oidcorg",
  "name": "test user",
  "phone_number": " ",
  "exp": 1111111111,
  "org_name": "oidcorg",
  "iat": 1111111111,
  "email": "user1@vmware.com"
}</w:t>
      </w:r>
    </w:p>
    <w:p>
      <w:pPr>
        <w:pStyle w:val="BodyText"/>
      </w:pPr>
      <w:r>
        <w:t>User Info response example:</w:t>
      </w:r>
    </w:p>
    <w:p>
      <w:pPr>
        <w:pStyle w:val="CodeBlock"/>
      </w:pPr>
      <w:r>
        <w:t>{
    "sub": "111111111-1111-1111-1111-11111111",
    "preferred_username": "administrator",
    "name": "administrator user",
    "email": "user1@site.com",
    "phone_number": "0 (111) 222-3333",
    "roles": [ "system administrator" ],
    "groups": [],
    "org_name": "system",
    "org_display_name": "System Organization",
    "org_id": "12345678-1234-1234-1234-123456789abc"
}</w:t>
      </w:r>
    </w:p>
    <w:p>
      <w:pPr>
        <w:pStyle w:val="Heading2"/>
      </w:pPr>
      <w:bookmarkStart w:id="187" w:name="_Toc256000570"/>
      <w:r>
        <w:t>Configure VCF Automation as an OpenID Provider Proxy Server</w:t>
      </w:r>
      <w:bookmarkEnd w:id="187"/>
    </w:p>
    <w:p>
      <w:pPr>
        <w:pStyle w:val="BodyText"/>
      </w:pPr>
      <w:r>
        <w:t xml:space="preserve">You can use </w:t>
      </w:r>
      <w:r>
        <w:t>VCF Automation</w:t>
      </w:r>
      <w:r>
        <w:t xml:space="preserve"> as a tenant-aware OpenId Connect (OIDC) identity provider proxy server.</w:t>
      </w:r>
    </w:p>
    <w:p>
      <w:pPr>
        <w:pStyle w:val="BodyText"/>
      </w:pPr>
      <w:r>
        <w:t xml:space="preserve">After you configure </w:t>
      </w:r>
      <w:r>
        <w:t>VCF Automation</w:t>
      </w:r>
      <w:r>
        <w:t xml:space="preserve"> as an OIDC proxy server, when a user attempts to log in to the OIDC relying party (OIDC client), they are redirected to </w:t>
      </w:r>
      <w:r>
        <w:t>VCF Automation</w:t>
      </w:r>
      <w:r>
        <w:t xml:space="preserve"> and prompted to enter the name of their organization and their SSO or local credentials. After providing the necessary credentials, the user is directed to the OIDC relying party.</w:t>
      </w:r>
    </w:p>
    <w:p>
      <w:pPr>
        <w:pStyle w:val="BodyText"/>
      </w:pPr>
      <w:r>
        <w:t>VCF Automation</w:t>
      </w:r>
      <w:r>
        <w:t xml:space="preserve"> delegates actual authentication to the authentication mechanism used by the provider or organization. This can result in additional redirects to any external Identity Providers that perform authentication for those users.</w:t>
      </w:r>
    </w:p>
    <w:p>
      <w:pPr>
        <w:pStyle w:val="BodyText"/>
        <w:pBdr>
          <w:top w:val="single" w:sz="8" w:space="2" w:color="D3D3D3"/>
          <w:bottom w:val="single" w:sz="8" w:space="2" w:color="D3D3D3"/>
        </w:pBdr>
      </w:pPr>
      <w:r>
        <w:rPr>
          <w:rStyle w:val="NoteLeaderimportant"/>
        </w:rPr>
        <w:t>Important</w:t>
        <w:tab/>
      </w:r>
      <w:r>
        <w:t xml:space="preserve">Do not delete the </w:t>
      </w:r>
      <w:r>
        <w:rPr>
          <w:rStyle w:val="InlineCode"/>
        </w:rPr>
        <w:t>automation-relying-party</w:t>
      </w:r>
      <w:r>
        <w:t xml:space="preserve"> item in the </w:t>
      </w:r>
      <w:r>
        <w:rPr>
          <w:rStyle w:val="InlineUI"/>
        </w:rPr>
        <w:t>Relying Parties</w:t>
      </w:r>
      <w:r>
        <w:t xml:space="preserve"> list on the </w:t>
      </w:r>
      <w:r>
        <w:rPr>
          <w:rStyle w:val="InlineUI"/>
        </w:rPr>
        <w:t>OIDC Services</w:t>
      </w:r>
      <w:r>
        <w:t xml:space="preserve"> page. </w:t>
      </w:r>
      <w:r>
        <w:rPr>
          <w:rStyle w:val="InlineCode"/>
        </w:rPr>
        <w:t>automation-relying-party</w:t>
      </w:r>
      <w:r>
        <w:t xml:space="preserve"> is necessary for the organization portal services.</w:t>
      </w:r>
    </w:p>
    <w:p>
      <w:pPr>
        <w:pStyle w:val="BodyText"/>
      </w:pPr>
      <w:r>
        <w:rPr>
          <w:rStyle w:val="Strong"/>
        </w:rPr>
        <w:t>Prerequisites</w:t>
      </w:r>
    </w:p>
    <w:p>
      <w:pPr>
        <w:pStyle w:val="BodyText"/>
        <w:numPr>
          <w:numId w:val="144"/>
        </w:numPr>
      </w:pPr>
      <w:r>
        <w:t xml:space="preserve">Verify that your role includes the </w:t>
      </w:r>
      <w:r>
        <w:rPr>
          <w:rStyle w:val="InlineUI"/>
        </w:rPr>
        <w:t>OIDC Server: Manage Settings</w:t>
      </w:r>
      <w:r>
        <w:t xml:space="preserve"> right.</w:t>
      </w:r>
    </w:p>
    <w:p>
      <w:pPr>
        <w:pStyle w:val="BodyText"/>
        <w:numPr>
          <w:numId w:val="144"/>
        </w:numPr>
      </w:pPr>
      <w:r>
        <w:t xml:space="preserve">Verify that the roles of the users that will log in to the OIDC relying party (OIDC client) through </w:t>
      </w:r>
      <w:r>
        <w:t>VCF Automation</w:t>
      </w:r>
      <w:r>
        <w:t xml:space="preserve"> include the </w:t>
      </w:r>
      <w:r>
        <w:rPr>
          <w:rStyle w:val="InlineUI"/>
        </w:rPr>
        <w:t>OIDC Server: Enable</w:t>
      </w:r>
      <w:r>
        <w:t xml:space="preserve"> right.</w:t>
      </w:r>
    </w:p>
    <w:p>
      <w:pPr>
        <w:pStyle w:val="BodyText"/>
      </w:pPr>
      <w:r>
        <w:rPr>
          <w:rStyle w:val="Strong"/>
        </w:rPr>
        <w:t>Procedure</w:t>
      </w:r>
    </w:p>
    <w:p>
      <w:pPr>
        <w:pStyle w:val="BodyText"/>
        <w:numPr>
          <w:numId w:val="145"/>
        </w:numPr>
      </w:pPr>
      <w:r>
        <w:t xml:space="preserve">Log in to the </w:t>
      </w:r>
      <w:r>
        <w:t>.</w:t>
      </w:r>
    </w:p>
    <w:p>
      <w:pPr>
        <w:pStyle w:val="BodyText"/>
        <w:numPr>
          <w:numId w:val="145"/>
        </w:numPr>
      </w:pPr>
      <w:r>
        <w:t xml:space="preserve">From the left navigation panel, select </w:t>
      </w:r>
      <w:r>
        <w:rPr>
          <w:rStyle w:val="InlineUI"/>
        </w:rPr>
        <w:t>OIDC Services</w:t>
      </w:r>
      <w:r>
        <w:t>.</w:t>
      </w:r>
    </w:p>
    <w:p>
      <w:pPr>
        <w:pStyle w:val="BodyText"/>
        <w:numPr>
          <w:numId w:val="145"/>
        </w:numPr>
      </w:pPr>
      <w:r>
        <w:t xml:space="preserve">Click </w:t>
      </w:r>
      <w:r>
        <w:rPr>
          <w:rStyle w:val="InlineUI"/>
        </w:rPr>
        <w:t>Relying Parties</w:t>
      </w:r>
      <w:r>
        <w:t xml:space="preserve"> and click </w:t>
      </w:r>
      <w:r>
        <w:rPr>
          <w:rStyle w:val="InlineUI"/>
        </w:rPr>
        <w:t>New</w:t>
      </w:r>
      <w:r>
        <w:t>.</w:t>
      </w:r>
    </w:p>
    <w:p>
      <w:pPr>
        <w:pStyle w:val="BodyText"/>
        <w:numPr>
          <w:numId w:val="145"/>
        </w:numPr>
      </w:pPr>
      <w:r>
        <w:t>Enter a relying party name for the client application registration, and make a note of it.</w:t>
      </w:r>
    </w:p>
    <w:p>
      <w:pPr>
        <w:pStyle w:val="BodyText"/>
        <w:numPr>
          <w:numId w:val="145"/>
        </w:numPr>
      </w:pPr>
      <w:r>
        <w:t xml:space="preserve">Enter the URI to which to redirect users that are attempting to log in to the relying party, and click </w:t>
      </w:r>
      <w:r>
        <w:rPr>
          <w:rStyle w:val="InlineUI"/>
        </w:rPr>
        <w:t>Save</w:t>
      </w:r>
      <w:r>
        <w:t>.</w:t>
      </w:r>
    </w:p>
    <w:p>
      <w:pPr>
        <w:pStyle w:val="BodyText"/>
        <w:numPr>
          <w:numId w:val="145"/>
        </w:numPr>
      </w:pPr>
      <w:r>
        <w:t>Copy the relying party ID and secret, and make note of them.</w:t>
      </w:r>
    </w:p>
    <w:p>
      <w:pPr>
        <w:pStyle w:val="BodyText"/>
        <w:numPr>
          <w:numId w:val="145"/>
        </w:numPr>
      </w:pPr>
      <w:r>
        <w:t xml:space="preserve">Configure your OIDC relying party to use </w:t>
      </w:r>
      <w:r>
        <w:t>VCF Automation</w:t>
      </w:r>
      <w:r>
        <w:t xml:space="preserve"> as an identity provider proxy server with the relying party ID and secret.</w:t>
      </w:r>
    </w:p>
    <w:p>
      <w:pPr>
        <w:pStyle w:val="BodyText"/>
        <w:pBdr>
          <w:top w:val="single" w:sz="8" w:space="2" w:color="D3D3D3"/>
          <w:bottom w:val="single" w:sz="8" w:space="2" w:color="D3D3D3"/>
        </w:pBdr>
        <w:ind w:left="480"/>
      </w:pPr>
      <w:r>
        <w:t>Tip</w:t>
        <w:tab/>
      </w:r>
      <w:r>
        <w:t xml:space="preserve">You can retrieve the provider configuration values, including the JWKS endpoint and information about other endpoints and scopes necessary for the OIDC proxy configuration at the well-known configuration URL </w:t>
      </w:r>
      <w:r>
        <w:rPr>
          <w:rStyle w:val="InlineVar"/>
        </w:rPr>
        <w:t>hostname</w:t>
      </w:r>
      <w:r>
        <w:rPr>
          <w:rStyle w:val="InlineCode"/>
        </w:rPr>
        <w:t>/oidc/.well-known/openid-configuration</w:t>
      </w:r>
      <w:r>
        <w:t xml:space="preserve">. See </w:t>
      </w:r>
      <w:r>
        <w:t>View and Edit the OIDC Proxy General Settings in Your VCF Automation</w:t>
      </w:r>
      <w:r>
        <w:t>.</w:t>
      </w:r>
    </w:p>
    <w:p>
      <w:pPr>
        <w:pStyle w:val="BodyText"/>
      </w:pPr>
      <w:r>
        <w:rPr>
          <w:rStyle w:val="Strong"/>
        </w:rPr>
        <w:t>Results</w:t>
      </w:r>
    </w:p>
    <w:p>
      <w:pPr>
        <w:pStyle w:val="BodyText"/>
      </w:pPr>
      <w:r>
        <w:t xml:space="preserve">When a user attempts to log in to the OIDC relying party, they are redirected to </w:t>
      </w:r>
      <w:r>
        <w:t>VCF Automation</w:t>
      </w:r>
      <w:r>
        <w:t xml:space="preserve">, prompted to select a </w:t>
      </w:r>
      <w:r>
        <w:t>VCF Automation</w:t>
      </w:r>
      <w:r>
        <w:t xml:space="preserve"> organization, and to provide their credentials. After a successful authorization, they are redirected back to the OIDC relying party.</w:t>
      </w:r>
    </w:p>
    <w:p>
      <w:pPr>
        <w:pStyle w:val="BodyText"/>
      </w:pPr>
      <w:r>
        <w:rPr>
          <w:rStyle w:val="Strong"/>
        </w:rPr>
        <w:t>What to do next</w:t>
      </w:r>
    </w:p>
    <w:p>
      <w:pPr>
        <w:pStyle w:val="BodyText"/>
      </w:pPr>
      <w:r>
        <w:t>You can use the vertical ellipsis (</w:t>
      </w:r>
    </w:p>
    <w:p>
      <w:pPr>
        <w:pStyle w:val="BodyText"/>
      </w:pPr>
      <w:r>
        <w:t>) menu next to the name of the relying party ID to edit and delete the relying party, to regenerate a secret, and to copy the relying party ID.</w:t>
      </w:r>
    </w:p>
    <w:p>
      <w:pPr>
        <w:pStyle w:val="Heading2"/>
      </w:pPr>
      <w:bookmarkStart w:id="188" w:name="Be1dc84d957f64a4ab32d0bd32b1d2b39"/>
      <w:bookmarkStart w:id="189" w:name="_Toc256000571"/>
      <w:r>
        <w:t>View and Edit the OIDC Proxy General Settings in Your VCF Automation</w:t>
      </w:r>
      <w:bookmarkEnd w:id="189"/>
      <w:bookmarkEnd w:id="188"/>
    </w:p>
    <w:p>
      <w:pPr>
        <w:pStyle w:val="BodyText"/>
      </w:pPr>
      <w:r>
        <w:t xml:space="preserve">In the </w:t>
      </w:r>
      <w:r>
        <w:t>VCF Automation</w:t>
      </w:r>
      <w:r>
        <w:rPr>
          <w:rStyle w:val="InlineUI"/>
        </w:rPr>
        <w:t>General Settings</w:t>
      </w:r>
      <w:r>
        <w:t xml:space="preserve"> tab, you can view the </w:t>
      </w:r>
      <w:r>
        <w:rPr>
          <w:rStyle w:val="InlineCode"/>
        </w:rPr>
        <w:t>openid-configuration</w:t>
      </w:r>
      <w:r>
        <w:t xml:space="preserve"> endpoint, from which you can retrieve the provider configuration values, including the JWKS endpoint and information about other endpoints and scopes necessary for the OIDC proxy configuration.</w:t>
      </w:r>
    </w:p>
    <w:p>
      <w:pPr>
        <w:pStyle w:val="BodyText"/>
      </w:pPr>
      <w:r>
        <w:rPr>
          <w:rStyle w:val="Strong"/>
        </w:rPr>
        <w:t>Prerequisites</w:t>
      </w:r>
    </w:p>
    <w:p>
      <w:pPr>
        <w:pStyle w:val="BodyText"/>
      </w:pPr>
      <w:r>
        <w:t xml:space="preserve">Verify that your role includes the </w:t>
      </w:r>
      <w:r>
        <w:rPr>
          <w:rStyle w:val="InlineUI"/>
        </w:rPr>
        <w:t>OIDC Server: Manage Settings</w:t>
      </w:r>
      <w:r>
        <w:t xml:space="preserve"> right.</w:t>
      </w:r>
    </w:p>
    <w:p>
      <w:pPr>
        <w:pStyle w:val="BodyText"/>
      </w:pPr>
      <w:r>
        <w:rPr>
          <w:rStyle w:val="Strong"/>
        </w:rPr>
        <w:t>Procedure</w:t>
      </w:r>
    </w:p>
    <w:p>
      <w:pPr>
        <w:pStyle w:val="BodyText"/>
        <w:numPr>
          <w:numId w:val="146"/>
        </w:numPr>
      </w:pPr>
      <w:r>
        <w:t xml:space="preserve">Log in to the </w:t>
      </w:r>
      <w:r>
        <w:t>.</w:t>
      </w:r>
    </w:p>
    <w:p>
      <w:pPr>
        <w:pStyle w:val="BodyText"/>
        <w:numPr>
          <w:numId w:val="146"/>
        </w:numPr>
      </w:pPr>
      <w:r>
        <w:t xml:space="preserve">From the left navigation panel, select </w:t>
      </w:r>
      <w:r>
        <w:rPr>
          <w:rStyle w:val="InlineUI"/>
        </w:rPr>
        <w:t>OIDC Services</w:t>
      </w:r>
      <w:r>
        <w:t>.</w:t>
      </w:r>
    </w:p>
    <w:p>
      <w:pPr>
        <w:pStyle w:val="BodyText"/>
        <w:numPr>
          <w:numId w:val="146"/>
        </w:numPr>
      </w:pPr>
      <w:r>
        <w:t xml:space="preserve">Select </w:t>
      </w:r>
      <w:r>
        <w:rPr>
          <w:rStyle w:val="InlineUI"/>
        </w:rPr>
        <w:t>General Settings</w:t>
      </w:r>
      <w:r>
        <w:t>.</w:t>
      </w:r>
    </w:p>
    <w:p>
      <w:pPr>
        <w:pStyle w:val="BodyText"/>
        <w:ind w:left="480"/>
      </w:pPr>
      <w:r>
        <w:t>The general OIDC proxy settings appear, including the well-known configuration URL from which you can retrieve the provider configuration values, the access token lifetime, the ID token lifetime, the authorization code lifetime, and the redirect URL policy.</w:t>
      </w:r>
    </w:p>
    <w:p>
      <w:pPr>
        <w:pStyle w:val="BodyText"/>
        <w:numPr>
          <w:numId w:val="146"/>
        </w:numPr>
      </w:pPr>
      <w:r>
        <w:t xml:space="preserve">To edit the settings, click </w:t>
      </w:r>
      <w:r>
        <w:rPr>
          <w:rStyle w:val="InlineUI"/>
        </w:rPr>
        <w:t>Edit</w:t>
      </w:r>
      <w:r>
        <w:t>.</w:t>
      </w:r>
    </w:p>
    <w:p>
      <w:pPr>
        <w:pStyle w:val="BodyText"/>
        <w:ind w:left="480"/>
      </w:pPr>
      <w:r>
        <w:t>The refresh tokens are used by the services backing the Organization Portal to perform long-running actions and the refresh token lifetime limits the length of these tasks.</w:t>
      </w:r>
    </w:p>
    <w:p>
      <w:pPr>
        <w:pStyle w:val="Heading2"/>
      </w:pPr>
      <w:bookmarkStart w:id="190" w:name="_Toc256000572"/>
      <w:r>
        <w:t>Managing OIDC Proxy Keys in Your VCF Automation</w:t>
      </w:r>
      <w:bookmarkEnd w:id="190"/>
    </w:p>
    <w:p>
      <w:pPr>
        <w:pStyle w:val="BodyText"/>
      </w:pPr>
      <w:r>
        <w:t xml:space="preserve">When you configure </w:t>
      </w:r>
      <w:r>
        <w:t>VCF Automation</w:t>
      </w:r>
      <w:r>
        <w:t xml:space="preserve"> to function as an OIDC identity provider proxy, </w:t>
      </w:r>
      <w:r>
        <w:t>VCF Automation</w:t>
      </w:r>
      <w:r>
        <w:t xml:space="preserve"> generates a pair of OIDC keys with which it signs the JWT tokens that it issues.</w:t>
      </w:r>
    </w:p>
    <w:p>
      <w:pPr>
        <w:pStyle w:val="BodyText"/>
      </w:pPr>
      <w:r>
        <w:t xml:space="preserve">When configured as an identity provider proxy server, </w:t>
      </w:r>
      <w:r>
        <w:t>VCF Automation</w:t>
      </w:r>
      <w:r>
        <w:t xml:space="preserve"> automatically generates a single built-in 2048-bit RSA signing key, which the </w:t>
      </w:r>
      <w:r>
        <w:rPr>
          <w:rStyle w:val="InlineUI"/>
        </w:rPr>
        <w:t>system administrator</w:t>
      </w:r>
      <w:r>
        <w:t xml:space="preserve"> can choose to use or to discard. Any new keys must comply with the minimum key size and the other </w:t>
      </w:r>
      <w:r>
        <w:t>VCF Automation</w:t>
      </w:r>
      <w:r>
        <w:t xml:space="preserve"> cryptographic requirements.</w:t>
      </w:r>
    </w:p>
    <w:p>
      <w:pPr>
        <w:pStyle w:val="BodyText"/>
      </w:pPr>
      <w:r>
        <w:t>When rotating the signing key you must upload the new key, wait at least 24 hours before marking the new key as the active signing key, and keep the previous signing key for a sufficient period before decommissioning it, in order to prevent the invalidation of any tokens issued by the old key.</w:t>
      </w:r>
    </w:p>
    <w:p>
      <w:pPr>
        <w:pStyle w:val="BodyText"/>
        <w:pBdr>
          <w:top w:val="single" w:sz="8" w:space="2" w:color="D3D3D3"/>
          <w:bottom w:val="single" w:sz="8" w:space="2" w:color="D3D3D3"/>
        </w:pBdr>
      </w:pPr>
      <w:r>
        <w:t>Tip</w:t>
        <w:tab/>
      </w:r>
      <w:r>
        <w:t xml:space="preserve">To view the </w:t>
      </w:r>
      <w:r>
        <w:t>VCF Automation</w:t>
      </w:r>
      <w:r>
        <w:t xml:space="preserve"> key requirements, from the left navigation bar, select </w:t>
      </w:r>
      <w:r>
        <w:rPr>
          <w:rStyle w:val="InlineUI"/>
        </w:rPr>
        <w:t>SSL</w:t>
      </w:r>
      <w:r>
        <w:t>.</w:t>
      </w:r>
    </w:p>
    <w:p>
      <w:pPr>
        <w:pStyle w:val="BodyText"/>
      </w:pPr>
      <w:r>
        <w:t xml:space="preserve">The relying parties that are using </w:t>
      </w:r>
      <w:r>
        <w:t>VCF Automation</w:t>
      </w:r>
      <w:r>
        <w:t xml:space="preserve"> as an OIDC proxy server can retrieve the provider configuration values, including the list of available public keys from the JWKS endpoint listed at </w:t>
      </w:r>
      <w:r>
        <w:rPr>
          <w:rStyle w:val="InlineCode"/>
        </w:rPr>
        <w:t>{{hostname}}/oidc/.well-known/openid-configuration</w:t>
      </w:r>
      <w:r>
        <w:t>.</w:t>
      </w:r>
    </w:p>
    <w:p>
      <w:pPr>
        <w:pStyle w:val="BodyText"/>
      </w:pPr>
      <w:r>
        <w:rPr>
          <w:rStyle w:val="Strong"/>
        </w:rPr>
        <w:t>Prerequisites</w:t>
      </w:r>
    </w:p>
    <w:p>
      <w:pPr>
        <w:pStyle w:val="BodyText"/>
      </w:pPr>
      <w:r>
        <w:t xml:space="preserve">Verify that your role includes the </w:t>
      </w:r>
      <w:r>
        <w:rPr>
          <w:rStyle w:val="InlineUI"/>
        </w:rPr>
        <w:t>OIDC Server: Manage Settings</w:t>
      </w:r>
      <w:r>
        <w:t xml:space="preserve"> right.</w:t>
      </w:r>
    </w:p>
    <w:p>
      <w:pPr>
        <w:pStyle w:val="Heading3"/>
      </w:pPr>
      <w:bookmarkStart w:id="191" w:name="_Toc256000573"/>
      <w:r>
        <w:t>Add an OIDC Proxy Key Set Using Your VCF Automation</w:t>
      </w:r>
      <w:bookmarkEnd w:id="191"/>
    </w:p>
    <w:p>
      <w:pPr>
        <w:pStyle w:val="BodyText"/>
      </w:pPr>
      <w:r>
        <w:t xml:space="preserve">You can manually add an OIDC proxy key set to </w:t>
      </w:r>
      <w:r>
        <w:t>VCF Automation</w:t>
      </w:r>
      <w:r>
        <w:t>.</w:t>
      </w:r>
    </w:p>
    <w:p>
      <w:pPr>
        <w:pStyle w:val="BodyText"/>
      </w:pPr>
      <w:r>
        <w:rPr>
          <w:rStyle w:val="Strong"/>
        </w:rPr>
        <w:t>Procedure</w:t>
      </w:r>
    </w:p>
    <w:p>
      <w:pPr>
        <w:pStyle w:val="BodyText"/>
        <w:numPr>
          <w:numId w:val="147"/>
        </w:numPr>
      </w:pPr>
      <w:r>
        <w:t xml:space="preserve">Log in to the </w:t>
      </w:r>
      <w:r>
        <w:t>.</w:t>
      </w:r>
    </w:p>
    <w:p>
      <w:pPr>
        <w:pStyle w:val="BodyText"/>
        <w:numPr>
          <w:numId w:val="147"/>
        </w:numPr>
      </w:pPr>
      <w:r>
        <w:t xml:space="preserve">From the left navigation panel, select </w:t>
      </w:r>
      <w:r>
        <w:rPr>
          <w:rStyle w:val="InlineUI"/>
        </w:rPr>
        <w:t>OIDC Services</w:t>
      </w:r>
      <w:r>
        <w:t>.</w:t>
      </w:r>
    </w:p>
    <w:p>
      <w:pPr>
        <w:pStyle w:val="BodyText"/>
        <w:numPr>
          <w:numId w:val="147"/>
        </w:numPr>
      </w:pPr>
      <w:r>
        <w:t xml:space="preserve">Select </w:t>
      </w:r>
      <w:r>
        <w:rPr>
          <w:rStyle w:val="InlineUI"/>
        </w:rPr>
        <w:t>Keys</w:t>
      </w:r>
      <w:r>
        <w:t>.</w:t>
      </w:r>
    </w:p>
    <w:p>
      <w:pPr>
        <w:pStyle w:val="BodyText"/>
        <w:numPr>
          <w:numId w:val="147"/>
        </w:numPr>
      </w:pPr>
      <w:r>
        <w:t xml:space="preserve">To manually upload a new OIDC proxy key set, click </w:t>
      </w:r>
      <w:r>
        <w:rPr>
          <w:rStyle w:val="InlineUI"/>
        </w:rPr>
        <w:t>New</w:t>
      </w:r>
      <w:r>
        <w:t>.</w:t>
      </w:r>
    </w:p>
    <w:p>
      <w:pPr>
        <w:pStyle w:val="BodyText"/>
        <w:numPr>
          <w:numId w:val="147"/>
        </w:numPr>
      </w:pPr>
      <w:r>
        <w:t>Enter a description for the OIDC proxy key set.</w:t>
      </w:r>
    </w:p>
    <w:p>
      <w:pPr>
        <w:pStyle w:val="BodyText"/>
        <w:ind w:left="480"/>
      </w:pPr>
      <w:r>
        <w:t>You can edit the key description later, if necessary.</w:t>
      </w:r>
    </w:p>
    <w:p>
      <w:pPr>
        <w:pStyle w:val="BodyText"/>
        <w:numPr>
          <w:numId w:val="147"/>
        </w:numPr>
      </w:pPr>
      <w:r>
        <w:t xml:space="preserve">Under Public Key, click </w:t>
      </w:r>
      <w:r>
        <w:rPr>
          <w:rStyle w:val="InlineUI"/>
        </w:rPr>
        <w:t>Browse Files</w:t>
      </w:r>
      <w:r>
        <w:t>, navigate to the public key PEM file, and upload it.</w:t>
      </w:r>
    </w:p>
    <w:p>
      <w:pPr>
        <w:pStyle w:val="BodyText"/>
        <w:numPr>
          <w:numId w:val="147"/>
        </w:numPr>
      </w:pPr>
      <w:r>
        <w:t xml:space="preserve">Under Private Key, click </w:t>
      </w:r>
      <w:r>
        <w:rPr>
          <w:rStyle w:val="InlineUI"/>
        </w:rPr>
        <w:t>Browse Files</w:t>
      </w:r>
      <w:r>
        <w:t>, navigate to the private key PEM file, and upload it.</w:t>
      </w:r>
    </w:p>
    <w:p>
      <w:pPr>
        <w:pStyle w:val="BodyText"/>
        <w:numPr>
          <w:numId w:val="147"/>
        </w:numPr>
      </w:pPr>
      <w:r>
        <w:t>Enter the private key passphrase.</w:t>
      </w:r>
    </w:p>
    <w:p>
      <w:pPr>
        <w:pStyle w:val="BodyText"/>
        <w:numPr>
          <w:numId w:val="147"/>
        </w:numPr>
      </w:pPr>
      <w:r>
        <w:t xml:space="preserve">Click </w:t>
      </w:r>
      <w:r>
        <w:rPr>
          <w:rStyle w:val="InlineUI"/>
        </w:rPr>
        <w:t>Save</w:t>
      </w:r>
      <w:r>
        <w:t>.</w:t>
      </w:r>
    </w:p>
    <w:p>
      <w:pPr>
        <w:pStyle w:val="BodyText"/>
      </w:pPr>
      <w:r>
        <w:rPr>
          <w:rStyle w:val="Strong"/>
        </w:rPr>
        <w:t>What to do next</w:t>
      </w:r>
    </w:p>
    <w:p>
      <w:pPr>
        <w:pStyle w:val="BodyText"/>
      </w:pPr>
      <w:r>
        <w:t>To edit the OIDC proxy key set description, click the vertical ellipsis (</w:t>
      </w:r>
    </w:p>
    <w:p>
      <w:pPr>
        <w:pStyle w:val="BodyText"/>
      </w:pPr>
      <w:r>
        <w:t xml:space="preserve">) next to the name of the key set that you want to edit, and select </w:t>
      </w:r>
      <w:r>
        <w:rPr>
          <w:rStyle w:val="InlineUI"/>
        </w:rPr>
        <w:t>Edit</w:t>
      </w:r>
      <w:r>
        <w:t>.</w:t>
      </w:r>
    </w:p>
    <w:p>
      <w:pPr>
        <w:pStyle w:val="Heading3"/>
      </w:pPr>
      <w:bookmarkStart w:id="192" w:name="_Toc256000574"/>
      <w:r>
        <w:t>Activate a New OIDC Proxy Key Set Using Your VCF Automation</w:t>
      </w:r>
      <w:bookmarkEnd w:id="192"/>
    </w:p>
    <w:p>
      <w:pPr>
        <w:pStyle w:val="BodyText"/>
      </w:pPr>
      <w:r>
        <w:t xml:space="preserve">You can use the </w:t>
      </w:r>
      <w:r>
        <w:t>VCF Automation</w:t>
      </w:r>
      <w:r>
        <w:t xml:space="preserve"> UI to select a new active OIDC proxy key.</w:t>
      </w:r>
    </w:p>
    <w:p>
      <w:pPr>
        <w:pStyle w:val="BodyText"/>
      </w:pPr>
      <w:r>
        <w:rPr>
          <w:rStyle w:val="Strong"/>
        </w:rPr>
        <w:t>Prerequisites</w:t>
      </w:r>
    </w:p>
    <w:p>
      <w:pPr>
        <w:pStyle w:val="BodyText"/>
        <w:numPr>
          <w:numId w:val="148"/>
        </w:numPr>
      </w:pPr>
      <w:r>
        <w:t xml:space="preserve">Verify that your role includes the </w:t>
      </w:r>
      <w:r>
        <w:rPr>
          <w:rStyle w:val="InlineUI"/>
        </w:rPr>
        <w:t>OIDC Server: Manage Settings</w:t>
      </w:r>
      <w:r>
        <w:t xml:space="preserve"> right.</w:t>
      </w:r>
    </w:p>
    <w:p>
      <w:pPr>
        <w:pStyle w:val="BodyText"/>
        <w:numPr>
          <w:numId w:val="148"/>
        </w:numPr>
      </w:pPr>
      <w:r>
        <w:t>Verify that you uploaded the key set that you want to make active.</w:t>
      </w:r>
    </w:p>
    <w:p>
      <w:pPr>
        <w:pStyle w:val="BodyText"/>
      </w:pPr>
      <w:r>
        <w:rPr>
          <w:rStyle w:val="Strong"/>
        </w:rPr>
        <w:t>Procedure</w:t>
      </w:r>
    </w:p>
    <w:p>
      <w:pPr>
        <w:pStyle w:val="BodyText"/>
        <w:numPr>
          <w:numId w:val="149"/>
        </w:numPr>
      </w:pPr>
      <w:r>
        <w:t xml:space="preserve">Log in to the </w:t>
      </w:r>
      <w:r>
        <w:t>.</w:t>
      </w:r>
    </w:p>
    <w:p>
      <w:pPr>
        <w:pStyle w:val="BodyText"/>
        <w:numPr>
          <w:numId w:val="149"/>
        </w:numPr>
      </w:pPr>
      <w:r>
        <w:t xml:space="preserve">From the left navigation panel, select </w:t>
      </w:r>
      <w:r>
        <w:rPr>
          <w:rStyle w:val="InlineUI"/>
        </w:rPr>
        <w:t>OIDC Services</w:t>
      </w:r>
      <w:r>
        <w:t>.</w:t>
      </w:r>
    </w:p>
    <w:p>
      <w:pPr>
        <w:pStyle w:val="BodyText"/>
        <w:numPr>
          <w:numId w:val="149"/>
        </w:numPr>
      </w:pPr>
      <w:r>
        <w:t xml:space="preserve">Select </w:t>
      </w:r>
      <w:r>
        <w:rPr>
          <w:rStyle w:val="InlineUI"/>
        </w:rPr>
        <w:t>Keys</w:t>
      </w:r>
    </w:p>
    <w:p>
      <w:pPr>
        <w:pStyle w:val="BodyText"/>
        <w:ind w:left="480"/>
      </w:pPr>
      <w:r>
        <w:t xml:space="preserve">A list of the available key sets appears. To view the key labels, hover over the key names. The currently used key has an </w:t>
      </w:r>
      <w:r>
        <w:rPr>
          <w:rStyle w:val="InlineUI"/>
        </w:rPr>
        <w:t>Active</w:t>
      </w:r>
      <w:r>
        <w:t xml:space="preserve"> label.</w:t>
      </w:r>
    </w:p>
    <w:p>
      <w:pPr>
        <w:pStyle w:val="BodyText"/>
        <w:numPr>
          <w:numId w:val="149"/>
        </w:numPr>
      </w:pPr>
      <w:r>
        <w:t>Click the vertical ellipsis (</w:t>
      </w:r>
      <w:r>
        <w:t xml:space="preserve">) next to the name of an inactive key set, and click </w:t>
      </w:r>
      <w:r>
        <w:rPr>
          <w:rStyle w:val="InlineUI"/>
        </w:rPr>
        <w:t>Make Active</w:t>
      </w:r>
      <w:r>
        <w:t>.</w:t>
      </w:r>
    </w:p>
    <w:p>
      <w:pPr>
        <w:pStyle w:val="Heading3"/>
      </w:pPr>
      <w:bookmarkStart w:id="193" w:name="_Toc256000575"/>
      <w:r>
        <w:t>Delete an OIDC Proxy Key Set From Your VCF Automation</w:t>
      </w:r>
      <w:bookmarkEnd w:id="193"/>
    </w:p>
    <w:p>
      <w:pPr>
        <w:pStyle w:val="BodyText"/>
      </w:pPr>
      <w:r>
        <w:t>If an OIDC key set is no longer in use, you can delete it.</w:t>
      </w:r>
    </w:p>
    <w:p>
      <w:pPr>
        <w:pStyle w:val="BodyText"/>
      </w:pPr>
      <w:r>
        <w:rPr>
          <w:rStyle w:val="Strong"/>
        </w:rPr>
        <w:t>Prerequisites</w:t>
      </w:r>
    </w:p>
    <w:p>
      <w:pPr>
        <w:pStyle w:val="BodyText"/>
      </w:pPr>
      <w:r>
        <w:t xml:space="preserve">Verify that your role includes the </w:t>
      </w:r>
      <w:r>
        <w:rPr>
          <w:rStyle w:val="InlineUI"/>
        </w:rPr>
        <w:t>OIDC Server: Manage Settings</w:t>
      </w:r>
      <w:r>
        <w:t xml:space="preserve"> right.</w:t>
      </w:r>
    </w:p>
    <w:p>
      <w:pPr>
        <w:pStyle w:val="BodyText"/>
      </w:pPr>
      <w:r>
        <w:rPr>
          <w:rStyle w:val="Strong"/>
        </w:rPr>
        <w:t>Procedure</w:t>
      </w:r>
    </w:p>
    <w:p>
      <w:pPr>
        <w:pStyle w:val="BodyText"/>
        <w:numPr>
          <w:numId w:val="150"/>
        </w:numPr>
      </w:pPr>
      <w:r>
        <w:t xml:space="preserve">Log in to the </w:t>
      </w:r>
      <w:r>
        <w:t>.</w:t>
      </w:r>
    </w:p>
    <w:p>
      <w:pPr>
        <w:pStyle w:val="BodyText"/>
        <w:numPr>
          <w:numId w:val="150"/>
        </w:numPr>
      </w:pPr>
      <w:r>
        <w:t xml:space="preserve">From the left navigation panel, select </w:t>
      </w:r>
      <w:r>
        <w:rPr>
          <w:rStyle w:val="InlineUI"/>
        </w:rPr>
        <w:t>OIDC Services</w:t>
      </w:r>
      <w:r>
        <w:t>.</w:t>
      </w:r>
    </w:p>
    <w:p>
      <w:pPr>
        <w:pStyle w:val="BodyText"/>
        <w:numPr>
          <w:numId w:val="150"/>
        </w:numPr>
      </w:pPr>
      <w:r>
        <w:t xml:space="preserve">Select </w:t>
      </w:r>
      <w:r>
        <w:rPr>
          <w:rStyle w:val="InlineUI"/>
        </w:rPr>
        <w:t>Keys</w:t>
      </w:r>
    </w:p>
    <w:p>
      <w:pPr>
        <w:pStyle w:val="BodyText"/>
        <w:ind w:left="480"/>
      </w:pPr>
      <w:r>
        <w:t>A list of the available key sets appears. To view the key labels, hover over the key names. The currently used key has an</w:t>
      </w:r>
      <w:r>
        <w:rPr>
          <w:rStyle w:val="InlineUI"/>
        </w:rPr>
        <w:t>Active</w:t>
      </w:r>
      <w:r>
        <w:t xml:space="preserve"> label.</w:t>
      </w:r>
    </w:p>
    <w:p>
      <w:pPr>
        <w:pStyle w:val="BodyText"/>
        <w:numPr>
          <w:numId w:val="150"/>
        </w:numPr>
      </w:pPr>
      <w:r>
        <w:t>Click the vertical ellipsis (</w:t>
      </w:r>
      <w:r>
        <w:t xml:space="preserve">) next to the name of the key set that you want to remove, and select </w:t>
      </w:r>
      <w:r>
        <w:rPr>
          <w:rStyle w:val="InlineUI"/>
        </w:rPr>
        <w:t>Delete</w:t>
      </w:r>
      <w:r>
        <w:t>.</w:t>
      </w:r>
    </w:p>
    <w:p>
      <w:pPr>
        <w:pStyle w:val="Heading2"/>
      </w:pPr>
      <w:bookmarkStart w:id="194" w:name="_Toc256000576"/>
      <w:r>
        <w:t>Configure CORS for VCF Automation</w:t>
      </w:r>
      <w:bookmarkEnd w:id="194"/>
    </w:p>
    <w:p>
      <w:pPr>
        <w:pStyle w:val="BodyText"/>
      </w:pPr>
      <w:r>
        <w:t>VCF Automation</w:t>
      </w:r>
      <w:r>
        <w:t xml:space="preserve"> populates and updates the CORS filtering list during the </w:t>
      </w:r>
      <w:r>
        <w:t>VCF Automation</w:t>
      </w:r>
      <w:r>
        <w:t xml:space="preserve"> configuration. When making browser-based requests to the </w:t>
      </w:r>
      <w:r>
        <w:rPr>
          <w:rStyle w:val="InlineCode"/>
        </w:rPr>
        <w:t>/oidc</w:t>
      </w:r>
      <w:r>
        <w:t xml:space="preserve"> endpoints, the default behavior is for browser pages to be loaded from the </w:t>
      </w:r>
      <w:r>
        <w:t>VCF Automation</w:t>
      </w:r>
      <w:r>
        <w:t xml:space="preserve"> host. To use OIDC, you can also configure a non-</w:t>
      </w:r>
      <w:r>
        <w:t>VCF Automation</w:t>
      </w:r>
      <w:r>
        <w:t xml:space="preserve"> host into the CORS filtering list.</w:t>
      </w:r>
    </w:p>
    <w:p>
      <w:pPr>
        <w:pStyle w:val="BodyText"/>
      </w:pPr>
      <w:r>
        <w:t xml:space="preserve">By default, when making browser-based requests to the </w:t>
      </w:r>
      <w:r>
        <w:rPr>
          <w:rStyle w:val="InlineCode"/>
        </w:rPr>
        <w:t>/oidc</w:t>
      </w:r>
      <w:r>
        <w:t xml:space="preserve"> endpoints, the browser pages load from the </w:t>
      </w:r>
      <w:r>
        <w:t>VCF Automation</w:t>
      </w:r>
      <w:r>
        <w:t xml:space="preserve"> host. You must use the </w:t>
      </w:r>
      <w:r>
        <w:t>Provider Management</w:t>
      </w:r>
      <w:r>
        <w:t xml:space="preserve"> API to configure Cross-Origin Resource Sharing (CORS) and include a non-</w:t>
      </w:r>
      <w:r>
        <w:t>VCF Automation</w:t>
      </w:r>
      <w:r>
        <w:t xml:space="preserve"> host into the CORS filtering list. Otherwise, requests to the </w:t>
      </w:r>
      <w:r>
        <w:rPr>
          <w:rStyle w:val="InlineCode"/>
        </w:rPr>
        <w:t>/oidc</w:t>
      </w:r>
      <w:r>
        <w:t xml:space="preserve"> endpoints on the </w:t>
      </w:r>
      <w:r>
        <w:t>VCF Automation</w:t>
      </w:r>
      <w:r>
        <w:t xml:space="preserve"> host fail with an </w:t>
      </w:r>
      <w:r>
        <w:rPr>
          <w:rStyle w:val="InlineCode"/>
        </w:rPr>
        <w:t>HTTP 403</w:t>
      </w:r>
      <w:r>
        <w:t xml:space="preserve"> error.</w:t>
      </w:r>
    </w:p>
    <w:p>
      <w:pPr>
        <w:pStyle w:val="BodyText"/>
      </w:pPr>
      <w:r>
        <w:rPr>
          <w:rStyle w:val="Strong"/>
        </w:rPr>
        <w:t>Prerequisites</w:t>
      </w:r>
    </w:p>
    <w:p>
      <w:pPr>
        <w:pStyle w:val="BodyText"/>
        <w:numPr>
          <w:numId w:val="151"/>
        </w:numPr>
      </w:pPr>
      <w:r>
        <w:t xml:space="preserve">Familiarize yourself with the relevant </w:t>
      </w:r>
      <w:r>
        <w:t>Provider Management</w:t>
      </w:r>
      <w:r>
        <w:t xml:space="preserve"> API documentation.</w:t>
      </w:r>
    </w:p>
    <w:p>
      <w:pPr>
        <w:pStyle w:val="BodyText"/>
        <w:numPr>
          <w:numId w:val="151"/>
        </w:numPr>
      </w:pPr>
      <w:r>
        <w:t xml:space="preserve">Verify that you have </w:t>
      </w:r>
      <w:r>
        <w:rPr>
          <w:rStyle w:val="InlineUI"/>
        </w:rPr>
        <w:t>system administrator</w:t>
      </w:r>
      <w:r>
        <w:t xml:space="preserve"> credentials.</w:t>
      </w:r>
    </w:p>
    <w:p>
      <w:pPr>
        <w:pStyle w:val="BodyText"/>
      </w:pPr>
      <w:r>
        <w:rPr>
          <w:rStyle w:val="Strong"/>
        </w:rPr>
        <w:t>Procedure</w:t>
      </w:r>
    </w:p>
    <w:p>
      <w:pPr>
        <w:pStyle w:val="BodyText"/>
        <w:numPr>
          <w:numId w:val="152"/>
        </w:numPr>
      </w:pPr>
      <w:r>
        <w:t xml:space="preserve">Make a GET request with an </w:t>
      </w:r>
      <w:r>
        <w:rPr>
          <w:rStyle w:val="InlineCode"/>
        </w:rPr>
        <w:t>Authorization</w:t>
      </w:r>
      <w:r>
        <w:t xml:space="preserve"> header with the JSON Web Token (JWT) and an </w:t>
      </w:r>
      <w:r>
        <w:rPr>
          <w:rStyle w:val="InlineCode"/>
        </w:rPr>
        <w:t>Accept</w:t>
      </w:r>
      <w:r>
        <w:t xml:space="preserve"> header to the </w:t>
      </w:r>
      <w:r>
        <w:rPr>
          <w:rStyle w:val="InlineCode"/>
        </w:rPr>
        <w:t>https://</w:t>
      </w:r>
      <w:r>
        <w:rPr>
          <w:rStyle w:val="InlineVar"/>
        </w:rPr>
        <w:t>&lt;api_host&gt;</w:t>
      </w:r>
      <w:r>
        <w:rPr>
          <w:rStyle w:val="InlineCode"/>
        </w:rPr>
        <w:t>/cloudapi/1.0.0/site/settings/cors</w:t>
      </w:r>
      <w:r>
        <w:t xml:space="preserve"> API endpoint.</w:t>
      </w:r>
    </w:p>
    <w:p>
      <w:pPr>
        <w:pStyle w:val="BodyText"/>
        <w:ind w:left="480"/>
      </w:pPr>
      <w:r>
        <w:t xml:space="preserve">See the CORS </w:t>
      </w:r>
      <w:r>
        <w:t>Provider Management</w:t>
      </w:r>
      <w:r>
        <w:t xml:space="preserve"> OpenAPI category at </w:t>
      </w:r>
      <w:hyperlink r:id="rId24" w:tooltip="https://developer.broadcom.com/xapis/" w:history="1">
        <w:r>
          <w:rPr>
            <w:color w:val="0000FF"/>
            <w:u w:val="single"/>
          </w:rPr>
          <w:t>https://developer.broadcom.com/xapis/</w:t>
        </w:r>
      </w:hyperlink>
      <w:r>
        <w:t>.</w:t>
      </w:r>
    </w:p>
    <w:p>
      <w:pPr>
        <w:pStyle w:val="BodyText"/>
        <w:ind w:left="480"/>
      </w:pPr>
      <w:r>
        <w:t xml:space="preserve">Alternatively, you can interact with this API through the API Explorer at </w:t>
      </w:r>
      <w:r>
        <w:rPr>
          <w:rStyle w:val="InlineCode"/>
        </w:rPr>
        <w:t>https://</w:t>
      </w:r>
      <w:r>
        <w:rPr>
          <w:rStyle w:val="InlineVar"/>
        </w:rPr>
        <w:t>&lt;vcfautomation_host&gt;</w:t>
      </w:r>
      <w:r>
        <w:rPr>
          <w:rStyle w:val="InlineCode"/>
        </w:rPr>
        <w:t>/tm/api-explorer/provider/#cors</w:t>
      </w:r>
      <w:r>
        <w:t>.</w:t>
      </w:r>
    </w:p>
    <w:p>
      <w:pPr>
        <w:pStyle w:val="BodyText"/>
        <w:ind w:left="480"/>
      </w:pPr>
      <w:r>
        <w:t xml:space="preserve">If you are using the API Explorer, within the </w:t>
      </w:r>
      <w:r>
        <w:rPr>
          <w:rStyle w:val="InlineCode"/>
        </w:rPr>
        <w:t>CORS</w:t>
      </w:r>
      <w:r>
        <w:t xml:space="preserve"> section, you must use the following APIs.</w:t>
      </w:r>
    </w:p>
    <w:p>
      <w:pPr>
        <w:pStyle w:val="CodeBlock"/>
        <w:ind w:left="480"/>
      </w:pPr>
      <w:r>
        <w:t>
</w:t>
      </w:r>
      <w:r>
        <w:t>GET https://</w:t>
      </w:r>
      <w:r>
        <w:rPr>
          <w:rStyle w:val="InlineVar"/>
        </w:rPr>
        <w:t>&lt;api_host&gt;</w:t>
      </w:r>
      <w:r>
        <w:t>/cloudapi/1.0.0/site/settings/cors
PUT https://</w:t>
      </w:r>
      <w:r>
        <w:rPr>
          <w:rStyle w:val="InlineVar"/>
        </w:rPr>
        <w:t>&lt;api_host&gt;</w:t>
      </w:r>
      <w:r>
        <w:t>/cloudapi/1.0.0/site/settings/cors</w:t>
      </w:r>
      <w:r>
        <w:t xml:space="preserve">
          </w:t>
      </w:r>
    </w:p>
    <w:p>
      <w:pPr>
        <w:pStyle w:val="BodyText"/>
        <w:ind w:left="480"/>
      </w:pPr>
      <w:r>
        <w:t xml:space="preserve">The system output is a list containing HTTP and HTTPS entries with IP addresses and DNS names added during the </w:t>
      </w:r>
      <w:r>
        <w:t>VCF Automation</w:t>
      </w:r>
      <w:r>
        <w:t xml:space="preserve"> configuration.</w:t>
      </w:r>
    </w:p>
    <w:p>
      <w:pPr>
        <w:pStyle w:val="BodyText"/>
        <w:numPr>
          <w:numId w:val="152"/>
        </w:numPr>
      </w:pPr>
      <w:r>
        <w:t xml:space="preserve">Add to the list an additional endpoint for </w:t>
      </w:r>
      <w:r>
        <w:rPr>
          <w:rStyle w:val="InlineVar"/>
        </w:rPr>
        <w:t>&lt;new_host&gt;</w:t>
      </w:r>
      <w:r>
        <w:t xml:space="preserve"> with three entries: FQDN, HTTP, and HTTPS, and make a PUT request to the API endpoint.</w:t>
      </w:r>
    </w:p>
    <w:p>
      <w:pPr>
        <w:pStyle w:val="BodyText"/>
        <w:ind w:left="480"/>
      </w:pPr>
      <w:r>
        <w:t>When you perform a REST PUT operation, provide all values of the origins configuration which are currently configured and which you must retain.</w:t>
      </w:r>
    </w:p>
    <w:p>
      <w:pPr>
        <w:pStyle w:val="CodeBlock"/>
        <w:ind w:left="480"/>
      </w:pPr>
      <w:r>
        <w:t xml:space="preserve">
              </w:t>
      </w:r>
      <w:r>
        <w:t>{
   "values": [
      {
         "origin": "</w:t>
      </w:r>
      <w:r>
        <w:rPr>
          <w:rStyle w:val="InlineVar"/>
        </w:rPr>
        <w:t>uihost.domain.local</w:t>
      </w:r>
      <w:r>
        <w:t>"
      },
      {
         "origin": "http://</w:t>
      </w:r>
      <w:r>
        <w:rPr>
          <w:rStyle w:val="InlineVar"/>
        </w:rPr>
        <w:t>uihost.domain.local</w:t>
      </w:r>
      <w:r>
        <w:t>"
      },
      {
         "origin": "https://</w:t>
      </w:r>
      <w:r>
        <w:rPr>
          <w:rStyle w:val="InlineVar"/>
        </w:rPr>
        <w:t>uihost.domain.local</w:t>
      </w:r>
      <w:r>
        <w:t>"
      }
   ]
}</w:t>
      </w:r>
      <w:r>
        <w:t xml:space="preserve"> </w:t>
      </w:r>
    </w:p>
    <w:p>
      <w:pPr>
        <w:pStyle w:val="Heading1"/>
      </w:pPr>
      <w:bookmarkStart w:id="195" w:name="B4782fbacc14043388704cc3bc7f0e3da"/>
      <w:bookmarkStart w:id="196" w:name="_Toc256000577"/>
      <w:r>
        <w:t>Managing Certificates Using Your VCF Automation</w:t>
      </w:r>
      <w:bookmarkEnd w:id="196"/>
      <w:bookmarkEnd w:id="195"/>
    </w:p>
    <w:p>
      <w:pPr>
        <w:pStyle w:val="BodyText"/>
      </w:pPr>
      <w:r>
        <w:t xml:space="preserve">You can import, download, edit, and delete certificates from </w:t>
      </w:r>
      <w:r>
        <w:t>VCF Automation</w:t>
      </w:r>
      <w:r>
        <w:t>. You can copy the certificate PEM data to the clipboard.</w:t>
      </w:r>
    </w:p>
    <w:p>
      <w:pPr>
        <w:pStyle w:val="Heading2"/>
      </w:pPr>
      <w:bookmarkStart w:id="197" w:name="Beb2e5b2b04d44a238f87991d98bb6ff5"/>
      <w:bookmarkStart w:id="198" w:name="_Toc256000578"/>
      <w:r>
        <w:t>Test the VCF Automation Connection to a Remote Server and Establish a Trust Relationship Using the Provider Management Portal</w:t>
      </w:r>
      <w:bookmarkEnd w:id="198"/>
      <w:bookmarkEnd w:id="197"/>
    </w:p>
    <w:p>
      <w:pPr>
        <w:pStyle w:val="BodyText"/>
      </w:pPr>
      <w:r>
        <w:t xml:space="preserve">You can test the connection of </w:t>
      </w:r>
      <w:r>
        <w:t>VCF Automation</w:t>
      </w:r>
      <w:r>
        <w:t xml:space="preserve"> to a remote server, and establish a trust relationship with it.</w:t>
      </w:r>
    </w:p>
    <w:p>
      <w:pPr>
        <w:pStyle w:val="BodyText"/>
      </w:pPr>
      <w:r>
        <w:t xml:space="preserve">You can test and secure the connection of </w:t>
      </w:r>
      <w:r>
        <w:t>VCF Automation</w:t>
      </w:r>
      <w:r>
        <w:t xml:space="preserve"> to a remote server by entering the server URL.</w:t>
      </w:r>
    </w:p>
    <w:p>
      <w:pPr>
        <w:pStyle w:val="BodyText"/>
      </w:pPr>
      <w:r>
        <w:t xml:space="preserve">When you test a remote connection to a server, if the connection involves SSL communication and </w:t>
      </w:r>
      <w:r>
        <w:t>VCF Automation</w:t>
      </w:r>
      <w:r>
        <w:t xml:space="preserve"> has not already established a trust relationship with the server, you are prompted to review a certificate, or a chain of certificates, and to make a trust choice.</w:t>
      </w:r>
    </w:p>
    <w:p>
      <w:pPr>
        <w:pStyle w:val="BodyText"/>
      </w:pPr>
      <w:r>
        <w:t>If the certificate chain is not complete and there are additional certificates available, you can choose to retrieve them to view more details before making a trust choice.</w:t>
      </w:r>
    </w:p>
    <w:p>
      <w:pPr>
        <w:pStyle w:val="BodyText"/>
      </w:pPr>
      <w:r>
        <w:t xml:space="preserve">When testing remote connections, there is the potential to exploit the Server-Side Request Forgery (SSRF) vulnerability. An attacker can scan the common Kubernetes subnet ranges, such as </w:t>
      </w:r>
      <w:r>
        <w:rPr>
          <w:rStyle w:val="InlineCode"/>
        </w:rPr>
        <w:t>10.244.0.0/16</w:t>
      </w:r>
      <w:r>
        <w:t xml:space="preserve"> or </w:t>
      </w:r>
      <w:r>
        <w:rPr>
          <w:rStyle w:val="InlineCode"/>
        </w:rPr>
        <w:t>100.96.0.0/16</w:t>
      </w:r>
      <w:r>
        <w:t xml:space="preserve">, and so on, and then enumerate the services by scanning for open ports. To test connections to remote servers and to verify the server identity as part of an SSL handshake, you can use the </w:t>
      </w:r>
      <w:r>
        <w:t>VCF Automation</w:t>
      </w:r>
      <w:r>
        <w:t xml:space="preserve"> API. An attacker can scan the common Kubernetes subnet ranges such as 10.244.0.0/16 or 100.96.0.0/16, and so on, and then, enumerate the services by scanning for open ports. To protect the internal network in which a </w:t>
      </w:r>
      <w:r>
        <w:t>VCF Automation</w:t>
      </w:r>
      <w:r>
        <w:t xml:space="preserve"> instance is deployed from malicious attacks, you can configure a denylist of internal hosts that are unreachable to organizations. This way, if a malicious attacker with organizational access attempts to use the connection testing API to map the network in which </w:t>
      </w:r>
      <w:r>
        <w:t>VCF Automation</w:t>
      </w:r>
      <w:r>
        <w:t xml:space="preserve"> is installed, they would not be able to connect to the internal hosts on the denylist. Managing this denylist is possible through the </w:t>
      </w:r>
      <w:r>
        <w:rPr>
          <w:rStyle w:val="InlineCode"/>
        </w:rPr>
        <w:t>/cloudapi/1.0.0/testConnection/restrictions</w:t>
      </w:r>
      <w:r>
        <w:t xml:space="preserve"> API.</w:t>
      </w:r>
    </w:p>
    <w:p>
      <w:pPr>
        <w:pStyle w:val="BodyText"/>
      </w:pPr>
      <w:r>
        <w:rPr>
          <w:rStyle w:val="Strong"/>
        </w:rPr>
        <w:t>Prerequisites</w:t>
      </w:r>
    </w:p>
    <w:p>
      <w:pPr>
        <w:pStyle w:val="BodyText"/>
      </w:pPr>
      <w:r>
        <w:t xml:space="preserve">Verify that your role includes the </w:t>
      </w:r>
      <w:r>
        <w:rPr>
          <w:rStyle w:val="InlineUI"/>
        </w:rPr>
        <w:t>SSL: Test Connection</w:t>
      </w:r>
      <w:r>
        <w:t xml:space="preserve"> and the </w:t>
      </w:r>
      <w:r>
        <w:rPr>
          <w:rStyle w:val="InlineUI"/>
        </w:rPr>
        <w:t>Truststore: Manage</w:t>
      </w:r>
      <w:r>
        <w:t xml:space="preserve"> rights.</w:t>
      </w:r>
    </w:p>
    <w:p>
      <w:pPr>
        <w:pStyle w:val="BodyText"/>
      </w:pPr>
      <w:r>
        <w:rPr>
          <w:rStyle w:val="Strong"/>
        </w:rPr>
        <w:t>Procedure</w:t>
      </w:r>
    </w:p>
    <w:p>
      <w:pPr>
        <w:pStyle w:val="BodyText"/>
        <w:numPr>
          <w:numId w:val="153"/>
        </w:numPr>
      </w:pPr>
      <w:r>
        <w:t xml:space="preserve">Log in to the </w:t>
      </w:r>
      <w:r>
        <w:t>.</w:t>
      </w:r>
    </w:p>
    <w:p>
      <w:pPr>
        <w:pStyle w:val="BodyText"/>
        <w:numPr>
          <w:numId w:val="153"/>
        </w:numPr>
      </w:pPr>
      <w:r>
        <w:t xml:space="preserve">From the left navigation panel, select </w:t>
      </w:r>
      <w:r>
        <w:rPr>
          <w:rStyle w:val="InlineUI"/>
        </w:rPr>
        <w:t>Certificate Management</w:t>
      </w:r>
      <w:r>
        <w:t>.</w:t>
      </w:r>
    </w:p>
    <w:p>
      <w:pPr>
        <w:pStyle w:val="BodyText"/>
        <w:numPr>
          <w:numId w:val="153"/>
        </w:numPr>
      </w:pPr>
      <w:r>
        <w:t xml:space="preserve">Select </w:t>
      </w:r>
      <w:r>
        <w:rPr>
          <w:rStyle w:val="InlineUI"/>
        </w:rPr>
        <w:t>Trusted Certificates</w:t>
      </w:r>
      <w:r>
        <w:t xml:space="preserve">, and click </w:t>
      </w:r>
      <w:r>
        <w:rPr>
          <w:rStyle w:val="InlineUI"/>
        </w:rPr>
        <w:t>Test Remote Connection</w:t>
      </w:r>
      <w:r>
        <w:t>.</w:t>
      </w:r>
    </w:p>
    <w:p>
      <w:pPr>
        <w:pStyle w:val="BodyText"/>
        <w:numPr>
          <w:numId w:val="153"/>
        </w:numPr>
      </w:pPr>
      <w:r>
        <w:t>Enter a URL for the server with which you want to test the connection.</w:t>
      </w:r>
    </w:p>
    <w:p>
      <w:pPr>
        <w:pStyle w:val="BodyText"/>
        <w:numPr>
          <w:numId w:val="153"/>
        </w:numPr>
      </w:pPr>
      <w:r>
        <w:t>From the drop-down menu, select the hostname verification algorithm to use when testing the connection.</w:t>
      </w:r>
    </w:p>
    <w:p>
      <w:pPr>
        <w:pStyle w:val="BodyText"/>
        <w:numPr>
          <w:numId w:val="153"/>
        </w:numPr>
      </w:pPr>
      <w:r>
        <w:t xml:space="preserve">Click </w:t>
      </w:r>
      <w:r>
        <w:rPr>
          <w:rStyle w:val="InlineUI"/>
        </w:rPr>
        <w:t>Connect</w:t>
      </w:r>
      <w:r>
        <w:t>.</w:t>
      </w:r>
    </w:p>
    <w:p>
      <w:pPr>
        <w:pStyle w:val="BodyText"/>
        <w:numPr>
          <w:numId w:val="153"/>
        </w:numPr>
      </w:pPr>
      <w:r>
        <w:t xml:space="preserve">If the connection involves SSL communication and </w:t>
      </w:r>
      <w:r>
        <w:t>VCF Automation</w:t>
      </w:r>
      <w:r>
        <w:t xml:space="preserve"> hasn't already established a trust relationship with the server, review the certificate information and make a trust choice.</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62"/>
        <w:gridCol w:w="8418"/>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Trust</w:t>
            </w:r>
          </w:p>
        </w:tc>
        <w:tc>
          <w:tcPr>
            <w:tcBorders>
              <w:left w:val="nil"/>
              <w:right w:val="nil"/>
            </w:tcBorders>
          </w:tcPr>
          <w:p>
            <w:pPr>
              <w:pStyle w:val="TableBodyText"/>
            </w:pPr>
            <w:r>
              <w:t>Verify that you trust the certificate information and establish a trust relationship for future communication with the server.</w:t>
            </w:r>
          </w:p>
        </w:tc>
      </w:tr>
      <w:tr>
        <w:tblPrEx>
          <w:tblInd w:w="480" w:type="dxa"/>
          <w:tblCellMar>
            <w:left w:w="108" w:type="dxa"/>
            <w:right w:w="108" w:type="dxa"/>
          </w:tblCellMar>
        </w:tblPrEx>
        <w:trPr>
          <w:cantSplit/>
        </w:trPr>
        <w:tc>
          <w:tcPr>
            <w:tcBorders>
              <w:left w:val="nil"/>
              <w:right w:val="nil"/>
            </w:tcBorders>
          </w:tcPr>
          <w:p>
            <w:pPr>
              <w:pStyle w:val="TableBodyText"/>
            </w:pPr>
            <w:r>
              <w:t>Retrieve</w:t>
            </w:r>
          </w:p>
        </w:tc>
        <w:tc>
          <w:tcPr>
            <w:tcBorders>
              <w:left w:val="nil"/>
              <w:right w:val="nil"/>
            </w:tcBorders>
          </w:tcPr>
          <w:p>
            <w:pPr>
              <w:pStyle w:val="TableBodyText"/>
            </w:pPr>
            <w:r>
              <w:t>If the certificate chain is not complete and there are additional intermediate and leaf certificates available from the same issuing certificate authority, you can retrieve them to view more details. Depending on your security considerations, choose one of the options.</w:t>
            </w:r>
          </w:p>
          <w:p>
            <w:pPr>
              <w:pStyle w:val="TableBodyText"/>
              <w:numPr>
                <w:numId w:val="154"/>
              </w:numPr>
            </w:pPr>
            <w:r>
              <w:t xml:space="preserve">Select which certificates to trust and click </w:t>
            </w:r>
            <w:r>
              <w:rPr>
                <w:rStyle w:val="InlineUI"/>
              </w:rPr>
              <w:t>Trust selected</w:t>
            </w:r>
          </w:p>
          <w:p>
            <w:pPr>
              <w:pStyle w:val="TableBodyText"/>
              <w:numPr>
                <w:numId w:val="154"/>
              </w:numPr>
            </w:pPr>
            <w:r>
              <w:t xml:space="preserve">To cancel the attempt to establish a trust relationship, click </w:t>
            </w:r>
            <w:r>
              <w:rPr>
                <w:rStyle w:val="InlineUI"/>
              </w:rPr>
              <w:t>Cancel</w:t>
            </w:r>
          </w:p>
        </w:tc>
      </w:tr>
      <w:tr>
        <w:tblPrEx>
          <w:tblInd w:w="480" w:type="dxa"/>
          <w:tblCellMar>
            <w:left w:w="108" w:type="dxa"/>
            <w:right w:w="108" w:type="dxa"/>
          </w:tblCellMar>
        </w:tblPrEx>
        <w:trPr>
          <w:cantSplit/>
        </w:trPr>
        <w:tc>
          <w:tcPr>
            <w:tcBorders>
              <w:left w:val="nil"/>
              <w:right w:val="nil"/>
            </w:tcBorders>
          </w:tcPr>
          <w:p>
            <w:pPr>
              <w:pStyle w:val="TableBodyText"/>
            </w:pPr>
            <w:r>
              <w:t>Cancel</w:t>
            </w:r>
          </w:p>
        </w:tc>
        <w:tc>
          <w:tcPr>
            <w:tcBorders>
              <w:left w:val="nil"/>
              <w:right w:val="nil"/>
            </w:tcBorders>
          </w:tcPr>
          <w:p>
            <w:pPr>
              <w:pStyle w:val="TableBodyText"/>
            </w:pPr>
            <w:r>
              <w:t>Cancel the attempt to establish a trust relationship.</w:t>
            </w:r>
          </w:p>
        </w:tc>
      </w:tr>
    </w:tbl>
    <w:p>
      <w:pPr>
        <w:pStyle w:val="Heading2"/>
        <w:spacing w:before="320"/>
      </w:pPr>
      <w:bookmarkStart w:id="199" w:name="_Toc256000579"/>
      <w:r>
        <w:t>Import Trusted Certificates Using Your VCF Automation Provider Management Portal</w:t>
      </w:r>
      <w:bookmarkEnd w:id="199"/>
    </w:p>
    <w:p>
      <w:pPr>
        <w:pStyle w:val="BodyText"/>
      </w:pPr>
      <w:r>
        <w:t xml:space="preserve">You can import certificates of servers that </w:t>
      </w:r>
      <w:r>
        <w:t>VCF Automation</w:t>
      </w:r>
      <w:r>
        <w:t xml:space="preserve"> communicates with, such as </w:t>
      </w:r>
      <w:r>
        <w:t>vCenter</w:t>
      </w:r>
      <w:r>
        <w:t xml:space="preserve">, </w:t>
      </w:r>
      <w:r>
        <w:t>NSX Manager</w:t>
      </w:r>
      <w:r>
        <w:t>, and so on.</w:t>
      </w:r>
    </w:p>
    <w:p>
      <w:pPr>
        <w:pStyle w:val="BodyText"/>
        <w:pBdr>
          <w:top w:val="single" w:sz="8" w:space="2" w:color="D3D3D3"/>
          <w:bottom w:val="single" w:sz="8" w:space="2" w:color="D3D3D3"/>
        </w:pBdr>
      </w:pPr>
      <w:r>
        <w:rPr>
          <w:rStyle w:val="NoteLeadernote"/>
        </w:rPr>
        <w:t>Note</w:t>
        <w:tab/>
      </w:r>
      <w:r>
        <w:t xml:space="preserve">Instead of importing certificates manually, you can test the connection to the remote server and establish a trust relationship with it.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Beb2e5b2b04d44a238f87991d98bb6ff5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Test the VCF Automation Connection to a Remote Server and Establish a Trust Relationship Using the Provider Management Portal</w:t>
      </w:r>
      <w:r>
        <w:fldChar w:fldCharType="end"/>
      </w:r>
      <w:r>
        <w:t>.</w:t>
      </w:r>
    </w:p>
    <w:p>
      <w:pPr>
        <w:pStyle w:val="BodyText"/>
      </w:pPr>
      <w:r>
        <w:t>You must use FIPS-compatible private keys. You can use pyOpenSSL to generate private keys in FIPS-compatible PKCS#8 format. If you generate PKCS#8 private keys by using OpenSSL, the private keys are not FIPS-compatible.</w:t>
      </w:r>
    </w:p>
    <w:p>
      <w:pPr>
        <w:pStyle w:val="BodyText"/>
      </w:pPr>
      <w:r>
        <w:rPr>
          <w:rStyle w:val="Strong"/>
        </w:rPr>
        <w:t>Prerequisites</w:t>
      </w:r>
    </w:p>
    <w:p>
      <w:pPr>
        <w:pStyle w:val="BodyText"/>
      </w:pPr>
      <w:r>
        <w:t xml:space="preserve">Verify that your role includes the </w:t>
      </w:r>
      <w:r>
        <w:rPr>
          <w:rStyle w:val="InlineUI"/>
        </w:rPr>
        <w:t>Truststore: Manage</w:t>
      </w:r>
      <w:r>
        <w:t xml:space="preserve"> right.</w:t>
      </w:r>
    </w:p>
    <w:p>
      <w:pPr>
        <w:pStyle w:val="BodyText"/>
      </w:pPr>
      <w:r>
        <w:rPr>
          <w:rStyle w:val="Strong"/>
        </w:rPr>
        <w:t>Procedure</w:t>
      </w:r>
    </w:p>
    <w:p>
      <w:pPr>
        <w:pStyle w:val="BodyText"/>
        <w:numPr>
          <w:numId w:val="155"/>
        </w:numPr>
      </w:pPr>
      <w:r>
        <w:t xml:space="preserve">Log in to the </w:t>
      </w:r>
      <w:r>
        <w:t>.</w:t>
      </w:r>
    </w:p>
    <w:p>
      <w:pPr>
        <w:pStyle w:val="BodyText"/>
        <w:numPr>
          <w:numId w:val="155"/>
        </w:numPr>
      </w:pPr>
      <w:r>
        <w:t xml:space="preserve">From the left navigation panel, select </w:t>
      </w:r>
      <w:r>
        <w:rPr>
          <w:rStyle w:val="InlineUI"/>
        </w:rPr>
        <w:t>Certificate Management</w:t>
      </w:r>
      <w:r>
        <w:t>.</w:t>
      </w:r>
    </w:p>
    <w:p>
      <w:pPr>
        <w:pStyle w:val="BodyText"/>
        <w:numPr>
          <w:numId w:val="155"/>
        </w:numPr>
      </w:pPr>
      <w:r>
        <w:t xml:space="preserve">Select </w:t>
      </w:r>
      <w:r>
        <w:rPr>
          <w:rStyle w:val="InlineUI"/>
        </w:rPr>
        <w:t>Trusted Certificates</w:t>
      </w:r>
      <w:r>
        <w:t xml:space="preserve">, and click </w:t>
      </w:r>
      <w:r>
        <w:rPr>
          <w:rStyle w:val="InlineUI"/>
        </w:rPr>
        <w:t>Import</w:t>
      </w:r>
      <w:r>
        <w:t>.</w:t>
      </w:r>
    </w:p>
    <w:p>
      <w:pPr>
        <w:pStyle w:val="BodyText"/>
        <w:numPr>
          <w:numId w:val="155"/>
        </w:numPr>
      </w:pPr>
      <w:r>
        <w:t xml:space="preserve">Upload a PEM file containing the certificates that you want to import, and click </w:t>
      </w:r>
      <w:r>
        <w:rPr>
          <w:rStyle w:val="InlineUI"/>
        </w:rPr>
        <w:t>Import</w:t>
      </w:r>
      <w:r>
        <w:t>.</w:t>
      </w:r>
    </w:p>
    <w:p>
      <w:pPr>
        <w:pStyle w:val="BodyText"/>
        <w:numPr>
          <w:numId w:val="155"/>
        </w:numPr>
      </w:pPr>
      <w:r>
        <w:t xml:space="preserve">(Optional) </w:t>
      </w:r>
      <w:r>
        <w:t>(Optional) Edit the certificate name.</w:t>
      </w:r>
    </w:p>
    <w:p>
      <w:pPr>
        <w:pStyle w:val="BodyText"/>
        <w:numPr>
          <w:numId w:val="155"/>
        </w:numPr>
      </w:pPr>
      <w:r>
        <w:t xml:space="preserve">Click </w:t>
      </w:r>
      <w:r>
        <w:rPr>
          <w:rStyle w:val="InlineUI"/>
        </w:rPr>
        <w:t>Import</w:t>
      </w:r>
      <w:r>
        <w:t>.</w:t>
      </w:r>
    </w:p>
    <w:p>
      <w:pPr>
        <w:pStyle w:val="BodyText"/>
      </w:pPr>
      <w:r>
        <w:rPr>
          <w:rStyle w:val="Strong"/>
        </w:rPr>
        <w:t>What to do next</w:t>
      </w:r>
    </w:p>
    <w:p>
      <w:pPr>
        <w:pStyle w:val="BodyText"/>
      </w:pPr>
      <w:r>
        <w:t>You can use the vertical ellipsis (</w:t>
      </w:r>
    </w:p>
    <w:p>
      <w:pPr>
        <w:pStyle w:val="BodyText"/>
      </w:pPr>
      <w:r>
        <w:t>) menu to perform the following actions:</w:t>
      </w:r>
    </w:p>
    <w:p>
      <w:pPr>
        <w:pStyle w:val="BodyText"/>
        <w:numPr>
          <w:numId w:val="156"/>
        </w:numPr>
      </w:pPr>
      <w:r>
        <w:t>Download a certificate.</w:t>
      </w:r>
    </w:p>
    <w:p>
      <w:pPr>
        <w:pStyle w:val="BodyText"/>
        <w:numPr>
          <w:numId w:val="156"/>
        </w:numPr>
      </w:pPr>
      <w:r>
        <w:t>Edit a certificate name.</w:t>
      </w:r>
    </w:p>
    <w:p>
      <w:pPr>
        <w:pStyle w:val="BodyText"/>
        <w:numPr>
          <w:numId w:val="156"/>
        </w:numPr>
      </w:pPr>
      <w:r>
        <w:t>Delete a certificate.</w:t>
      </w:r>
    </w:p>
    <w:p>
      <w:pPr>
        <w:pStyle w:val="BodyText"/>
        <w:numPr>
          <w:numId w:val="156"/>
        </w:numPr>
      </w:pPr>
      <w:r>
        <w:t>Copy the PEM data to the clipboard.</w:t>
      </w:r>
    </w:p>
    <w:p>
      <w:pPr>
        <w:pStyle w:val="Heading2"/>
      </w:pPr>
      <w:bookmarkStart w:id="200" w:name="_Toc256000580"/>
      <w:r>
        <w:t>Import Certificates to the Certificates Library Using Your VCF Automation Provider Management Portal</w:t>
      </w:r>
      <w:bookmarkEnd w:id="200"/>
    </w:p>
    <w:p>
      <w:pPr>
        <w:pStyle w:val="BodyText"/>
      </w:pPr>
      <w:r>
        <w:t xml:space="preserve">In the </w:t>
      </w:r>
      <w:r>
        <w:t>VCF Automation</w:t>
      </w:r>
      <w:r>
        <w:t xml:space="preserve"> certificates library, you can import certificates used when creating entities that you must secure, such as servers, Edge gateways, and so on.</w:t>
      </w:r>
    </w:p>
    <w:p>
      <w:pPr>
        <w:pStyle w:val="BodyText"/>
      </w:pPr>
      <w:r>
        <w:t>The certificate library contains information about single certificates, certificate chains, private keys, certificate expiration dates, the entities that the certificates secure, and so on.</w:t>
      </w:r>
    </w:p>
    <w:p>
      <w:pPr>
        <w:pStyle w:val="BodyText"/>
      </w:pPr>
      <w:r>
        <w:t>You must manage the certificate libraries separately for each site.</w:t>
      </w:r>
    </w:p>
    <w:p>
      <w:pPr>
        <w:pStyle w:val="BodyText"/>
      </w:pPr>
      <w:r>
        <w:t>You must use FIPS-compatible self-signed certificates and private keys. You can generate self-signed unencrypted certificates and private keys by using OpenSSL. If you generate self-signed certificates and private keys by using OpenSSL, the certificates and private keys are not FIPS-compatible.</w:t>
      </w:r>
    </w:p>
    <w:p>
      <w:pPr>
        <w:pStyle w:val="BodyText"/>
      </w:pPr>
      <w:r>
        <w:rPr>
          <w:rStyle w:val="Strong"/>
        </w:rPr>
        <w:t>Prerequisites</w:t>
      </w:r>
    </w:p>
    <w:p>
      <w:pPr>
        <w:pStyle w:val="BodyText"/>
        <w:numPr>
          <w:numId w:val="157"/>
        </w:numPr>
      </w:pPr>
      <w:r>
        <w:t xml:space="preserve">Verify that your role includes the </w:t>
      </w:r>
      <w:r>
        <w:rPr>
          <w:rStyle w:val="InlineUI"/>
        </w:rPr>
        <w:t>Certificate Library: Manage</w:t>
      </w:r>
      <w:r>
        <w:t xml:space="preserve"> right.</w:t>
      </w:r>
    </w:p>
    <w:p>
      <w:pPr>
        <w:pStyle w:val="BodyText"/>
        <w:numPr>
          <w:numId w:val="157"/>
        </w:numPr>
      </w:pPr>
      <w:r>
        <w:t xml:space="preserve">Verify that the private keys you want to use are in the PKCS#8 format. </w:t>
      </w:r>
      <w:r>
        <w:t>VCF Automation</w:t>
      </w:r>
      <w:r>
        <w:t xml:space="preserve"> does not support private keys generated with the Digital Signature Algorithm (DSA).</w:t>
      </w:r>
    </w:p>
    <w:p>
      <w:pPr>
        <w:pStyle w:val="BodyText"/>
      </w:pPr>
      <w:r>
        <w:rPr>
          <w:rStyle w:val="Strong"/>
        </w:rPr>
        <w:t>Procedure</w:t>
      </w:r>
    </w:p>
    <w:p>
      <w:pPr>
        <w:pStyle w:val="BodyText"/>
        <w:numPr>
          <w:numId w:val="158"/>
        </w:numPr>
      </w:pPr>
      <w:r>
        <w:t xml:space="preserve">Log in to the </w:t>
      </w:r>
      <w:r>
        <w:t>.</w:t>
      </w:r>
    </w:p>
    <w:p>
      <w:pPr>
        <w:pStyle w:val="BodyText"/>
        <w:numPr>
          <w:numId w:val="158"/>
        </w:numPr>
      </w:pPr>
      <w:r>
        <w:t xml:space="preserve">From the left navigation panel, under </w:t>
      </w:r>
      <w:r>
        <w:rPr>
          <w:rStyle w:val="InlineUI"/>
        </w:rPr>
        <w:t>Administration</w:t>
      </w:r>
      <w:r>
        <w:t xml:space="preserve">, select </w:t>
      </w:r>
      <w:r>
        <w:rPr>
          <w:rStyle w:val="InlineUI"/>
        </w:rPr>
        <w:t>Certificate Management</w:t>
      </w:r>
      <w:r>
        <w:t>.</w:t>
      </w:r>
    </w:p>
    <w:p>
      <w:pPr>
        <w:pStyle w:val="BodyText"/>
        <w:numPr>
          <w:numId w:val="158"/>
        </w:numPr>
      </w:pPr>
      <w:r>
        <w:t xml:space="preserve">Select </w:t>
      </w:r>
      <w:r>
        <w:rPr>
          <w:rStyle w:val="InlineUI"/>
        </w:rPr>
        <w:t>Certificates Library</w:t>
      </w:r>
      <w:r>
        <w:t xml:space="preserve">, and click </w:t>
      </w:r>
      <w:r>
        <w:rPr>
          <w:rStyle w:val="InlineUI"/>
        </w:rPr>
        <w:t>Import</w:t>
      </w:r>
      <w:r>
        <w:t>.</w:t>
      </w:r>
    </w:p>
    <w:p>
      <w:pPr>
        <w:pStyle w:val="BodyText"/>
        <w:numPr>
          <w:numId w:val="158"/>
        </w:numPr>
      </w:pPr>
      <w:r>
        <w:t xml:space="preserve">Enter a name, and optionally, a description for this certificate in the certificate library and click </w:t>
      </w:r>
      <w:r>
        <w:rPr>
          <w:rStyle w:val="InlineUI"/>
        </w:rPr>
        <w:t>Next</w:t>
      </w:r>
      <w:r>
        <w:t>.</w:t>
      </w:r>
    </w:p>
    <w:p>
      <w:pPr>
        <w:pStyle w:val="BodyText"/>
        <w:numPr>
          <w:numId w:val="158"/>
        </w:numPr>
      </w:pPr>
      <w:r>
        <w:t xml:space="preserve">Upload a PEM file containing the certificate chain that you want to import and click </w:t>
      </w:r>
      <w:r>
        <w:rPr>
          <w:rStyle w:val="InlineUI"/>
        </w:rPr>
        <w:t>Next</w:t>
      </w:r>
      <w:r>
        <w:t>.</w:t>
      </w:r>
    </w:p>
    <w:p>
      <w:pPr>
        <w:pStyle w:val="BodyText"/>
        <w:numPr>
          <w:numId w:val="158"/>
        </w:numPr>
      </w:pPr>
      <w:r>
        <w:t xml:space="preserve">(Optional) </w:t>
      </w:r>
      <w:r>
        <w:t>Upload a private key file.</w:t>
      </w:r>
    </w:p>
    <w:p>
      <w:pPr>
        <w:pStyle w:val="BodyText"/>
        <w:ind w:left="480"/>
      </w:pPr>
      <w:r>
        <w:t>Your private key file might not be protected with a passphrase.</w:t>
      </w:r>
    </w:p>
    <w:p>
      <w:pPr>
        <w:pStyle w:val="BodyText"/>
        <w:numPr>
          <w:numId w:val="158"/>
        </w:numPr>
      </w:pPr>
      <w:r>
        <w:t xml:space="preserve">Click </w:t>
      </w:r>
      <w:r>
        <w:rPr>
          <w:rStyle w:val="InlineUI"/>
        </w:rPr>
        <w:t>Import</w:t>
      </w:r>
      <w:r>
        <w:t>.</w:t>
      </w:r>
    </w:p>
    <w:p>
      <w:pPr>
        <w:pStyle w:val="BodyText"/>
      </w:pPr>
      <w:r>
        <w:rPr>
          <w:rStyle w:val="Strong"/>
        </w:rPr>
        <w:t>Results</w:t>
      </w:r>
    </w:p>
    <w:p>
      <w:pPr>
        <w:pStyle w:val="BodyText"/>
      </w:pPr>
      <w:r>
        <w:t>The imported certificate appears in the list of available certificates during the creation of entities that you must secure.</w:t>
      </w:r>
    </w:p>
    <w:p>
      <w:pPr>
        <w:pStyle w:val="BodyText"/>
      </w:pPr>
      <w:r>
        <w:rPr>
          <w:rStyle w:val="Strong"/>
        </w:rPr>
        <w:t>What to do next</w:t>
      </w:r>
    </w:p>
    <w:p>
      <w:pPr>
        <w:pStyle w:val="BodyText"/>
      </w:pPr>
      <w:r>
        <w:t>You can use the vertical ellipsis (</w:t>
      </w:r>
    </w:p>
    <w:p>
      <w:pPr>
        <w:pStyle w:val="BodyText"/>
      </w:pPr>
      <w:r>
        <w:t>) menu to perform the following actions:</w:t>
      </w:r>
    </w:p>
    <w:p>
      <w:pPr>
        <w:pStyle w:val="BodyText"/>
        <w:numPr>
          <w:numId w:val="159"/>
        </w:numPr>
      </w:pPr>
      <w:r>
        <w:t>Download a certificate.</w:t>
      </w:r>
    </w:p>
    <w:p>
      <w:pPr>
        <w:pStyle w:val="BodyText"/>
        <w:numPr>
          <w:numId w:val="159"/>
        </w:numPr>
      </w:pPr>
      <w:r>
        <w:t>Edit the name and description of a certificate.</w:t>
      </w:r>
    </w:p>
    <w:p>
      <w:pPr>
        <w:pStyle w:val="BodyText"/>
        <w:numPr>
          <w:numId w:val="159"/>
        </w:numPr>
      </w:pPr>
      <w:r>
        <w:t>Delete a certificate. You can delete only certificates that do not secure any entities.</w:t>
      </w:r>
    </w:p>
    <w:p>
      <w:pPr>
        <w:pStyle w:val="BodyText"/>
        <w:numPr>
          <w:numId w:val="159"/>
        </w:numPr>
      </w:pPr>
      <w:r>
        <w:t>Copy the certificate PEM data to the clipboard.</w:t>
      </w:r>
    </w:p>
    <w:p>
      <w:pPr>
        <w:pStyle w:val="Heading1"/>
      </w:pPr>
      <w:bookmarkStart w:id="201" w:name="_Toc256000581"/>
      <w:r>
        <w:t>Using Services with VCF Automation</w:t>
      </w:r>
      <w:bookmarkEnd w:id="201"/>
    </w:p>
    <w:p>
      <w:pPr>
        <w:pStyle w:val="BodyText"/>
      </w:pPr>
      <w:r>
        <w:t xml:space="preserve">You can use the </w:t>
      </w:r>
      <w:r>
        <w:rPr>
          <w:rStyle w:val="InlineUI"/>
        </w:rPr>
        <w:t>Services</w:t>
      </w:r>
      <w:r>
        <w:t xml:space="preserve"> UI to extend your </w:t>
      </w:r>
      <w:r>
        <w:t>VCF Automation</w:t>
      </w:r>
      <w:r>
        <w:t xml:space="preserve"> offering with value-added functionalities provided by Broadcom and third-party vendors. Through the UI, you can manage the resources and life cycle of services that are custom-built to extend the functionality of </w:t>
      </w:r>
      <w:r>
        <w:t>VCF Automation</w:t>
      </w:r>
      <w:r>
        <w:t>.</w:t>
      </w:r>
    </w:p>
    <w:p>
      <w:pPr>
        <w:pStyle w:val="BodyText"/>
      </w:pPr>
      <w:r>
        <w:t xml:space="preserve">A service is the representation of a solution that is custom built for </w:t>
      </w:r>
      <w:r>
        <w:t>VCF Automation</w:t>
      </w:r>
      <w:r>
        <w:t xml:space="preserve"> in the </w:t>
      </w:r>
      <w:r>
        <w:t>VCF Automation</w:t>
      </w:r>
      <w:r>
        <w:t xml:space="preserve"> extensibility ecosystem. A service can encapsulate UI and API </w:t>
      </w:r>
      <w:r>
        <w:t>VCF Automation</w:t>
      </w:r>
      <w:r>
        <w:t xml:space="preserve"> extensions together with their backend services and lifecycle management. The services are distributed as </w:t>
      </w:r>
      <w:r>
        <w:rPr>
          <w:rStyle w:val="InlineCode"/>
        </w:rPr>
        <w:t>.tar.gz</w:t>
      </w:r>
      <w:r>
        <w:t xml:space="preserve"> or </w:t>
      </w:r>
      <w:r>
        <w:rPr>
          <w:rStyle w:val="InlineCode"/>
        </w:rPr>
        <w:t>.tgz</w:t>
      </w:r>
      <w:r>
        <w:t xml:space="preserve"> files. A service can contain numerous elements: UI plugins, service accounts, </w:t>
      </w:r>
      <w:r>
        <w:t>Supervisor</w:t>
      </w:r>
      <w:r>
        <w:t xml:space="preserve"> services, roles, rights bundles, runtime defined entities, and so on. There are two types of services - VCF services and partner services.</w:t>
      </w:r>
    </w:p>
    <w:p>
      <w:pPr>
        <w:pStyle w:val="BodyText"/>
        <w:numPr>
          <w:numId w:val="160"/>
        </w:numPr>
      </w:pPr>
      <w:r>
        <w:t xml:space="preserve">VCF services are solutions for which the vendor is </w:t>
      </w:r>
      <w:r>
        <w:rPr>
          <w:rStyle w:val="InlineCode"/>
        </w:rPr>
        <w:t>VMware</w:t>
      </w:r>
      <w:r>
        <w:t xml:space="preserve"> or </w:t>
      </w:r>
      <w:r>
        <w:rPr>
          <w:rStyle w:val="InlineCode"/>
        </w:rPr>
        <w:t>Broadcom</w:t>
      </w:r>
      <w:r>
        <w:t xml:space="preserve">. VCF services can contain a </w:t>
      </w:r>
      <w:r>
        <w:t>Supervisor</w:t>
      </w:r>
      <w:r>
        <w:t xml:space="preserve"> service and can be built into </w:t>
      </w:r>
      <w:r>
        <w:t>VCF Automation</w:t>
      </w:r>
      <w:r>
        <w:t xml:space="preserve">. The </w:t>
      </w:r>
      <w:hyperlink r:id="rId25" w:tooltip="VMware Data Services Manager service" w:history="1">
        <w:r>
          <w:rPr>
            <w:color w:val="0000FF"/>
            <w:u w:val="single"/>
          </w:rPr>
          <w:t>VMware Data Services Manager service</w:t>
        </w:r>
      </w:hyperlink>
      <w:r>
        <w:t xml:space="preserve"> and the </w:t>
      </w:r>
      <w:hyperlink r:id="rId26" w:tooltip="Secret store service" w:history="1">
        <w:r>
          <w:rPr>
            <w:color w:val="0000FF"/>
            <w:u w:val="single"/>
          </w:rPr>
          <w:t>Secret store service</w:t>
        </w:r>
      </w:hyperlink>
      <w:r>
        <w:t xml:space="preserve"> Addon are such built-in services.</w:t>
      </w:r>
    </w:p>
    <w:p>
      <w:pPr>
        <w:pStyle w:val="BodyText"/>
        <w:numPr>
          <w:numId w:val="160"/>
        </w:numPr>
      </w:pPr>
      <w:r>
        <w:t>Partner services are services from external vendors.</w:t>
      </w:r>
    </w:p>
    <w:p>
      <w:pPr>
        <w:pStyle w:val="BodyText"/>
      </w:pPr>
      <w:r>
        <w:t>When a new version of a service becomes available, you can upgrade your existing service instances to the new version. You can publish services to some or to all organizations in your environment.</w:t>
      </w:r>
    </w:p>
    <w:p>
      <w:pPr>
        <w:pStyle w:val="BodyText"/>
      </w:pPr>
      <w:r>
        <w:t xml:space="preserve">The services implementation follows the Kubernetes best practices and </w:t>
      </w:r>
      <w:r>
        <w:t>VCF Automation</w:t>
      </w:r>
      <w:r>
        <w:t xml:space="preserve"> constantly tries to keep the service in a working state. If you manually delete or change any of the elements of a VCF service, for example if you delete a rights bundle, after few minutes, </w:t>
      </w:r>
      <w:r>
        <w:t>VCF Automation</w:t>
      </w:r>
      <w:r>
        <w:t xml:space="preserve"> detects that the rights bundle is missing and tries to recreate it.</w:t>
      </w:r>
    </w:p>
    <w:p>
      <w:pPr>
        <w:pStyle w:val="BodyText"/>
      </w:pPr>
      <w:r>
        <w:t xml:space="preserve">To create </w:t>
      </w:r>
      <w:r>
        <w:t>VCF Automation</w:t>
      </w:r>
      <w:r>
        <w:t xml:space="preserve"> services, you can use the VCF Automation Extension SDK.</w:t>
      </w:r>
    </w:p>
    <w:p>
      <w:pPr>
        <w:pStyle w:val="ditaDT"/>
      </w:pPr>
      <w:r>
        <w:t>Vendor</w:t>
      </w:r>
    </w:p>
    <w:p>
      <w:pPr>
        <w:pStyle w:val="ditaDD"/>
      </w:pPr>
      <w:r>
        <w:t xml:space="preserve">Vendors are the creators of services who use the VCF Automation Extension SDK to create services that complement </w:t>
      </w:r>
      <w:r>
        <w:t>VCF Automation</w:t>
      </w:r>
      <w:r>
        <w:t>, such as Broadcom, third-party software vendors, or enterprises and service providers who build services for their own use..</w:t>
      </w:r>
    </w:p>
    <w:p>
      <w:pPr>
        <w:pStyle w:val="ditaDT"/>
      </w:pPr>
      <w:r>
        <w:t>Provider</w:t>
      </w:r>
    </w:p>
    <w:p>
      <w:pPr>
        <w:pStyle w:val="ditaDD"/>
      </w:pPr>
      <w:r>
        <w:t xml:space="preserve">Providers are the operators of the services in </w:t>
      </w:r>
      <w:r>
        <w:t>VCF Automation</w:t>
      </w:r>
      <w:r>
        <w:t>.</w:t>
      </w:r>
    </w:p>
    <w:p>
      <w:pPr>
        <w:pStyle w:val="ditaDT"/>
      </w:pPr>
      <w:r>
        <w:t>Organization</w:t>
      </w:r>
    </w:p>
    <w:p>
      <w:pPr>
        <w:pStyle w:val="ditaDD"/>
      </w:pPr>
      <w:r>
        <w:t>Organizations are the consumers of the business outcomes brought about by a service, for example, self-service provisioning of Kubernetes clusters, Kubernetes operators, databases, UI extensions with back-office properties, and more.</w:t>
      </w:r>
    </w:p>
    <w:p>
      <w:pPr>
        <w:pStyle w:val="Heading2"/>
      </w:pPr>
      <w:bookmarkStart w:id="202" w:name="Bbd80b42789fc4a79a887aea3dafbe1ac"/>
      <w:bookmarkStart w:id="203" w:name="_Toc256000582"/>
      <w:r>
        <w:t>Upload a Service to Your VCF Automation</w:t>
      </w:r>
      <w:bookmarkEnd w:id="203"/>
      <w:bookmarkEnd w:id="202"/>
    </w:p>
    <w:p>
      <w:pPr>
        <w:pStyle w:val="BodyText"/>
      </w:pPr>
      <w:r>
        <w:t xml:space="preserve">To deploy an instance of a service, in the </w:t>
      </w:r>
      <w:r>
        <w:t>VCF Automation Provider Management Portal</w:t>
      </w:r>
      <w:r>
        <w:t xml:space="preserve">, first you must upload its </w:t>
      </w:r>
      <w:r>
        <w:rPr>
          <w:rStyle w:val="InlineCode"/>
        </w:rPr>
        <w:t>.tar.gz</w:t>
      </w:r>
      <w:r>
        <w:t xml:space="preserve"> or </w:t>
      </w:r>
      <w:r>
        <w:rPr>
          <w:rStyle w:val="InlineCode"/>
        </w:rPr>
        <w:t>.tgz</w:t>
      </w:r>
      <w:r>
        <w:t xml:space="preserve"> file.</w:t>
      </w:r>
    </w:p>
    <w:p>
      <w:pPr>
        <w:pStyle w:val="BodyText"/>
      </w:pPr>
      <w:r>
        <w:t>You can upload more than one version of a service. If a service has more than one versions uploaded, you must navigate to the details page of the service and click the vertical ellipsis (</w:t>
      </w:r>
    </w:p>
    <w:p>
      <w:pPr>
        <w:pStyle w:val="BodyText"/>
      </w:pPr>
      <w:r>
        <w:t>) to select actions for the specific version instance.</w:t>
      </w:r>
    </w:p>
    <w:p>
      <w:pPr>
        <w:pStyle w:val="BodyText"/>
      </w:pPr>
      <w:r>
        <w:t xml:space="preserve">If a service </w:t>
      </w:r>
      <w:r>
        <w:rPr>
          <w:rStyle w:val="InlineCode"/>
        </w:rPr>
        <w:t>.tar.gz</w:t>
      </w:r>
      <w:r>
        <w:t xml:space="preserve"> or </w:t>
      </w:r>
      <w:r>
        <w:rPr>
          <w:rStyle w:val="InlineCode"/>
        </w:rPr>
        <w:t>.tgz</w:t>
      </w:r>
      <w:r>
        <w:t xml:space="preserve"> file is missing from the </w:t>
      </w:r>
      <w:r>
        <w:rPr>
          <w:rStyle w:val="InlineUI"/>
        </w:rPr>
        <w:t>Services</w:t>
      </w:r>
      <w:r>
        <w:t xml:space="preserve"> page, this prevents you from running day-2 operations on the service instances. To secure proper functioning of the service instances that are already deployed, upload again the missing </w:t>
      </w:r>
      <w:r>
        <w:rPr>
          <w:rStyle w:val="InlineCode"/>
        </w:rPr>
        <w:t>.tar.gz</w:t>
      </w:r>
      <w:r>
        <w:t xml:space="preserve"> or </w:t>
      </w:r>
      <w:r>
        <w:rPr>
          <w:rStyle w:val="InlineCode"/>
        </w:rPr>
        <w:t>.tgz</w:t>
      </w:r>
      <w:r>
        <w:t xml:space="preserve"> files by using the </w:t>
      </w:r>
      <w:r>
        <w:t>VCF Automation Provider Management Portal</w:t>
      </w:r>
      <w:r>
        <w:t>.</w:t>
      </w:r>
    </w:p>
    <w:p>
      <w:pPr>
        <w:pStyle w:val="BodyText"/>
      </w:pPr>
      <w:r>
        <w:rPr>
          <w:rStyle w:val="Strong"/>
        </w:rPr>
        <w:t>Procedure</w:t>
      </w:r>
    </w:p>
    <w:p>
      <w:pPr>
        <w:pStyle w:val="BodyText"/>
        <w:numPr>
          <w:numId w:val="161"/>
        </w:numPr>
      </w:pPr>
      <w:r>
        <w:t xml:space="preserve">Log in to the </w:t>
      </w:r>
      <w:r>
        <w:t>.</w:t>
      </w:r>
    </w:p>
    <w:p>
      <w:pPr>
        <w:pStyle w:val="BodyText"/>
        <w:numPr>
          <w:numId w:val="161"/>
        </w:numPr>
      </w:pPr>
      <w:r>
        <w:t xml:space="preserve">From the left navigation panel, under </w:t>
      </w:r>
      <w:r>
        <w:rPr>
          <w:rStyle w:val="InlineUI"/>
        </w:rPr>
        <w:t>Services</w:t>
      </w:r>
      <w:r>
        <w:t xml:space="preserve">, select </w:t>
      </w:r>
      <w:r>
        <w:rPr>
          <w:rStyle w:val="InlineUI"/>
        </w:rPr>
        <w:t>Overview</w:t>
      </w:r>
      <w:r>
        <w:t>.</w:t>
      </w:r>
    </w:p>
    <w:p>
      <w:pPr>
        <w:pStyle w:val="BodyText"/>
        <w:numPr>
          <w:numId w:val="161"/>
        </w:numPr>
      </w:pPr>
      <w:r>
        <w:t xml:space="preserve">Click </w:t>
      </w:r>
      <w:r>
        <w:rPr>
          <w:rStyle w:val="InlineUI"/>
        </w:rPr>
        <w:t>Upload</w:t>
      </w:r>
      <w:r>
        <w:t>.</w:t>
      </w:r>
    </w:p>
    <w:p>
      <w:pPr>
        <w:pStyle w:val="BodyText"/>
        <w:numPr>
          <w:numId w:val="161"/>
        </w:numPr>
      </w:pPr>
      <w:r>
        <w:t xml:space="preserve">Browse to the service </w:t>
      </w:r>
      <w:r>
        <w:rPr>
          <w:rStyle w:val="InlineCode"/>
        </w:rPr>
        <w:t>.tar.gz</w:t>
      </w:r>
      <w:r>
        <w:t xml:space="preserve"> or </w:t>
      </w:r>
      <w:r>
        <w:rPr>
          <w:rStyle w:val="InlineCode"/>
        </w:rPr>
        <w:t>.tgz</w:t>
      </w:r>
      <w:r>
        <w:t xml:space="preserve"> file, and click </w:t>
      </w:r>
      <w:r>
        <w:rPr>
          <w:rStyle w:val="InlineUI"/>
        </w:rPr>
        <w:t>Open</w:t>
      </w:r>
      <w:r>
        <w:t>.</w:t>
      </w:r>
    </w:p>
    <w:p>
      <w:pPr>
        <w:pStyle w:val="BodyText"/>
        <w:numPr>
          <w:numId w:val="161"/>
        </w:numPr>
      </w:pPr>
      <w:r>
        <w:t xml:space="preserve">Click </w:t>
      </w:r>
      <w:r>
        <w:rPr>
          <w:rStyle w:val="InlineUI"/>
        </w:rPr>
        <w:t>Upload</w:t>
      </w:r>
      <w:r>
        <w:t>.</w:t>
      </w:r>
    </w:p>
    <w:p>
      <w:pPr>
        <w:pStyle w:val="BodyText"/>
        <w:numPr>
          <w:numId w:val="161"/>
        </w:numPr>
      </w:pPr>
      <w:r>
        <w:t xml:space="preserve">When the file uploads, click </w:t>
      </w:r>
      <w:r>
        <w:rPr>
          <w:rStyle w:val="InlineUI"/>
        </w:rPr>
        <w:t>Finish</w:t>
      </w:r>
      <w:r>
        <w:t>.</w:t>
      </w:r>
    </w:p>
    <w:p>
      <w:pPr>
        <w:pStyle w:val="BodyText"/>
      </w:pPr>
      <w:r>
        <w:rPr>
          <w:rStyle w:val="Strong"/>
        </w:rPr>
        <w:t>What to do next</w:t>
      </w:r>
    </w:p>
    <w:p>
      <w:pPr>
        <w:pStyle w:val="BodyText"/>
        <w:numPr>
          <w:numId w:val="162"/>
        </w:numPr>
      </w:pPr>
      <w:r>
        <w:t xml:space="preserve">On the service </w:t>
      </w:r>
      <w:r>
        <w:rPr>
          <w:rStyle w:val="InlineUI"/>
        </w:rPr>
        <w:t>Details</w:t>
      </w:r>
      <w:r>
        <w:t xml:space="preserve"> page, you can click the arrows to the left of the service version to expand the information about the service, including general information and a list of the elements included in the service.</w:t>
      </w:r>
    </w:p>
    <w:p>
      <w:pPr>
        <w:pStyle w:val="BodyText"/>
        <w:numPr>
          <w:numId w:val="162"/>
        </w:numPr>
      </w:pPr>
      <w:r>
        <w:t xml:space="preserve">If you want to delete the service, on the card of the service, click </w:t>
      </w:r>
      <w:r>
        <w:rPr>
          <w:rStyle w:val="InlineUI"/>
        </w:rPr>
        <w:t>Actions</w:t>
      </w:r>
      <w:r>
        <w:t xml:space="preserve">, and select </w:t>
      </w:r>
      <w:r>
        <w:rPr>
          <w:rStyle w:val="InlineUI"/>
        </w:rPr>
        <w:t>Delete</w:t>
      </w:r>
      <w:r>
        <w:t>, or use the delete option on the details page of the service.</w:t>
      </w:r>
    </w:p>
    <w:p>
      <w:pPr>
        <w:pStyle w:val="Heading2"/>
      </w:pPr>
      <w:bookmarkStart w:id="204" w:name="_Toc256000583"/>
      <w:r>
        <w:t>Install an Instance of a Service to Your VCF Automation</w:t>
      </w:r>
      <w:bookmarkEnd w:id="204"/>
    </w:p>
    <w:p>
      <w:pPr>
        <w:pStyle w:val="BodyText"/>
      </w:pPr>
      <w:r>
        <w:t xml:space="preserve">In the </w:t>
      </w:r>
      <w:r>
        <w:t>VCF Automation Provider Management Portal</w:t>
      </w:r>
      <w:r>
        <w:t>, you can install an instance of a service with customized input parameters.</w:t>
      </w:r>
    </w:p>
    <w:p>
      <w:pPr>
        <w:pStyle w:val="BodyText"/>
      </w:pPr>
      <w:r>
        <w:rPr>
          <w:rStyle w:val="Strong"/>
        </w:rPr>
        <w:t>Prerequisites</w:t>
      </w:r>
    </w:p>
    <w:p>
      <w:pPr>
        <w:pStyle w:val="BodyText"/>
      </w:pPr>
      <w:r>
        <w:t>Verify that you uploaded the service that you want to install.</w:t>
      </w:r>
    </w:p>
    <w:p>
      <w:pPr>
        <w:pStyle w:val="BodyText"/>
      </w:pPr>
      <w:r>
        <w:rPr>
          <w:rStyle w:val="Strong"/>
        </w:rPr>
        <w:t>Procedure</w:t>
      </w:r>
    </w:p>
    <w:p>
      <w:pPr>
        <w:pStyle w:val="BodyText"/>
        <w:numPr>
          <w:numId w:val="163"/>
        </w:numPr>
      </w:pPr>
      <w:r>
        <w:t xml:space="preserve">Log in to the </w:t>
      </w:r>
      <w:r>
        <w:t>.</w:t>
      </w:r>
    </w:p>
    <w:p>
      <w:pPr>
        <w:pStyle w:val="BodyText"/>
        <w:numPr>
          <w:numId w:val="163"/>
        </w:numPr>
      </w:pPr>
      <w:r>
        <w:t xml:space="preserve">From the left navigation panel, under </w:t>
      </w:r>
      <w:r>
        <w:rPr>
          <w:rStyle w:val="InlineUI"/>
        </w:rPr>
        <w:t>Services</w:t>
      </w:r>
      <w:r>
        <w:t xml:space="preserve">, select </w:t>
      </w:r>
      <w:r>
        <w:rPr>
          <w:rStyle w:val="InlineUI"/>
        </w:rPr>
        <w:t>Overview</w:t>
      </w:r>
      <w:r>
        <w:t>.</w:t>
      </w:r>
    </w:p>
    <w:p>
      <w:pPr>
        <w:pStyle w:val="BodyText"/>
        <w:numPr>
          <w:numId w:val="163"/>
        </w:numPr>
      </w:pPr>
      <w:r>
        <w:t xml:space="preserve">On the card of the service, click </w:t>
      </w:r>
      <w:r>
        <w:rPr>
          <w:rStyle w:val="InlineUI"/>
        </w:rPr>
        <w:t>Actions</w:t>
      </w:r>
      <w:r>
        <w:t xml:space="preserve">, and select </w:t>
      </w:r>
      <w:r>
        <w:rPr>
          <w:rStyle w:val="InlineUI"/>
        </w:rPr>
        <w:t>Install</w:t>
      </w:r>
      <w:r>
        <w:t>.</w:t>
      </w:r>
    </w:p>
    <w:p>
      <w:pPr>
        <w:pStyle w:val="BodyText"/>
        <w:numPr>
          <w:numId w:val="163"/>
        </w:numPr>
      </w:pPr>
      <w:r>
        <w:t xml:space="preserve">On the </w:t>
      </w:r>
      <w:r>
        <w:rPr>
          <w:rStyle w:val="InlineUI"/>
        </w:rPr>
        <w:t>End User License Agreement</w:t>
      </w:r>
      <w:r>
        <w:t xml:space="preserve"> dialog box, read the license agreements associated with the service and click </w:t>
      </w:r>
      <w:r>
        <w:rPr>
          <w:rStyle w:val="InlineUI"/>
        </w:rPr>
        <w:t>Agree and Continue</w:t>
      </w:r>
      <w:r>
        <w:t>.</w:t>
      </w:r>
    </w:p>
    <w:p>
      <w:pPr>
        <w:pStyle w:val="BodyText"/>
        <w:numPr>
          <w:numId w:val="163"/>
        </w:numPr>
      </w:pPr>
      <w:r>
        <w:t xml:space="preserve">If you are installing a VCF service containing a </w:t>
      </w:r>
      <w:r>
        <w:t>Supervisor</w:t>
      </w:r>
      <w:r>
        <w:t xml:space="preserve"> service, select to which regions to deploy the service.</w:t>
      </w:r>
    </w:p>
    <w:p>
      <w:pPr>
        <w:pStyle w:val="BodyText"/>
        <w:ind w:left="480"/>
      </w:pPr>
      <w:r>
        <w:t xml:space="preserve">VCF services might contain a </w:t>
      </w:r>
      <w:r>
        <w:t>Supervisor</w:t>
      </w:r>
      <w:r>
        <w:t xml:space="preserve"> service which will be installed in the selected region or regions and will be available to all organizations who have access to those regions even if you do not publish the service to organizations.</w:t>
      </w:r>
    </w:p>
    <w:p>
      <w:pPr>
        <w:pStyle w:val="BodyText"/>
        <w:numPr>
          <w:ilvl w:val="1"/>
          <w:numId w:val="163"/>
        </w:numPr>
      </w:pPr>
      <w:r>
        <w:t xml:space="preserve">Select to deploy the service to all regions or to specific regions, and click </w:t>
      </w:r>
      <w:r>
        <w:rPr>
          <w:rStyle w:val="InlineUI"/>
        </w:rPr>
        <w:t>Next</w:t>
      </w:r>
      <w:r>
        <w:t>.</w:t>
      </w:r>
    </w:p>
    <w:p>
      <w:pPr>
        <w:pStyle w:val="BodyText"/>
        <w:numPr>
          <w:ilvl w:val="1"/>
          <w:numId w:val="163"/>
        </w:numPr>
      </w:pPr>
      <w:r>
        <w:t xml:space="preserve">If you want to deploy the service to specific regions, select one or more regions and click </w:t>
      </w:r>
      <w:r>
        <w:rPr>
          <w:rStyle w:val="InlineUI"/>
        </w:rPr>
        <w:t>Next</w:t>
      </w:r>
      <w:r>
        <w:t>.</w:t>
      </w:r>
    </w:p>
    <w:p>
      <w:pPr>
        <w:pStyle w:val="BodyText"/>
        <w:ind w:left="960"/>
      </w:pPr>
      <w:r>
        <w:t xml:space="preserve">The </w:t>
      </w:r>
      <w:r>
        <w:t>Supervisor</w:t>
      </w:r>
      <w:r>
        <w:t xml:space="preserve"> service will be installed on all </w:t>
      </w:r>
      <w:r>
        <w:t>Supervisor</w:t>
      </w:r>
      <w:r>
        <w:t>s in the selected regions.</w:t>
      </w:r>
    </w:p>
    <w:p>
      <w:pPr>
        <w:pStyle w:val="BodyText"/>
        <w:numPr>
          <w:numId w:val="163"/>
        </w:numPr>
      </w:pPr>
      <w:r>
        <w:t xml:space="preserve">(Optional) If you are installing a VCF service containing a </w:t>
      </w:r>
      <w:r>
        <w:t>Supervisor</w:t>
      </w:r>
      <w:r>
        <w:t xml:space="preserve"> service, configure the input parameters, and click </w:t>
      </w:r>
      <w:r>
        <w:rPr>
          <w:rStyle w:val="InlineUI"/>
        </w:rPr>
        <w:t>Submit</w:t>
      </w:r>
      <w:r>
        <w:t>.</w:t>
      </w:r>
    </w:p>
    <w:p>
      <w:pPr>
        <w:pStyle w:val="BodyText"/>
      </w:pPr>
      <w:r>
        <w:rPr>
          <w:rStyle w:val="Strong"/>
        </w:rPr>
        <w:t>What to do next</w:t>
      </w:r>
    </w:p>
    <w:p>
      <w:pPr>
        <w:pStyle w:val="BodyText"/>
        <w:numPr>
          <w:numId w:val="164"/>
        </w:numPr>
      </w:pPr>
      <w:r>
        <w:t xml:space="preserve">On the service </w:t>
      </w:r>
      <w:r>
        <w:rPr>
          <w:rStyle w:val="InlineUI"/>
        </w:rPr>
        <w:t>Details</w:t>
      </w:r>
      <w:r>
        <w:t xml:space="preserve"> page, you can click the arrows to the left of the service version to expand the information about the service, including </w:t>
      </w:r>
      <w:r>
        <w:t>Supervisor</w:t>
      </w:r>
      <w:r>
        <w:t xml:space="preserve"> services information with a list of </w:t>
      </w:r>
      <w:r>
        <w:t>Supervisor</w:t>
      </w:r>
      <w:r>
        <w:t>s, where the service is installed, the region the service belongs to, status, and any errors if an element fails.</w:t>
      </w:r>
    </w:p>
    <w:p>
      <w:pPr>
        <w:pStyle w:val="BodyText"/>
        <w:numPr>
          <w:numId w:val="164"/>
        </w:numPr>
      </w:pPr>
      <w:r>
        <w:t xml:space="preserve">If you want to edit a VCF service containing a </w:t>
      </w:r>
      <w:r>
        <w:t>Supervisor</w:t>
      </w:r>
      <w:r>
        <w:t xml:space="preserve"> service, on the card of the service, click </w:t>
      </w:r>
      <w:r>
        <w:rPr>
          <w:rStyle w:val="InlineUI"/>
        </w:rPr>
        <w:t>Actions</w:t>
      </w:r>
      <w:r>
        <w:t xml:space="preserve">, and select </w:t>
      </w:r>
      <w:r>
        <w:rPr>
          <w:rStyle w:val="InlineUI"/>
        </w:rPr>
        <w:t>Edit</w:t>
      </w:r>
      <w:r>
        <w:t>. You can edit the initially configured regions and customized input parameters.</w:t>
      </w:r>
    </w:p>
    <w:p>
      <w:pPr>
        <w:pStyle w:val="BodyText"/>
        <w:numPr>
          <w:numId w:val="164"/>
        </w:numPr>
      </w:pPr>
      <w:r>
        <w:t xml:space="preserve">If you want to delete the service, on the card of the service, click </w:t>
      </w:r>
      <w:r>
        <w:rPr>
          <w:rStyle w:val="InlineUI"/>
        </w:rPr>
        <w:t>Actions</w:t>
      </w:r>
      <w:r>
        <w:t xml:space="preserve">, and select </w:t>
      </w:r>
      <w:r>
        <w:rPr>
          <w:rStyle w:val="InlineUI"/>
        </w:rPr>
        <w:t>Delete</w:t>
      </w:r>
      <w:r>
        <w:t>.</w:t>
      </w:r>
    </w:p>
    <w:p>
      <w:pPr>
        <w:pStyle w:val="Heading2"/>
      </w:pPr>
      <w:bookmarkStart w:id="205" w:name="_Toc256000584"/>
      <w:r>
        <w:t>Upgrade a Service Instance in VCF Automation</w:t>
      </w:r>
      <w:bookmarkEnd w:id="205"/>
    </w:p>
    <w:p>
      <w:pPr>
        <w:pStyle w:val="BodyText"/>
      </w:pPr>
      <w:r>
        <w:t>When a new version of a service in your environment becomes available, you can upgrade your existing service instances.</w:t>
      </w:r>
    </w:p>
    <w:p>
      <w:pPr>
        <w:pStyle w:val="BodyText"/>
      </w:pPr>
      <w:r>
        <w:rPr>
          <w:rStyle w:val="Strong"/>
        </w:rPr>
        <w:t>Prerequisites</w:t>
      </w:r>
    </w:p>
    <w:p>
      <w:pPr>
        <w:pStyle w:val="BodyText"/>
        <w:numPr>
          <w:numId w:val="165"/>
        </w:numPr>
      </w:pPr>
      <w:r>
        <w:t>Verify that an upgrade is supported for the current version of your service instance.</w:t>
      </w:r>
    </w:p>
    <w:p>
      <w:pPr>
        <w:pStyle w:val="BodyText"/>
        <w:numPr>
          <w:numId w:val="165"/>
        </w:numPr>
      </w:pPr>
      <w:r>
        <w:t xml:space="preserve">Upload the </w:t>
      </w:r>
      <w:r>
        <w:rPr>
          <w:rStyle w:val="InlineCode"/>
        </w:rPr>
        <w:t>.tar.gz</w:t>
      </w:r>
      <w:r>
        <w:t xml:space="preserve"> or </w:t>
      </w:r>
      <w:r>
        <w:rPr>
          <w:rStyle w:val="InlineCode"/>
        </w:rPr>
        <w:t>.tgz</w:t>
      </w:r>
      <w:r>
        <w:t xml:space="preserve"> file for the new service version.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Bbd80b42789fc4a79a887aea3dafbe1ac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Upload a Service to Your VCF Automation</w:t>
      </w:r>
      <w:r>
        <w:fldChar w:fldCharType="end"/>
      </w:r>
      <w:r>
        <w:t>.</w:t>
      </w:r>
    </w:p>
    <w:p>
      <w:pPr>
        <w:pStyle w:val="BodyText"/>
        <w:numPr>
          <w:numId w:val="165"/>
        </w:numPr>
      </w:pPr>
      <w:r>
        <w:t xml:space="preserve">Verify that the service instance that you want to upgrade is </w:t>
      </w:r>
      <w:r>
        <w:rPr>
          <w:rStyle w:val="InlineCode"/>
        </w:rPr>
        <w:t>Healthy</w:t>
      </w:r>
      <w:r>
        <w:t>.</w:t>
      </w:r>
    </w:p>
    <w:p>
      <w:pPr>
        <w:pStyle w:val="BodyText"/>
      </w:pPr>
      <w:r>
        <w:rPr>
          <w:rStyle w:val="Strong"/>
        </w:rPr>
        <w:t>Procedure</w:t>
      </w:r>
    </w:p>
    <w:p>
      <w:pPr>
        <w:pStyle w:val="BodyText"/>
        <w:numPr>
          <w:numId w:val="166"/>
        </w:numPr>
      </w:pPr>
      <w:r>
        <w:t xml:space="preserve">Log in to the </w:t>
      </w:r>
      <w:r>
        <w:t>.</w:t>
      </w:r>
    </w:p>
    <w:p>
      <w:pPr>
        <w:pStyle w:val="BodyText"/>
        <w:numPr>
          <w:numId w:val="166"/>
        </w:numPr>
      </w:pPr>
      <w:r>
        <w:t xml:space="preserve">From the left navigation panel, under </w:t>
      </w:r>
      <w:r>
        <w:rPr>
          <w:rStyle w:val="InlineUI"/>
        </w:rPr>
        <w:t>Services</w:t>
      </w:r>
      <w:r>
        <w:t xml:space="preserve">, select </w:t>
      </w:r>
      <w:r>
        <w:rPr>
          <w:rStyle w:val="InlineUI"/>
        </w:rPr>
        <w:t>Overview</w:t>
      </w:r>
      <w:r>
        <w:t>.</w:t>
      </w:r>
    </w:p>
    <w:p>
      <w:pPr>
        <w:pStyle w:val="BodyText"/>
        <w:numPr>
          <w:numId w:val="166"/>
        </w:numPr>
      </w:pPr>
      <w:r>
        <w:t xml:space="preserve">On the card of the service, click </w:t>
      </w:r>
      <w:r>
        <w:rPr>
          <w:rStyle w:val="InlineUI"/>
        </w:rPr>
        <w:t>Details</w:t>
      </w:r>
      <w:r>
        <w:t>.</w:t>
      </w:r>
    </w:p>
    <w:p>
      <w:pPr>
        <w:pStyle w:val="BodyText"/>
        <w:numPr>
          <w:numId w:val="166"/>
        </w:numPr>
      </w:pPr>
      <w:r>
        <w:t>On the left of the name of the service instance you want to upgrade, click the vertical ellipsis (</w:t>
      </w:r>
      <w:r>
        <w:t xml:space="preserve">) and select </w:t>
      </w:r>
      <w:r>
        <w:rPr>
          <w:rStyle w:val="InlineUI"/>
        </w:rPr>
        <w:t>Upgrade</w:t>
      </w:r>
      <w:r>
        <w:t>.</w:t>
      </w:r>
    </w:p>
    <w:p>
      <w:pPr>
        <w:pStyle w:val="BodyText"/>
        <w:numPr>
          <w:numId w:val="166"/>
        </w:numPr>
      </w:pPr>
      <w:r>
        <w:t>Select the version to which to upgrade.</w:t>
      </w:r>
    </w:p>
    <w:p>
      <w:pPr>
        <w:pStyle w:val="BodyText"/>
        <w:numPr>
          <w:numId w:val="166"/>
        </w:numPr>
      </w:pPr>
      <w:r>
        <w:t xml:space="preserve">Review the EULA, and click </w:t>
      </w:r>
      <w:r>
        <w:rPr>
          <w:rStyle w:val="InlineUI"/>
        </w:rPr>
        <w:t>Agree and Continue</w:t>
      </w:r>
      <w:r>
        <w:t>.</w:t>
      </w:r>
    </w:p>
    <w:p>
      <w:pPr>
        <w:pStyle w:val="BodyText"/>
        <w:numPr>
          <w:numId w:val="166"/>
        </w:numPr>
      </w:pPr>
      <w:r>
        <w:t xml:space="preserve">If you are installing a VCF service containing a </w:t>
      </w:r>
      <w:r>
        <w:t>Supervisor</w:t>
      </w:r>
      <w:r>
        <w:t xml:space="preserve"> service, select to which regions to deploy the service.</w:t>
      </w:r>
    </w:p>
    <w:p>
      <w:pPr>
        <w:pStyle w:val="BodyText"/>
        <w:numPr>
          <w:ilvl w:val="1"/>
          <w:numId w:val="166"/>
        </w:numPr>
      </w:pPr>
      <w:r>
        <w:t xml:space="preserve">Select to deploy the service to all regions or to specific regions, and click </w:t>
      </w:r>
      <w:r>
        <w:rPr>
          <w:rStyle w:val="InlineUI"/>
        </w:rPr>
        <w:t>Next</w:t>
      </w:r>
      <w:r>
        <w:t>.</w:t>
      </w:r>
    </w:p>
    <w:p>
      <w:pPr>
        <w:pStyle w:val="BodyText"/>
        <w:numPr>
          <w:ilvl w:val="1"/>
          <w:numId w:val="166"/>
        </w:numPr>
      </w:pPr>
      <w:r>
        <w:t xml:space="preserve">If you want to deploy the service to specific regions, select one or more regions and click </w:t>
      </w:r>
      <w:r>
        <w:rPr>
          <w:rStyle w:val="InlineUI"/>
        </w:rPr>
        <w:t>Next</w:t>
      </w:r>
      <w:r>
        <w:t>.</w:t>
      </w:r>
    </w:p>
    <w:p>
      <w:pPr>
        <w:pStyle w:val="BodyText"/>
        <w:numPr>
          <w:numId w:val="166"/>
        </w:numPr>
      </w:pPr>
      <w:r>
        <w:t>If there are any changes to the input parameters for the service instance, enter the new values.</w:t>
      </w:r>
    </w:p>
    <w:p>
      <w:pPr>
        <w:pStyle w:val="BodyText"/>
        <w:numPr>
          <w:numId w:val="166"/>
        </w:numPr>
      </w:pPr>
      <w:r>
        <w:t xml:space="preserve">Click </w:t>
      </w:r>
      <w:r>
        <w:rPr>
          <w:rStyle w:val="InlineUI"/>
        </w:rPr>
        <w:t>Submit</w:t>
      </w:r>
      <w:r>
        <w:t>.</w:t>
      </w:r>
    </w:p>
    <w:p>
      <w:pPr>
        <w:pStyle w:val="BodyText"/>
      </w:pPr>
      <w:r>
        <w:rPr>
          <w:rStyle w:val="Strong"/>
        </w:rPr>
        <w:t>What to do next</w:t>
      </w:r>
    </w:p>
    <w:p>
      <w:pPr>
        <w:pStyle w:val="BodyText"/>
      </w:pPr>
      <w:r>
        <w:t xml:space="preserve">If the upgrade fails, </w:t>
      </w:r>
      <w:r>
        <w:t>VCF Automation</w:t>
      </w:r>
      <w:r>
        <w:t xml:space="preserve"> periodically attempts to get the service with the new version to a working state. If the service does not reach a </w:t>
      </w:r>
      <w:r>
        <w:rPr>
          <w:rStyle w:val="InlineCode"/>
        </w:rPr>
        <w:t>Healthy</w:t>
      </w:r>
      <w:r>
        <w:t xml:space="preserve"> state, you can roll back the upgrade.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B84addb9586ac481f9447ed192ccbaef5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Roll Back a Failed Upgrade of a Service Instance in VCF Automation</w:t>
      </w:r>
      <w:r>
        <w:fldChar w:fldCharType="end"/>
      </w:r>
      <w:r>
        <w:t>.</w:t>
      </w:r>
    </w:p>
    <w:p>
      <w:pPr>
        <w:pStyle w:val="Heading3"/>
      </w:pPr>
      <w:bookmarkStart w:id="206" w:name="B84addb9586ac481f9447ed192ccbaef5"/>
      <w:bookmarkStart w:id="207" w:name="_Toc256000585"/>
      <w:r>
        <w:t>Roll Back a Failed Upgrade of a Service Instance in VCF Automation</w:t>
      </w:r>
      <w:bookmarkEnd w:id="207"/>
      <w:bookmarkEnd w:id="206"/>
    </w:p>
    <w:p>
      <w:pPr>
        <w:pStyle w:val="BodyText"/>
      </w:pPr>
      <w:r>
        <w:t xml:space="preserve">If an upgrade of a service instance fails </w:t>
      </w:r>
      <w:r>
        <w:t>VCF Automation</w:t>
      </w:r>
      <w:r>
        <w:t xml:space="preserve"> periodically attempts to get the service with the new version to a working state. If the service does not reach a </w:t>
      </w:r>
      <w:r>
        <w:rPr>
          <w:rStyle w:val="InlineCode"/>
        </w:rPr>
        <w:t>Healthy</w:t>
      </w:r>
      <w:r>
        <w:t xml:space="preserve"> state, you can use the </w:t>
      </w:r>
      <w:r>
        <w:t>VCF Automation Provider Management Portal</w:t>
      </w:r>
      <w:r>
        <w:t xml:space="preserve"> to roll back the upgrade.</w:t>
      </w:r>
    </w:p>
    <w:p>
      <w:pPr>
        <w:pStyle w:val="BodyText"/>
      </w:pPr>
      <w:r>
        <w:rPr>
          <w:rStyle w:val="Strong"/>
        </w:rPr>
        <w:t>Procedure</w:t>
      </w:r>
    </w:p>
    <w:p>
      <w:pPr>
        <w:pStyle w:val="BodyText"/>
        <w:numPr>
          <w:numId w:val="167"/>
        </w:numPr>
      </w:pPr>
      <w:r>
        <w:t xml:space="preserve">Log in to the </w:t>
      </w:r>
      <w:r>
        <w:t>.</w:t>
      </w:r>
    </w:p>
    <w:p>
      <w:pPr>
        <w:pStyle w:val="BodyText"/>
        <w:numPr>
          <w:numId w:val="167"/>
        </w:numPr>
      </w:pPr>
      <w:r>
        <w:t xml:space="preserve">From the left navigation panel, under </w:t>
      </w:r>
      <w:r>
        <w:rPr>
          <w:rStyle w:val="InlineUI"/>
        </w:rPr>
        <w:t>Services</w:t>
      </w:r>
      <w:r>
        <w:t xml:space="preserve">, select </w:t>
      </w:r>
      <w:r>
        <w:rPr>
          <w:rStyle w:val="InlineUI"/>
        </w:rPr>
        <w:t>Overview</w:t>
      </w:r>
      <w:r>
        <w:t>.</w:t>
      </w:r>
    </w:p>
    <w:p>
      <w:pPr>
        <w:pStyle w:val="BodyText"/>
        <w:numPr>
          <w:numId w:val="167"/>
        </w:numPr>
      </w:pPr>
      <w:r>
        <w:t xml:space="preserve">On the card of the service, click </w:t>
      </w:r>
      <w:r>
        <w:rPr>
          <w:rStyle w:val="InlineUI"/>
        </w:rPr>
        <w:t>Details</w:t>
      </w:r>
      <w:r>
        <w:t>.</w:t>
      </w:r>
    </w:p>
    <w:p>
      <w:pPr>
        <w:pStyle w:val="BodyText"/>
        <w:numPr>
          <w:numId w:val="167"/>
        </w:numPr>
      </w:pPr>
      <w:r>
        <w:t>On the left of the name of the service instance, click the vertical ellipsis (</w:t>
      </w:r>
      <w:r>
        <w:t xml:space="preserve">) and select </w:t>
      </w:r>
      <w:r>
        <w:rPr>
          <w:rStyle w:val="InlineUI"/>
        </w:rPr>
        <w:t>Rollback</w:t>
      </w:r>
      <w:r>
        <w:t>.</w:t>
      </w:r>
    </w:p>
    <w:p>
      <w:pPr>
        <w:pStyle w:val="BodyText"/>
        <w:ind w:left="480"/>
      </w:pPr>
      <w:r>
        <w:t>If the operation is successful, the instance is rolled back to its previous version.</w:t>
      </w:r>
    </w:p>
    <w:p>
      <w:pPr>
        <w:pStyle w:val="Heading2"/>
      </w:pPr>
      <w:bookmarkStart w:id="208" w:name="_Toc256000586"/>
      <w:r>
        <w:t>Publish a Service Instance To a VCF Automation Organization</w:t>
      </w:r>
      <w:bookmarkEnd w:id="208"/>
    </w:p>
    <w:p>
      <w:pPr>
        <w:pStyle w:val="BodyText"/>
      </w:pPr>
      <w:r>
        <w:t xml:space="preserve">As a </w:t>
      </w:r>
      <w:r>
        <w:t>VCF Automation</w:t>
      </w:r>
      <w:r>
        <w:rPr>
          <w:rStyle w:val="InlineUI"/>
        </w:rPr>
        <w:t>service provider</w:t>
      </w:r>
      <w:r>
        <w:t>, you can publish service instances to some or to all your organizations.</w:t>
      </w:r>
    </w:p>
    <w:p>
      <w:pPr>
        <w:pStyle w:val="BodyText"/>
      </w:pPr>
      <w:r>
        <w:rPr>
          <w:rStyle w:val="InlineUI"/>
        </w:rPr>
        <w:t>Vendors</w:t>
      </w:r>
      <w:r>
        <w:t xml:space="preserve"> can decide whether to include organizational access to some of the elements in a service, such as global roles, rights bundles, defined entity types, and UI plug-ins. If a </w:t>
      </w:r>
      <w:r>
        <w:rPr>
          <w:rStyle w:val="InlineUI"/>
        </w:rPr>
        <w:t>vendor</w:t>
      </w:r>
      <w:r>
        <w:t xml:space="preserve"> configured a service element to be shared with organizations, when a </w:t>
      </w:r>
      <w:r>
        <w:rPr>
          <w:rStyle w:val="InlineUI"/>
        </w:rPr>
        <w:t>service provider</w:t>
      </w:r>
      <w:r>
        <w:t xml:space="preserve"> publishes the service instance to an organization, these elements are also shared with the organization. For more details on configuring service elements and scope, see the VCF Automation Extension Developer Guide.</w:t>
      </w:r>
    </w:p>
    <w:p>
      <w:pPr>
        <w:pStyle w:val="BodyText"/>
      </w:pPr>
      <w:r>
        <w:rPr>
          <w:rStyle w:val="Strong"/>
        </w:rPr>
        <w:t>Procedure</w:t>
      </w:r>
    </w:p>
    <w:p>
      <w:pPr>
        <w:pStyle w:val="BodyText"/>
        <w:numPr>
          <w:numId w:val="168"/>
        </w:numPr>
      </w:pPr>
      <w:r>
        <w:t xml:space="preserve">Log in to the </w:t>
      </w:r>
      <w:r>
        <w:t>.</w:t>
      </w:r>
    </w:p>
    <w:p>
      <w:pPr>
        <w:pStyle w:val="BodyText"/>
        <w:numPr>
          <w:numId w:val="168"/>
        </w:numPr>
      </w:pPr>
      <w:r>
        <w:t xml:space="preserve">From the left navigation panel, under </w:t>
      </w:r>
      <w:r>
        <w:rPr>
          <w:rStyle w:val="InlineUI"/>
        </w:rPr>
        <w:t>Services</w:t>
      </w:r>
      <w:r>
        <w:t xml:space="preserve">, select </w:t>
      </w:r>
      <w:r>
        <w:rPr>
          <w:rStyle w:val="InlineUI"/>
        </w:rPr>
        <w:t>Overview</w:t>
      </w:r>
      <w:r>
        <w:t>.</w:t>
      </w:r>
    </w:p>
    <w:p>
      <w:pPr>
        <w:pStyle w:val="BodyText"/>
        <w:numPr>
          <w:numId w:val="168"/>
        </w:numPr>
      </w:pPr>
      <w:r>
        <w:t xml:space="preserve">On the card of the service, click </w:t>
      </w:r>
      <w:r>
        <w:rPr>
          <w:rStyle w:val="InlineUI"/>
        </w:rPr>
        <w:t>Actions</w:t>
      </w:r>
      <w:r>
        <w:t xml:space="preserve">, and select </w:t>
      </w:r>
      <w:r>
        <w:rPr>
          <w:rStyle w:val="InlineUI"/>
        </w:rPr>
        <w:t>Publish</w:t>
      </w:r>
      <w:r>
        <w:t>.</w:t>
      </w:r>
    </w:p>
    <w:p>
      <w:pPr>
        <w:pStyle w:val="BodyText"/>
        <w:numPr>
          <w:numId w:val="168"/>
        </w:numPr>
      </w:pPr>
      <w:r>
        <w:t xml:space="preserve">Select the organizations to which you want to publish the service, and click </w:t>
      </w:r>
      <w:r>
        <w:rPr>
          <w:rStyle w:val="InlineUI"/>
        </w:rPr>
        <w:t>Publish</w:t>
      </w:r>
      <w:r>
        <w:t>.</w:t>
      </w:r>
    </w:p>
    <w:p>
      <w:pPr>
        <w:pStyle w:val="BodyText"/>
        <w:ind w:left="480"/>
      </w:pPr>
      <w:r>
        <w:t>You can select to publish to all organizations or to selected organizations.</w:t>
      </w:r>
    </w:p>
    <w:p>
      <w:pPr>
        <w:pStyle w:val="BodyText"/>
      </w:pPr>
      <w:r>
        <w:rPr>
          <w:rStyle w:val="Strong"/>
        </w:rPr>
        <w:t>Results</w:t>
      </w:r>
    </w:p>
    <w:p>
      <w:pPr>
        <w:pStyle w:val="BodyText"/>
      </w:pPr>
      <w:r>
        <w:t>If the service instance has elements that support scoping, those elements become visible to the organizations to which you published it. The Supervisor services get published to the regions selected during the installation of the service and are visible to all organizations that have access to those regions.</w:t>
      </w:r>
    </w:p>
    <w:p>
      <w:pPr>
        <w:pStyle w:val="BodyText"/>
      </w:pPr>
      <w:r>
        <w:rPr>
          <w:rStyle w:val="Strong"/>
        </w:rPr>
        <w:t>What to do next</w:t>
      </w:r>
    </w:p>
    <w:p>
      <w:pPr>
        <w:pStyle w:val="BodyText"/>
      </w:pPr>
      <w:r>
        <w:t>If necessary, you can unpublish the service to some or to all of the organizations to which you published it.</w:t>
      </w:r>
    </w:p>
    <w:p>
      <w:pPr>
        <w:pStyle w:val="Heading2"/>
      </w:pPr>
      <w:bookmarkStart w:id="209" w:name="_Toc256000587"/>
      <w:r>
        <w:t>Unpublish a Service Instance from a VCF Automation Organization</w:t>
      </w:r>
      <w:bookmarkEnd w:id="209"/>
    </w:p>
    <w:p>
      <w:pPr>
        <w:pStyle w:val="BodyText"/>
      </w:pPr>
      <w:r>
        <w:t xml:space="preserve">If you want to restrict organizational access to a service instance that you published, you can use the </w:t>
      </w:r>
      <w:r>
        <w:t>VCF Automation Provider Management Portal</w:t>
      </w:r>
      <w:r>
        <w:t xml:space="preserve"> to unpublish it.</w:t>
      </w:r>
    </w:p>
    <w:p>
      <w:pPr>
        <w:pStyle w:val="BodyText"/>
      </w:pPr>
      <w:r>
        <w:rPr>
          <w:rStyle w:val="Strong"/>
        </w:rPr>
        <w:t>Procedure</w:t>
      </w:r>
    </w:p>
    <w:p>
      <w:pPr>
        <w:pStyle w:val="BodyText"/>
        <w:numPr>
          <w:numId w:val="169"/>
        </w:numPr>
      </w:pPr>
      <w:r>
        <w:t xml:space="preserve">Log in to the </w:t>
      </w:r>
      <w:r>
        <w:t>.</w:t>
      </w:r>
    </w:p>
    <w:p>
      <w:pPr>
        <w:pStyle w:val="BodyText"/>
        <w:numPr>
          <w:numId w:val="169"/>
        </w:numPr>
      </w:pPr>
      <w:r>
        <w:t xml:space="preserve">From the left navigation panel, under </w:t>
      </w:r>
      <w:r>
        <w:rPr>
          <w:rStyle w:val="InlineUI"/>
        </w:rPr>
        <w:t>Services</w:t>
      </w:r>
      <w:r>
        <w:t xml:space="preserve">, select </w:t>
      </w:r>
      <w:r>
        <w:rPr>
          <w:rStyle w:val="InlineUI"/>
        </w:rPr>
        <w:t>Overview</w:t>
      </w:r>
      <w:r>
        <w:t>.</w:t>
      </w:r>
    </w:p>
    <w:p>
      <w:pPr>
        <w:pStyle w:val="BodyText"/>
        <w:numPr>
          <w:numId w:val="169"/>
        </w:numPr>
      </w:pPr>
      <w:r>
        <w:t xml:space="preserve">On the card of the service, click </w:t>
      </w:r>
      <w:r>
        <w:rPr>
          <w:rStyle w:val="InlineUI"/>
        </w:rPr>
        <w:t>Actions</w:t>
      </w:r>
      <w:r>
        <w:t xml:space="preserve">, and select </w:t>
      </w:r>
      <w:r>
        <w:rPr>
          <w:rStyle w:val="InlineUI"/>
        </w:rPr>
        <w:t>Unpublish</w:t>
      </w:r>
      <w:r>
        <w:t>.</w:t>
      </w:r>
    </w:p>
    <w:p>
      <w:pPr>
        <w:pStyle w:val="BodyText"/>
        <w:numPr>
          <w:numId w:val="169"/>
        </w:numPr>
      </w:pPr>
      <w:r>
        <w:t xml:space="preserve">Select the organizations from which you want to unpublish the service, and click </w:t>
      </w:r>
      <w:r>
        <w:rPr>
          <w:rStyle w:val="InlineUI"/>
        </w:rPr>
        <w:t>Unpublish</w:t>
      </w:r>
      <w:r>
        <w:t>.</w:t>
      </w:r>
    </w:p>
    <w:p>
      <w:pPr>
        <w:pStyle w:val="BodyText"/>
        <w:ind w:left="480"/>
      </w:pPr>
      <w:r>
        <w:t>You can select to unpublish from all organizations or from selected organizations.</w:t>
      </w:r>
    </w:p>
    <w:p>
      <w:pPr>
        <w:pStyle w:val="BodyText"/>
      </w:pPr>
      <w:r>
        <w:rPr>
          <w:rStyle w:val="Strong"/>
        </w:rPr>
        <w:t>Results</w:t>
      </w:r>
    </w:p>
    <w:p>
      <w:pPr>
        <w:pStyle w:val="BodyText"/>
      </w:pPr>
      <w:r>
        <w:t>The service instance becomes inaccessible to the organizations from which you unpublished it.</w:t>
      </w:r>
    </w:p>
    <w:p>
      <w:pPr>
        <w:pStyle w:val="Heading1"/>
      </w:pPr>
      <w:bookmarkStart w:id="210" w:name="_Toc256000588"/>
      <w:r>
        <w:t>Managing Defined Entities in VCF Automation</w:t>
      </w:r>
      <w:bookmarkEnd w:id="210"/>
    </w:p>
    <w:p>
      <w:pPr>
        <w:pStyle w:val="BodyText"/>
      </w:pPr>
      <w:r>
        <w:t xml:space="preserve">To create extensions that provide additional </w:t>
      </w:r>
      <w:r>
        <w:t>VCF Automation</w:t>
      </w:r>
      <w:r>
        <w:t xml:space="preserve"> capabilities to the organizations, provider administrators can use the </w:t>
      </w:r>
      <w:r>
        <w:t>VCF Automation</w:t>
      </w:r>
      <w:r>
        <w:t xml:space="preserve"> API.</w:t>
      </w:r>
    </w:p>
    <w:p>
      <w:pPr>
        <w:pStyle w:val="BodyText"/>
      </w:pPr>
      <w:r>
        <w:t xml:space="preserve">Defined entities represent external resources that </w:t>
      </w:r>
      <w:r>
        <w:t>VCF Automation</w:t>
      </w:r>
      <w:r>
        <w:t xml:space="preserve"> can manage. Extension and UI plug-in developers can create runtime defined entities, enabling extensions and UI plug-ins to store and manipulate the extension-specific information in </w:t>
      </w:r>
      <w:r>
        <w:t>VCF Automation</w:t>
      </w:r>
      <w:r>
        <w:t>. If you create an extension and it needs to store a state or references to external resources, the extension can use runtime defined entities instead of a local database. For example, a Kubernetes extension can store information about the Kubernetes clusters it manages in runtime defined entities. The extension can then provide extension APIs for managing those clusters using the information from the runtime defined entities.</w:t>
      </w:r>
    </w:p>
    <w:p>
      <w:pPr>
        <w:pStyle w:val="BodyText"/>
      </w:pPr>
      <w:r>
        <w:t xml:space="preserve">You can access runtime defined entities only through the </w:t>
      </w:r>
      <w:r>
        <w:t>VCF Automation</w:t>
      </w:r>
      <w:r>
        <w:t xml:space="preserve"> API. Users with admin privileges can track and observe the way extensions operate by verifying the state of the defined entities that the extensions create. The states of the defined entities can also help you to troubleshoot problems with the extensions.</w:t>
      </w:r>
    </w:p>
    <w:p>
      <w:pPr>
        <w:pStyle w:val="SectionHeading2"/>
      </w:pPr>
      <w:bookmarkStart w:id="211" w:name="_Toc256000589"/>
      <w:r>
        <w:t>Defined Entity Type</w:t>
      </w:r>
      <w:bookmarkEnd w:id="211"/>
    </w:p>
    <w:p>
      <w:pPr>
        <w:pStyle w:val="BodyText"/>
      </w:pPr>
      <w:r>
        <w:t xml:space="preserve">You define at runtime the schema of the information that you can store by using defined entities. The schema is defined in the entity type through a JSON document. When you create a defined entity type, you create a new custom </w:t>
      </w:r>
      <w:r>
        <w:t>VCF Automation</w:t>
      </w:r>
      <w:r>
        <w:t xml:space="preserve"> type which you can manage by extensions and behaviors.</w:t>
      </w:r>
    </w:p>
    <w:p>
      <w:pPr>
        <w:pStyle w:val="BodyText"/>
      </w:pPr>
      <w:r>
        <w:t>Once you create an instance of a defined entity type, you cannot change the type, schema, and behaviors anymore. To add new functionalities to the entity type, you must create a new version of the type. When a defined entity instance is based on an earlier version of the entity type, you can upgrade the defined entity to use a later version of the type by setting the type property of the entity to the ID of the new type. When you create a defined entity, in the API call, the contents of the entity property must match the JSON schema specified in the entity type. You can grant access to an entity type only to specific users and organizations. You can set different access restrictions to the different versions of an entity type.</w:t>
      </w:r>
    </w:p>
    <w:p>
      <w:pPr>
        <w:pStyle w:val="BodyText"/>
      </w:pPr>
      <w:r>
        <w:t xml:space="preserve">The schema of the entity type can specify the access to the different content fields. You can mark properties as </w:t>
      </w:r>
      <w:r>
        <w:rPr>
          <w:rStyle w:val="InlineCode"/>
        </w:rPr>
        <w:t>public</w:t>
      </w:r>
      <w:r>
        <w:t xml:space="preserve">, </w:t>
      </w:r>
      <w:r>
        <w:rPr>
          <w:rStyle w:val="InlineCode"/>
        </w:rPr>
        <w:t>protected</w:t>
      </w:r>
      <w:r>
        <w:t xml:space="preserve">, or </w:t>
      </w:r>
      <w:r>
        <w:rPr>
          <w:rStyle w:val="InlineCode"/>
        </w:rPr>
        <w:t>private</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w:t>
      </w:r>
      <w:r>
        <w:fldChar w:fldCharType="end"/>
      </w:r>
      <w:r>
        <w:t>. Entity Type Property Access Control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03"/>
        <w:gridCol w:w="84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 Status</w:t>
            </w:r>
          </w:p>
        </w:tc>
        <w:tc>
          <w:tcPr>
            <w:tcBorders>
              <w:left w:val="nil"/>
              <w:right w:val="nil"/>
            </w:tcBorders>
            <w:shd w:val="clear" w:color="auto" w:fill="E1E1E1"/>
            <w:tcMar>
              <w:top w:w="60" w:type="dxa"/>
              <w:bottom w:w="60" w:type="dxa"/>
            </w:tcMar>
          </w:tcPr>
          <w:p>
            <w:pPr>
              <w:pStyle w:val="TableHeaderText"/>
            </w:pPr>
            <w:r>
              <w:t>Access Control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Public</w:t>
            </w:r>
          </w:p>
        </w:tc>
        <w:tc>
          <w:tcPr>
            <w:tcBorders>
              <w:left w:val="nil"/>
              <w:right w:val="nil"/>
            </w:tcBorders>
          </w:tcPr>
          <w:p>
            <w:pPr>
              <w:pStyle w:val="TableBodyText"/>
            </w:pPr>
            <w:r>
              <w:t>All users can view and modify the field.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Protected</w:t>
            </w:r>
          </w:p>
        </w:tc>
        <w:tc>
          <w:tcPr>
            <w:tcBorders>
              <w:left w:val="nil"/>
              <w:right w:val="nil"/>
            </w:tcBorders>
          </w:tcPr>
          <w:p>
            <w:pPr>
              <w:pStyle w:val="TableBodyText"/>
            </w:pPr>
            <w:r>
              <w:t>All users can view the field. Only users with Full Control access can create and modify the field. The users must have the Admin Full Control: TYPE right or both the Full Control: TYPE right and a Full Control ACL.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Private</w:t>
            </w:r>
          </w:p>
        </w:tc>
        <w:tc>
          <w:tcPr>
            <w:tcBorders>
              <w:left w:val="nil"/>
              <w:right w:val="nil"/>
            </w:tcBorders>
          </w:tcPr>
          <w:p>
            <w:pPr>
              <w:pStyle w:val="TableBodyText"/>
            </w:pPr>
            <w:r>
              <w:t>Only users with Full Control access can view, create, and modify the field. The users must have the Admin Full Control: TYPE right or both the Full Control: TYPE right and a Full Control ACL</w:t>
            </w:r>
          </w:p>
        </w:tc>
      </w:tr>
    </w:tbl>
    <w:p>
      <w:pPr>
        <w:pStyle w:val="BodyText"/>
        <w:spacing w:before="240"/>
      </w:pPr>
      <w:r>
        <w:t xml:space="preserve">For example, the JSON schema for the entity property </w:t>
      </w:r>
      <w:r>
        <w:rPr>
          <w:rStyle w:val="InlineCode"/>
        </w:rPr>
        <w:t>clusterState</w:t>
      </w:r>
      <w:r>
        <w:t xml:space="preserve"> can be the following.</w:t>
      </w:r>
    </w:p>
    <w:p>
      <w:pPr>
        <w:pStyle w:val="CodeBlock"/>
      </w:pPr>
      <w:r>
        <w:t>"clusterState" : {
  "type" : "string",
  "x-vcloud-restricted" : "protected"
}</w:t>
      </w:r>
    </w:p>
    <w:p>
      <w:pPr>
        <w:pStyle w:val="SectionHeading2"/>
      </w:pPr>
      <w:bookmarkStart w:id="212" w:name="_Toc256000590"/>
      <w:r>
        <w:t>Interfaces and Behaviors</w:t>
      </w:r>
      <w:bookmarkEnd w:id="212"/>
    </w:p>
    <w:p>
      <w:pPr>
        <w:pStyle w:val="BodyText"/>
      </w:pPr>
      <w:r>
        <w:t xml:space="preserve">Defined entities also have interfaces that you can use to define behaviors. If we use the Kubernetes example, each cluster entity type has a different implementation of the behaviors defined in the container cluster interface. The </w:t>
      </w:r>
      <w:r>
        <w:t>Kubernetes</w:t>
      </w:r>
      <w:r>
        <w:t xml:space="preserve"> cluster type behaviors communicate with </w:t>
      </w:r>
      <w:r>
        <w:t>vSphere</w:t>
      </w:r>
      <w:r>
        <w:t xml:space="preserve"> to perform the necessary actions.</w:t>
      </w:r>
    </w:p>
    <w:p>
      <w:pPr>
        <w:pStyle w:val="BodyText"/>
      </w:pPr>
      <w:r>
        <w:t>All users can see the interfaces of defined entities.</w:t>
      </w:r>
    </w:p>
    <w:p>
      <w:pPr>
        <w:pStyle w:val="BodyText"/>
      </w:pPr>
      <w:r>
        <w:t>There are different ways to define behaviors.</w:t>
      </w:r>
    </w:p>
    <w:p>
      <w:pPr>
        <w:pStyle w:val="BodyText"/>
        <w:numPr>
          <w:numId w:val="170"/>
        </w:numPr>
      </w:pPr>
      <w:r>
        <w:t xml:space="preserve">You can create and publish a </w:t>
      </w:r>
      <w:r>
        <w:t>VCF Operations orchestrator</w:t>
      </w:r>
      <w:r>
        <w:t xml:space="preserve"> workflow and create ? behavior that invokes the workflow.</w:t>
      </w:r>
    </w:p>
    <w:p>
      <w:pPr>
        <w:pStyle w:val="BodyText"/>
        <w:numPr>
          <w:numId w:val="170"/>
        </w:numPr>
      </w:pPr>
      <w:r>
        <w:t>You can link any functionality to a behavior by using a WebHook.</w:t>
      </w:r>
    </w:p>
    <w:p>
      <w:pPr>
        <w:pStyle w:val="BodyText"/>
        <w:numPr>
          <w:numId w:val="170"/>
        </w:numPr>
      </w:pPr>
      <w:r>
        <w:t>With MQTT behaviors, you can call a functionality in an extension. By using MQTT you can communicate with the extension directly and the extension can provide a more detailed status.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12</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Runtime Defined Entity Interfaces</w:t>
      </w:r>
    </w:p>
    <w:p>
      <w:pPr>
        <w:pStyle w:val="BodyText"/>
      </w:pPr>
    </w:p>
    <w:p>
      <w:pPr>
        <w:pStyle w:val="BodyText"/>
      </w:pPr>
      <w:r>
        <w:t>Runtime defined entity interfaces, types, and behaviors have specific API IDs.</w:t>
      </w:r>
    </w:p>
    <w:p>
      <w:pPr>
        <w:pStyle w:val="BodyText"/>
        <w:numPr>
          <w:numId w:val="171"/>
        </w:numPr>
      </w:pPr>
      <w:r>
        <w:t xml:space="preserve">Interface API IDs are in the form of </w:t>
      </w:r>
      <w:r>
        <w:rPr>
          <w:rStyle w:val="InlineCode"/>
        </w:rPr>
        <w:t>urn:vcloud:interface:</w:t>
      </w:r>
      <w:r>
        <w:rPr>
          <w:rStyle w:val="InlineVar"/>
        </w:rPr>
        <w:t>vendor_name</w:t>
      </w:r>
      <w:r>
        <w:rPr>
          <w:rStyle w:val="InlineCode"/>
        </w:rPr>
        <w:t>:</w:t>
      </w:r>
      <w:r>
        <w:rPr>
          <w:rStyle w:val="InlineVar"/>
        </w:rPr>
        <w:t>interface_name</w:t>
      </w:r>
      <w:r>
        <w:rPr>
          <w:rStyle w:val="InlineCode"/>
        </w:rPr>
        <w:t>:</w:t>
      </w:r>
      <w:r>
        <w:rPr>
          <w:rStyle w:val="InlineVar"/>
        </w:rPr>
        <w:t>version</w:t>
      </w:r>
      <w:r>
        <w:t>.</w:t>
      </w:r>
    </w:p>
    <w:p>
      <w:pPr>
        <w:pStyle w:val="BodyText"/>
        <w:numPr>
          <w:numId w:val="171"/>
        </w:numPr>
      </w:pPr>
      <w:r>
        <w:t xml:space="preserve">Type API IDs are in the form of </w:t>
      </w:r>
      <w:r>
        <w:rPr>
          <w:rStyle w:val="InlineCode"/>
        </w:rPr>
        <w:t>urn:vcloud:type:</w:t>
      </w:r>
      <w:r>
        <w:rPr>
          <w:rStyle w:val="InlineVar"/>
        </w:rPr>
        <w:t>vendor_name</w:t>
      </w:r>
      <w:r>
        <w:rPr>
          <w:rStyle w:val="InlineCode"/>
        </w:rPr>
        <w:t>:</w:t>
      </w:r>
      <w:r>
        <w:rPr>
          <w:rStyle w:val="InlineVar"/>
        </w:rPr>
        <w:t>type_name</w:t>
      </w:r>
      <w:r>
        <w:rPr>
          <w:rStyle w:val="InlineCode"/>
        </w:rPr>
        <w:t>:</w:t>
      </w:r>
      <w:r>
        <w:rPr>
          <w:rStyle w:val="InlineVar"/>
        </w:rPr>
        <w:t>version</w:t>
      </w:r>
      <w:r>
        <w:t>.</w:t>
      </w:r>
    </w:p>
    <w:p>
      <w:pPr>
        <w:pStyle w:val="BodyText"/>
        <w:numPr>
          <w:numId w:val="171"/>
        </w:numPr>
      </w:pPr>
      <w:r>
        <w:t xml:space="preserve">Behavior API IDs are in the form of </w:t>
      </w:r>
      <w:r>
        <w:rPr>
          <w:rStyle w:val="InlineCode"/>
        </w:rPr>
        <w:t>urn:vcloud:behavior-interface:</w:t>
      </w:r>
      <w:r>
        <w:rPr>
          <w:rStyle w:val="InlineVar"/>
        </w:rPr>
        <w:t>behavior_name</w:t>
      </w:r>
      <w:r>
        <w:rPr>
          <w:rStyle w:val="InlineCode"/>
        </w:rPr>
        <w:t>:</w:t>
      </w:r>
      <w:r>
        <w:rPr>
          <w:rStyle w:val="InlineVar"/>
        </w:rPr>
        <w:t>vendor_name</w:t>
      </w:r>
      <w:r>
        <w:rPr>
          <w:rStyle w:val="InlineCode"/>
        </w:rPr>
        <w:t>:</w:t>
      </w:r>
      <w:r>
        <w:rPr>
          <w:rStyle w:val="InlineVar"/>
        </w:rPr>
        <w:t>interface_name</w:t>
      </w:r>
      <w:r>
        <w:rPr>
          <w:rStyle w:val="InlineCode"/>
        </w:rPr>
        <w:t>:</w:t>
      </w:r>
      <w:r>
        <w:rPr>
          <w:rStyle w:val="InlineVar"/>
        </w:rPr>
        <w:t>version</w:t>
      </w:r>
      <w:r>
        <w:t xml:space="preserve"> or </w:t>
      </w:r>
      <w:r>
        <w:rPr>
          <w:rStyle w:val="InlineCode"/>
        </w:rPr>
        <w:t>urn:vcloud:behavior-type:</w:t>
      </w:r>
      <w:r>
        <w:rPr>
          <w:rStyle w:val="InlineVar"/>
        </w:rPr>
        <w:t>behavior_name</w:t>
      </w:r>
      <w:r>
        <w:rPr>
          <w:rStyle w:val="InlineCode"/>
        </w:rPr>
        <w:t>:</w:t>
      </w:r>
      <w:r>
        <w:rPr>
          <w:rStyle w:val="InlineVar"/>
        </w:rPr>
        <w:t>vendor_name</w:t>
      </w:r>
      <w:r>
        <w:rPr>
          <w:rStyle w:val="InlineCode"/>
        </w:rPr>
        <w:t>:</w:t>
      </w:r>
      <w:r>
        <w:rPr>
          <w:rStyle w:val="InlineVar"/>
        </w:rPr>
        <w:t>interface_name</w:t>
      </w:r>
      <w:r>
        <w:rPr>
          <w:rStyle w:val="InlineCode"/>
        </w:rPr>
        <w:t>:</w:t>
      </w:r>
      <w:r>
        <w:rPr>
          <w:rStyle w:val="InlineVar"/>
        </w:rPr>
        <w:t>version</w:t>
      </w:r>
      <w:r>
        <w:t>.</w:t>
      </w:r>
    </w:p>
    <w:p>
      <w:pPr>
        <w:pStyle w:val="SectionHeading2"/>
      </w:pPr>
      <w:bookmarkStart w:id="213" w:name="_Toc256000591"/>
      <w:r>
        <w:t>Creating a Runtime Defined Entity</w:t>
      </w:r>
      <w:bookmarkEnd w:id="213"/>
    </w:p>
    <w:p>
      <w:pPr>
        <w:pStyle w:val="BodyText"/>
      </w:pPr>
      <w:r>
        <w:t xml:space="preserve">To create a defined entity, you start by configuring the external resources and adding the necessary information to the defined entity. This process might require a few iterations. To resolve the defined entity, you must verify that the contents of the schema have all the necessary information. If the contents do not match the JSON schema specified in the type, the defined entity state changes to </w:t>
      </w:r>
      <w:r>
        <w:rPr>
          <w:rStyle w:val="InlineCode"/>
        </w:rPr>
        <w:t>Resolution_Error</w:t>
      </w:r>
      <w:r>
        <w:t xml:space="preserve">. If you fill in the information correctly, the defined entity state changes to </w:t>
      </w:r>
      <w:r>
        <w:rPr>
          <w:rStyle w:val="InlineCode"/>
        </w:rPr>
        <w:t>Resolved</w:t>
      </w:r>
      <w:r>
        <w:t xml:space="preserve"> and is ready to use.</w:t>
      </w:r>
    </w:p>
    <w:p>
      <w:pPr>
        <w:pStyle w:val="BodyText"/>
      </w:pPr>
      <w:r>
        <w:t xml:space="preserve">Because tasks track all long-running runtime defined entity operations, you can use the </w:t>
      </w:r>
      <w:r>
        <w:t>VCF Automation</w:t>
      </w:r>
      <w:r>
        <w:t xml:space="preserve"> UI to monitor the creation of defined entities, behavior invocation, and so on. When the status of a defined entity changes to </w:t>
      </w:r>
      <w:r>
        <w:rPr>
          <w:rStyle w:val="InlineCode"/>
        </w:rPr>
        <w:t>Resolved</w:t>
      </w:r>
      <w:r>
        <w:t xml:space="preserve">, the corresponding task in the UI appears as </w:t>
      </w:r>
      <w:r>
        <w:rPr>
          <w:rStyle w:val="InlineCode"/>
        </w:rPr>
        <w:t>Succeeded</w:t>
      </w:r>
      <w:r>
        <w:t>.</w:t>
      </w:r>
    </w:p>
    <w:p>
      <w:pPr>
        <w:pStyle w:val="BodyText"/>
      </w:pPr>
      <w:r>
        <w:t xml:space="preserve">When you create a defined entity in one organization, you cannot share the defined entity with other organizations. If you create a defined entity in the </w:t>
      </w:r>
      <w:r>
        <w:rPr>
          <w:rStyle w:val="InlineCode"/>
        </w:rPr>
        <w:t>System</w:t>
      </w:r>
      <w:r>
        <w:t xml:space="preserve"> organization, you can share it with other organizations and their users.</w:t>
      </w:r>
    </w:p>
    <w:p>
      <w:pPr>
        <w:pStyle w:val="SectionHeading2"/>
      </w:pPr>
      <w:bookmarkStart w:id="214" w:name="_Toc256000592"/>
      <w:r>
        <w:t>Sample API Call to Create a Defined Entity</w:t>
      </w:r>
      <w:bookmarkEnd w:id="214"/>
    </w:p>
    <w:p>
      <w:pPr>
        <w:pStyle w:val="BodyText"/>
      </w:pPr>
      <w:r>
        <w:t xml:space="preserve">The example provides a sample API call to create a new entity of the </w:t>
      </w:r>
      <w:r>
        <w:rPr>
          <w:rStyle w:val="InlineCode"/>
        </w:rPr>
        <w:t>pksContainerCluster</w:t>
      </w:r>
      <w:r>
        <w:t xml:space="preserve"> type.</w:t>
      </w:r>
    </w:p>
    <w:p>
      <w:pPr>
        <w:pStyle w:val="CodeBlock"/>
      </w:pPr>
      <w:r>
        <w:t>POST https://host/cloudapi/1.0.0/entityTypes/urn:vcloud:type:vendorA:pksContainerCluster:1.0.0
{
   "name": "testEntity",
   "entity": {
      "cluster": {
         "name": "testCluster",
         "nodes": ["node1"]
      }
   }
}</w:t>
      </w:r>
    </w:p>
    <w:p>
      <w:pPr>
        <w:pStyle w:val="SectionHeading2"/>
      </w:pPr>
      <w:bookmarkStart w:id="215" w:name="_Toc256000593"/>
      <w:r>
        <w:t>Access to Defined Entity Instances</w:t>
      </w:r>
      <w:bookmarkEnd w:id="215"/>
    </w:p>
    <w:p>
      <w:pPr>
        <w:pStyle w:val="BodyText"/>
      </w:pPr>
      <w:r>
        <w:t>Two complementary mechanisms control the access to runtime defined entities.</w:t>
      </w:r>
    </w:p>
    <w:p>
      <w:pPr>
        <w:pStyle w:val="BodyText"/>
        <w:numPr>
          <w:numId w:val="172"/>
        </w:numPr>
      </w:pPr>
      <w:r>
        <w:t xml:space="preserve">Rights - When you create a runtime defined entity type, you create a rights bundle for the type. To provide access to specific operations, you must assign rights from this bundle to other roles. Each bundle has five type-specific rights: </w:t>
      </w:r>
      <w:r>
        <w:rPr>
          <w:rStyle w:val="InlineUI"/>
        </w:rPr>
        <w:t>View: TYPE</w:t>
      </w:r>
      <w:r>
        <w:t xml:space="preserve">, </w:t>
      </w:r>
      <w:r>
        <w:rPr>
          <w:rStyle w:val="InlineUI"/>
        </w:rPr>
        <w:t>Edit: TYPE</w:t>
      </w:r>
      <w:r>
        <w:t xml:space="preserve">, </w:t>
      </w:r>
      <w:r>
        <w:rPr>
          <w:rStyle w:val="InlineUI"/>
        </w:rPr>
        <w:t>Full Control: TYPE</w:t>
      </w:r>
      <w:r>
        <w:t xml:space="preserve">, </w:t>
      </w:r>
      <w:r>
        <w:rPr>
          <w:rStyle w:val="InlineUI"/>
        </w:rPr>
        <w:t>Administrator View: TYPE</w:t>
      </w:r>
      <w:r>
        <w:t xml:space="preserve">, and </w:t>
      </w:r>
      <w:r>
        <w:rPr>
          <w:rStyle w:val="InlineUI"/>
        </w:rPr>
        <w:t>Administrator Full Control: TYPE</w:t>
      </w:r>
      <w:r>
        <w:t>.</w:t>
      </w:r>
    </w:p>
    <w:p>
      <w:pPr>
        <w:pStyle w:val="BodyText"/>
        <w:ind w:left="480"/>
      </w:pPr>
      <w:r>
        <w:t xml:space="preserve">The </w:t>
      </w:r>
      <w:r>
        <w:rPr>
          <w:rStyle w:val="InlineUI"/>
        </w:rPr>
        <w:t>View: TYPE</w:t>
      </w:r>
      <w:r>
        <w:t xml:space="preserve">, </w:t>
      </w:r>
      <w:r>
        <w:rPr>
          <w:rStyle w:val="InlineUI"/>
        </w:rPr>
        <w:t>Edit: TYPE</w:t>
      </w:r>
      <w:r>
        <w:t xml:space="preserve">, and </w:t>
      </w:r>
      <w:r>
        <w:rPr>
          <w:rStyle w:val="InlineUI"/>
        </w:rPr>
        <w:t>Full Control: TYPE</w:t>
      </w:r>
      <w:r>
        <w:t xml:space="preserve"> rights work only in combination with an ACL entry.</w:t>
      </w:r>
    </w:p>
    <w:p>
      <w:pPr>
        <w:pStyle w:val="BodyText"/>
        <w:numPr>
          <w:numId w:val="172"/>
        </w:numPr>
      </w:pPr>
      <w:r>
        <w:t xml:space="preserve">Access Control List (ACL) - The ACL table contains entries defining the access users have to specific entities in the system. It provides an extra level of control over the entities. For example, while an </w:t>
      </w:r>
      <w:r>
        <w:rPr>
          <w:rStyle w:val="InlineUI"/>
        </w:rPr>
        <w:t>Edit: TYPE</w:t>
      </w:r>
      <w:r>
        <w:t xml:space="preserve"> right specifies that a user can modify entities to which they have access, the ACL table defines which entities the user has access to.</w:t>
      </w:r>
    </w:p>
    <w:p>
      <w:pPr>
        <w:pStyle w:val="BodyText"/>
        <w:ind w:left="480"/>
      </w:pPr>
      <w:r>
        <w:rPr>
          <w:rStyle w:val="InlineUI"/>
        </w:rPr>
        <w:t>System administrators</w:t>
      </w:r>
      <w:r>
        <w:t xml:space="preserve"> with the </w:t>
      </w:r>
      <w:r>
        <w:rPr>
          <w:rStyle w:val="InlineUI"/>
        </w:rPr>
        <w:t>View General ACL</w:t>
      </w:r>
      <w:r>
        <w:t xml:space="preserve"> right can view the ACLs assigned to a specific defined entity by using the </w:t>
      </w:r>
      <w:r>
        <w:rPr>
          <w:rStyle w:val="InlineCode"/>
        </w:rPr>
        <w:t>accessControls</w:t>
      </w:r>
      <w:r>
        <w:t xml:space="preserve"> API.</w:t>
      </w:r>
    </w:p>
    <w:p>
      <w:pPr>
        <w:pStyle w:val="BodyText"/>
        <w:ind w:left="480"/>
      </w:pPr>
      <w:r>
        <w:rPr>
          <w:rStyle w:val="InlineUI"/>
        </w:rPr>
        <w:t>System administrators</w:t>
      </w:r>
      <w:r>
        <w:t xml:space="preserve"> with the </w:t>
      </w:r>
      <w:r>
        <w:rPr>
          <w:rStyle w:val="InlineUI"/>
        </w:rPr>
        <w:t>Manage General ACL</w:t>
      </w:r>
      <w:r>
        <w:t xml:space="preserve"> right can create, modify, and remove specific ACLs by using the </w:t>
      </w:r>
      <w:r>
        <w:rPr>
          <w:rStyle w:val="InlineCode"/>
        </w:rPr>
        <w:t>accessControls</w:t>
      </w:r>
      <w:r>
        <w:t xml:space="preserve"> API.</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w:t>
      </w:r>
      <w:r>
        <w:fldChar w:fldCharType="end"/>
      </w:r>
      <w:r>
        <w:t>. Rights and ACL Entries for RDE Operations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2"/>
        <w:gridCol w:w="3363"/>
        <w:gridCol w:w="222"/>
        <w:gridCol w:w="489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Entity Operation</w:t>
            </w:r>
          </w:p>
        </w:tc>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Read</w:t>
            </w:r>
          </w:p>
        </w:tc>
        <w:tc>
          <w:tcPr>
            <w:tcBorders>
              <w:left w:val="nil"/>
              <w:right w:val="nil"/>
            </w:tcBorders>
          </w:tcPr>
          <w:p>
            <w:pPr>
              <w:pStyle w:val="TableBodyText"/>
            </w:pPr>
            <w:r>
              <w:rPr>
                <w:rStyle w:val="InlineUI"/>
              </w:rPr>
              <w:t>Administrator View: TYPE</w:t>
            </w:r>
            <w:r>
              <w:t xml:space="preserve"> right</w:t>
            </w:r>
          </w:p>
        </w:tc>
        <w:tc>
          <w:tcPr>
            <w:tcBorders>
              <w:left w:val="nil"/>
              <w:right w:val="nil"/>
            </w:tcBorders>
          </w:tcPr>
          <w:p>
            <w:pPr>
              <w:pStyle w:val="TableBodyText"/>
            </w:pPr>
          </w:p>
        </w:tc>
        <w:tc>
          <w:tcPr>
            <w:tcBorders>
              <w:left w:val="nil"/>
              <w:right w:val="nil"/>
            </w:tcBorders>
          </w:tcPr>
          <w:p>
            <w:pPr>
              <w:pStyle w:val="TableBodyText"/>
            </w:pPr>
            <w:r>
              <w:t>Users with this right can see all runtime defined entities of this type within an organization.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rPr>
                <w:rStyle w:val="InlineUI"/>
              </w:rPr>
              <w:t>View: TYPE</w:t>
            </w:r>
            <w:r>
              <w:t xml:space="preserve"> right and ACL entry </w:t>
            </w:r>
            <w:r>
              <w:rPr>
                <w:rStyle w:val="InlineUI"/>
              </w:rPr>
              <w:t>&gt;= View</w:t>
            </w:r>
          </w:p>
        </w:tc>
        <w:tc>
          <w:tcPr>
            <w:tcBorders>
              <w:left w:val="nil"/>
              <w:right w:val="nil"/>
            </w:tcBorders>
          </w:tcPr>
          <w:p>
            <w:pPr>
              <w:pStyle w:val="TableBodyText"/>
            </w:pPr>
          </w:p>
        </w:tc>
        <w:tc>
          <w:tcPr>
            <w:tcBorders>
              <w:left w:val="nil"/>
              <w:right w:val="nil"/>
            </w:tcBorders>
          </w:tcPr>
          <w:p>
            <w:pPr>
              <w:pStyle w:val="TableBodyText"/>
            </w:pPr>
            <w:r>
              <w:t>Users with this right and a read-level ACL can view runtime defined entities of this type.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Modify</w:t>
            </w:r>
          </w:p>
        </w:tc>
        <w:tc>
          <w:tcPr>
            <w:tcBorders>
              <w:left w:val="nil"/>
              <w:right w:val="nil"/>
            </w:tcBorders>
          </w:tcPr>
          <w:p>
            <w:pPr>
              <w:pStyle w:val="TableBodyText"/>
            </w:pPr>
            <w:r>
              <w:rPr>
                <w:rStyle w:val="InlineUI"/>
              </w:rPr>
              <w:t>Administrator Full Control: TYPE</w:t>
            </w:r>
            <w:r>
              <w:t xml:space="preserve"> right</w:t>
            </w:r>
          </w:p>
        </w:tc>
        <w:tc>
          <w:tcPr>
            <w:tcBorders>
              <w:left w:val="nil"/>
              <w:right w:val="nil"/>
            </w:tcBorders>
          </w:tcPr>
          <w:p>
            <w:pPr>
              <w:pStyle w:val="TableBodyText"/>
            </w:pPr>
          </w:p>
        </w:tc>
        <w:tc>
          <w:tcPr>
            <w:tcBorders>
              <w:left w:val="nil"/>
              <w:right w:val="nil"/>
            </w:tcBorders>
          </w:tcPr>
          <w:p>
            <w:pPr>
              <w:pStyle w:val="TableBodyText"/>
            </w:pPr>
            <w:r>
              <w:t>Users with this right can create, view, modify, and delete runtime defined entities of this type in all organizations.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rPr>
                <w:rStyle w:val="InlineUI"/>
              </w:rPr>
              <w:t>Edit: TYPE</w:t>
            </w:r>
            <w:r>
              <w:t xml:space="preserve"> right and ACL entry </w:t>
            </w:r>
            <w:r>
              <w:rPr>
                <w:rStyle w:val="InlineUI"/>
              </w:rPr>
              <w:t>&gt;= Change</w:t>
            </w:r>
          </w:p>
        </w:tc>
        <w:tc>
          <w:tcPr>
            <w:tcBorders>
              <w:left w:val="nil"/>
              <w:right w:val="nil"/>
            </w:tcBorders>
          </w:tcPr>
          <w:p>
            <w:pPr>
              <w:pStyle w:val="TableBodyText"/>
            </w:pPr>
          </w:p>
        </w:tc>
        <w:tc>
          <w:tcPr>
            <w:tcBorders>
              <w:left w:val="nil"/>
              <w:right w:val="nil"/>
            </w:tcBorders>
          </w:tcPr>
          <w:p>
            <w:pPr>
              <w:pStyle w:val="TableBodyText"/>
            </w:pPr>
            <w:r>
              <w:t>Users with this right and modify-level ACL can create, view, and modify runtime defined entities of this type.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w:t>
            </w:r>
          </w:p>
        </w:tc>
        <w:tc>
          <w:tcPr>
            <w:tcBorders>
              <w:left w:val="nil"/>
              <w:right w:val="nil"/>
            </w:tcBorders>
          </w:tcPr>
          <w:p>
            <w:pPr>
              <w:pStyle w:val="TableBodyText"/>
            </w:pPr>
            <w:r>
              <w:rPr>
                <w:rStyle w:val="InlineUI"/>
              </w:rPr>
              <w:t>Administrator Full Control: TYPE</w:t>
            </w:r>
            <w:r>
              <w:t xml:space="preserve"> right</w:t>
            </w:r>
          </w:p>
        </w:tc>
        <w:tc>
          <w:tcPr>
            <w:tcBorders>
              <w:left w:val="nil"/>
              <w:right w:val="nil"/>
            </w:tcBorders>
          </w:tcPr>
          <w:p>
            <w:pPr>
              <w:pStyle w:val="TableBodyText"/>
            </w:pPr>
          </w:p>
        </w:tc>
        <w:tc>
          <w:tcPr>
            <w:tcBorders>
              <w:left w:val="nil"/>
              <w:right w:val="nil"/>
            </w:tcBorders>
          </w:tcPr>
          <w:p>
            <w:pPr>
              <w:pStyle w:val="TableBodyText"/>
            </w:pPr>
            <w:r>
              <w:t>Users with this right can create, view, modify, and delete runtime defined entities of this type in all organizations.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p>
        </w:tc>
        <w:tc>
          <w:tcPr>
            <w:tcBorders>
              <w:left w:val="nil"/>
              <w:right w:val="nil"/>
            </w:tcBorders>
          </w:tcPr>
          <w:p>
            <w:pPr>
              <w:pStyle w:val="TableBodyText"/>
            </w:pPr>
            <w:r>
              <w:rPr>
                <w:rStyle w:val="InlineUI"/>
              </w:rPr>
              <w:t>Full Control: TYPE</w:t>
            </w:r>
            <w:r>
              <w:t xml:space="preserve"> right and ACL entry </w:t>
            </w:r>
            <w:r>
              <w:rPr>
                <w:rStyle w:val="InlineUI"/>
              </w:rPr>
              <w:t>= Full Control</w:t>
            </w:r>
          </w:p>
        </w:tc>
        <w:tc>
          <w:tcPr>
            <w:tcBorders>
              <w:left w:val="nil"/>
              <w:right w:val="nil"/>
            </w:tcBorders>
          </w:tcPr>
          <w:p>
            <w:pPr>
              <w:pStyle w:val="TableBodyText"/>
            </w:pPr>
          </w:p>
        </w:tc>
        <w:tc>
          <w:tcPr>
            <w:tcBorders>
              <w:left w:val="nil"/>
              <w:right w:val="nil"/>
            </w:tcBorders>
          </w:tcPr>
          <w:p>
            <w:pPr>
              <w:pStyle w:val="TableBodyText"/>
            </w:pPr>
            <w:r>
              <w:t>Users with this right and full control-level ACL can create, view, modify, and delete runtime defined entities of this type.</w:t>
            </w:r>
          </w:p>
        </w:tc>
      </w:tr>
    </w:tbl>
    <w:p>
      <w:pPr>
        <w:pStyle w:val="BodyText"/>
        <w:spacing w:before="240"/>
      </w:pPr>
      <w:r>
        <w:t xml:space="preserve">You can use the </w:t>
      </w:r>
      <w:r>
        <w:t>VCF Automation</w:t>
      </w:r>
      <w:r>
        <w:t xml:space="preserve"> API or UI to publish the rights bundle to any organizations you want to manage the entities of this type. After publishing the rights bundle, you can assign rights from the bundle to roles within the organization.</w:t>
      </w:r>
    </w:p>
    <w:p>
      <w:pPr>
        <w:pStyle w:val="BodyText"/>
      </w:pPr>
      <w:r>
        <w:t xml:space="preserve">You can use the </w:t>
      </w:r>
      <w:r>
        <w:t>VCF Automation</w:t>
      </w:r>
      <w:r>
        <w:t xml:space="preserve"> API to edit the ACL table.</w:t>
      </w:r>
    </w:p>
    <w:p>
      <w:pPr>
        <w:pStyle w:val="SectionHeading2"/>
      </w:pPr>
      <w:bookmarkStart w:id="216" w:name="_Toc256000594"/>
      <w:r>
        <w:t>Access to Defined Entity Interface and Type Operations</w:t>
      </w:r>
      <w:bookmarkEnd w:id="216"/>
    </w:p>
    <w:p>
      <w:pPr>
        <w:pStyle w:val="BodyText"/>
      </w:pPr>
      <w:r>
        <w:t>Defined entity interface and type operations require specific rights that certain service providers might not have. Before performing an operation, verify that you have the necessary rights.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w:t>
      </w:r>
      <w:r>
        <w:fldChar w:fldCharType="end"/>
      </w:r>
      <w:r>
        <w:t>. Rights for Defined Entity Interface and Type Operations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18"/>
        <w:gridCol w:w="77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Operation</w:t>
            </w:r>
          </w:p>
        </w:tc>
        <w:tc>
          <w:tcPr>
            <w:tcBorders>
              <w:left w:val="nil"/>
              <w:right w:val="nil"/>
            </w:tcBorders>
            <w:shd w:val="clear" w:color="auto" w:fill="E1E1E1"/>
            <w:tcMar>
              <w:top w:w="60" w:type="dxa"/>
              <w:bottom w:w="60" w:type="dxa"/>
            </w:tcMar>
          </w:tcPr>
          <w:p>
            <w:pPr>
              <w:pStyle w:val="TableHeaderText"/>
            </w:pPr>
            <w:r>
              <w:t>Requirement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View and query interface</w:t>
            </w:r>
          </w:p>
        </w:tc>
        <w:tc>
          <w:tcPr>
            <w:tcBorders>
              <w:left w:val="nil"/>
              <w:right w:val="nil"/>
            </w:tcBorders>
          </w:tcPr>
          <w:p>
            <w:pPr>
              <w:pStyle w:val="TableBodyText"/>
            </w:pPr>
            <w:r>
              <w:t>All users have the necessary rights.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interface</w:t>
            </w:r>
          </w:p>
        </w:tc>
        <w:tc>
          <w:tcPr>
            <w:tcBorders>
              <w:left w:val="nil"/>
              <w:right w:val="nil"/>
            </w:tcBorders>
          </w:tcPr>
          <w:p>
            <w:pPr>
              <w:pStyle w:val="TableBodyText"/>
            </w:pPr>
            <w:r>
              <w:t xml:space="preserve">You must have the </w:t>
            </w:r>
            <w:r>
              <w:rPr>
                <w:rStyle w:val="InlineUI"/>
              </w:rPr>
              <w:t>Create new custom entity definition</w:t>
            </w:r>
            <w:r>
              <w:t xml:space="preserve"> right.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Edit interface</w:t>
            </w:r>
          </w:p>
        </w:tc>
        <w:tc>
          <w:tcPr>
            <w:tcBorders>
              <w:left w:val="nil"/>
              <w:right w:val="nil"/>
            </w:tcBorders>
          </w:tcPr>
          <w:p>
            <w:pPr>
              <w:pStyle w:val="TableBodyText"/>
            </w:pPr>
            <w:r>
              <w:t xml:space="preserve">You must have the </w:t>
            </w:r>
            <w:r>
              <w:rPr>
                <w:rStyle w:val="InlineUI"/>
              </w:rPr>
              <w:t>Edit custom entity definition</w:t>
            </w:r>
            <w:r>
              <w:t xml:space="preserve"> right.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interface</w:t>
            </w:r>
          </w:p>
        </w:tc>
        <w:tc>
          <w:tcPr>
            <w:tcBorders>
              <w:left w:val="nil"/>
              <w:right w:val="nil"/>
            </w:tcBorders>
          </w:tcPr>
          <w:p>
            <w:pPr>
              <w:pStyle w:val="TableBodyText"/>
            </w:pPr>
            <w:r>
              <w:t xml:space="preserve">You must have the </w:t>
            </w:r>
            <w:r>
              <w:rPr>
                <w:rStyle w:val="InlineUI"/>
              </w:rPr>
              <w:t>Delete custom entity definition</w:t>
            </w:r>
            <w:r>
              <w:t xml:space="preserve"> right.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type</w:t>
            </w:r>
          </w:p>
        </w:tc>
        <w:tc>
          <w:tcPr>
            <w:tcBorders>
              <w:left w:val="nil"/>
              <w:right w:val="nil"/>
            </w:tcBorders>
          </w:tcPr>
          <w:p>
            <w:pPr>
              <w:pStyle w:val="TableBodyText"/>
            </w:pPr>
            <w:r>
              <w:t xml:space="preserve">You must have the </w:t>
            </w:r>
            <w:r>
              <w:rPr>
                <w:rStyle w:val="InlineUI"/>
              </w:rPr>
              <w:t>Create new custom entity definition</w:t>
            </w:r>
            <w:r>
              <w:t xml:space="preserve"> right.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View type</w:t>
            </w:r>
          </w:p>
        </w:tc>
        <w:tc>
          <w:tcPr>
            <w:tcBorders>
              <w:left w:val="nil"/>
              <w:right w:val="nil"/>
            </w:tcBorders>
          </w:tcPr>
          <w:p>
            <w:pPr>
              <w:pStyle w:val="TableBodyText"/>
            </w:pPr>
            <w:r>
              <w:t xml:space="preserve">The minimum requirement is </w:t>
            </w:r>
            <w:r>
              <w:rPr>
                <w:rStyle w:val="InlineCode"/>
              </w:rPr>
              <w:t>ReadOnly</w:t>
            </w:r>
            <w:r>
              <w:t xml:space="preserve"> Type ACL.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Edit and delete type</w:t>
            </w:r>
          </w:p>
        </w:tc>
        <w:tc>
          <w:tcPr>
            <w:tcBorders>
              <w:left w:val="nil"/>
              <w:right w:val="nil"/>
            </w:tcBorders>
          </w:tcPr>
          <w:p>
            <w:pPr>
              <w:pStyle w:val="TableBodyText"/>
            </w:pPr>
            <w:r>
              <w:t xml:space="preserve">You must have the </w:t>
            </w:r>
            <w:r>
              <w:rPr>
                <w:rStyle w:val="InlineUI"/>
              </w:rPr>
              <w:t>Edit/Delete custom entity definition</w:t>
            </w:r>
            <w:r>
              <w:t xml:space="preserve"> right and a </w:t>
            </w:r>
            <w:r>
              <w:rPr>
                <w:rStyle w:val="InlineCode"/>
              </w:rPr>
              <w:t>FullControl</w:t>
            </w:r>
            <w:r>
              <w:t xml:space="preserve"> Type ACL .</w:t>
            </w:r>
          </w:p>
        </w:tc>
      </w:tr>
    </w:tbl>
    <w:p>
      <w:pPr>
        <w:pStyle w:val="SectionHeading2"/>
        <w:spacing w:before="320"/>
      </w:pPr>
      <w:bookmarkStart w:id="217" w:name="_Toc256000595"/>
      <w:r>
        <w:t>Working with Runtime Defined Entities</w:t>
      </w:r>
      <w:bookmarkEnd w:id="217"/>
    </w:p>
    <w:p>
      <w:pPr>
        <w:pStyle w:val="BodyText"/>
      </w:pPr>
      <w:r>
        <w:t xml:space="preserve">To invoke behaviors on a defined entity, it must be in the </w:t>
      </w:r>
      <w:r>
        <w:rPr>
          <w:rStyle w:val="InlineCode"/>
        </w:rPr>
        <w:t>Resolved</w:t>
      </w:r>
      <w:r>
        <w:t xml:space="preserve"> state. To delete a defined entity, it must be in the </w:t>
      </w:r>
      <w:r>
        <w:rPr>
          <w:rStyle w:val="InlineCode"/>
        </w:rPr>
        <w:t>Resolved</w:t>
      </w:r>
      <w:r>
        <w:t xml:space="preserve"> or </w:t>
      </w:r>
      <w:r>
        <w:rPr>
          <w:rStyle w:val="InlineCode"/>
        </w:rPr>
        <w:t>Resolution_Error</w:t>
      </w:r>
      <w:r>
        <w:t xml:space="preserve"> state.</w:t>
      </w:r>
    </w:p>
    <w:p>
      <w:pPr>
        <w:pStyle w:val="BodyText"/>
      </w:pPr>
      <w:r>
        <w:t>You can modify entity types and interfaces only if they do not have instances. You can only modify the referenced entity type by changing its version.</w:t>
      </w:r>
    </w:p>
    <w:p>
      <w:pPr>
        <w:pStyle w:val="BodyText"/>
      </w:pPr>
      <w:r>
        <w:t>To diagnose issues with the access to defined entities, you can use the entity ACL query APIs and verify the necessary rights. In addition, the rights bundle of an entity type must be published to the organizations that you want to use it.</w:t>
      </w:r>
    </w:p>
    <w:p>
      <w:pPr>
        <w:pStyle w:val="Heading2"/>
      </w:pPr>
      <w:bookmarkStart w:id="218" w:name="_Toc256000596"/>
      <w:r>
        <w:t>Sharing Defined Entities in VCF Automation</w:t>
      </w:r>
      <w:bookmarkEnd w:id="218"/>
    </w:p>
    <w:p>
      <w:pPr>
        <w:pStyle w:val="BodyText"/>
      </w:pPr>
      <w:r>
        <w:t xml:space="preserve">You can grant access to Runtime Defined Entities (RDEs) by sharing them with other </w:t>
      </w:r>
      <w:r>
        <w:t>VCF Automation</w:t>
      </w:r>
      <w:r>
        <w:t xml:space="preserve"> system administrators or other organizations.</w:t>
      </w:r>
    </w:p>
    <w:p>
      <w:pPr>
        <w:pStyle w:val="SectionHeading3"/>
      </w:pPr>
      <w:bookmarkStart w:id="219" w:name="_Toc256000597"/>
      <w:r>
        <w:t>Sharing Defined Entities with Another User</w:t>
      </w:r>
      <w:bookmarkEnd w:id="219"/>
    </w:p>
    <w:p>
      <w:pPr>
        <w:pStyle w:val="BodyText"/>
        <w:numPr>
          <w:numId w:val="173"/>
        </w:numPr>
      </w:pPr>
      <w:r>
        <w:t xml:space="preserve">If you want to grant access to defined entities to other organizations, publish the rights bundle of the defined entity type to the organization of your choice. For example, for the creation and management of </w:t>
      </w:r>
      <w:r>
        <w:t>Kubernetes</w:t>
      </w:r>
      <w:r>
        <w:t xml:space="preserve"> clusters, you must publish the </w:t>
      </w:r>
      <w:r>
        <w:rPr>
          <w:rStyle w:val="InlineUI"/>
        </w:rPr>
        <w:t>vmware:tkgcluster Entitlement</w:t>
      </w:r>
      <w:r>
        <w:t xml:space="preserve"> rights bundle. See </w:t>
      </w:r>
      <w:r>
        <w:t>Publish or Unpublish a Rights Bundle to VCF Automation</w:t>
      </w:r>
      <w:r>
        <w:t>.</w:t>
      </w:r>
    </w:p>
    <w:p>
      <w:pPr>
        <w:pStyle w:val="BodyText"/>
        <w:ind w:left="480"/>
      </w:pPr>
      <w:r>
        <w:t xml:space="preserve">If you want to share the defined entity with a </w:t>
      </w:r>
      <w:r>
        <w:rPr>
          <w:rStyle w:val="InlineUI"/>
        </w:rPr>
        <w:t>system administrator</w:t>
      </w:r>
      <w:r>
        <w:t>, skip this step.</w:t>
      </w:r>
    </w:p>
    <w:p>
      <w:pPr>
        <w:pStyle w:val="BodyText"/>
        <w:numPr>
          <w:numId w:val="173"/>
        </w:numPr>
      </w:pPr>
      <w:r>
        <w:t xml:space="preserve">Assign the </w:t>
      </w:r>
      <w:r>
        <w:rPr>
          <w:rStyle w:val="InlineUI"/>
        </w:rPr>
        <w:t>View: TYPE</w:t>
      </w:r>
      <w:r>
        <w:t xml:space="preserve">, </w:t>
      </w:r>
      <w:r>
        <w:rPr>
          <w:rStyle w:val="InlineUI"/>
        </w:rPr>
        <w:t>Edit: TYPE</w:t>
      </w:r>
      <w:r>
        <w:t xml:space="preserve">, or </w:t>
      </w:r>
      <w:r>
        <w:rPr>
          <w:rStyle w:val="InlineUI"/>
        </w:rPr>
        <w:t>Full Control: TYPE</w:t>
      </w:r>
      <w:r>
        <w:t xml:space="preserve"> right from the bundle to the user roles you want to have the specific level of access to the defined entity.</w:t>
      </w:r>
    </w:p>
    <w:p>
      <w:pPr>
        <w:pStyle w:val="BodyText"/>
        <w:ind w:left="480"/>
      </w:pPr>
      <w:r>
        <w:t xml:space="preserve">For example, if you want the users with the </w:t>
      </w:r>
      <w:r>
        <w:rPr>
          <w:rStyle w:val="InlineUI"/>
        </w:rPr>
        <w:t>tkg_viewer</w:t>
      </w:r>
      <w:r>
        <w:t xml:space="preserve"> role to view </w:t>
      </w:r>
      <w:r>
        <w:t>Kubernetes</w:t>
      </w:r>
      <w:r>
        <w:t xml:space="preserve"> clusters within the organization, you must add the </w:t>
      </w:r>
      <w:r>
        <w:rPr>
          <w:rStyle w:val="InlineUI"/>
        </w:rPr>
        <w:t>View: Tanzu Kubernetes Guest Cluster</w:t>
      </w:r>
      <w:r>
        <w:t xml:space="preserve"> right to the role. If you want the users with the </w:t>
      </w:r>
      <w:r>
        <w:rPr>
          <w:rStyle w:val="InlineUI"/>
        </w:rPr>
        <w:t xml:space="preserve"> tkg_author</w:t>
      </w:r>
      <w:r>
        <w:t xml:space="preserve"> role to create, view, and modify </w:t>
      </w:r>
      <w:r>
        <w:t>Kubernetes</w:t>
      </w:r>
      <w:r>
        <w:t xml:space="preserve"> clusters within this organization, add the </w:t>
      </w:r>
      <w:r>
        <w:rPr>
          <w:rStyle w:val="InlineUI"/>
        </w:rPr>
        <w:t>Edit: Tanzu Kubernetes Guest Cluster</w:t>
      </w:r>
      <w:r>
        <w:t xml:space="preserve"> to that role. If you want the users with the </w:t>
      </w:r>
      <w:r>
        <w:rPr>
          <w:rStyle w:val="InlineUI"/>
        </w:rPr>
        <w:t>tkg_admin</w:t>
      </w:r>
      <w:r>
        <w:t xml:space="preserve"> role to create, view, modify, and delete </w:t>
      </w:r>
      <w:r>
        <w:t>Kubernetes</w:t>
      </w:r>
      <w:r>
        <w:t xml:space="preserve"> clusters within this organization, add the </w:t>
      </w:r>
      <w:r>
        <w:rPr>
          <w:rStyle w:val="InlineUI"/>
        </w:rPr>
        <w:t>Full Control: Tanzu Kubernetes Guest Cluster</w:t>
      </w:r>
      <w:r>
        <w:t xml:space="preserve"> right to the role.</w:t>
      </w:r>
    </w:p>
    <w:p>
      <w:pPr>
        <w:pStyle w:val="BodyText"/>
        <w:numPr>
          <w:numId w:val="173"/>
        </w:numPr>
      </w:pPr>
      <w:r>
        <w:t>Grant the specific user an Access Control List (ACL) by making the following REST API call.</w:t>
      </w:r>
    </w:p>
    <w:p>
      <w:pPr>
        <w:pStyle w:val="CodeBlock"/>
        <w:ind w:left="480"/>
      </w:pPr>
      <w:r>
        <w:t>POST https://</w:t>
      </w:r>
      <w:r>
        <w:rPr>
          <w:rStyle w:val="InlineVar"/>
        </w:rPr>
        <w:t>[address]</w:t>
      </w:r>
      <w:r>
        <w:t>/cloudapi/1.0.0/entities/urn:vcloud:entity:</w:t>
      </w:r>
      <w:r>
        <w:rPr>
          <w:rStyle w:val="InlineVar"/>
        </w:rPr>
        <w:t>[vendor]</w:t>
      </w:r>
      <w:r>
        <w:t>:</w:t>
      </w:r>
      <w:r>
        <w:rPr>
          <w:rStyle w:val="InlineVar"/>
        </w:rPr>
        <w:t>[type name]</w:t>
      </w:r>
      <w:r>
        <w:t>:</w:t>
      </w:r>
      <w:r>
        <w:rPr>
          <w:rStyle w:val="InlineVar"/>
        </w:rPr>
        <w:t>[version]</w:t>
      </w:r>
      <w:r>
        <w:t>:</w:t>
      </w:r>
      <w:r>
        <w:rPr>
          <w:rStyle w:val="InlineVar"/>
        </w:rPr>
        <w:t>[UUID]</w:t>
      </w:r>
      <w:r>
        <w:t>/accessControls
 {
   "grantType" : "MembershipAccessControlGrant",
   "accessLevelId" : "urn:vcloud:accessLevel:</w:t>
      </w:r>
      <w:r>
        <w:rPr>
          <w:rStyle w:val="InlineVar"/>
        </w:rPr>
        <w:t>[Access_level]</w:t>
      </w:r>
      <w:r>
        <w:t>",
   "memberId" : "urn:vcloud:user:</w:t>
      </w:r>
      <w:r>
        <w:rPr>
          <w:rStyle w:val="InlineVar"/>
        </w:rPr>
        <w:t>[User_ID]</w:t>
      </w:r>
      <w:r>
        <w:t>"
 }</w:t>
      </w:r>
    </w:p>
    <w:p>
      <w:pPr>
        <w:pStyle w:val="BodyText"/>
        <w:ind w:left="480"/>
      </w:pPr>
      <w:r>
        <w:rPr>
          <w:rStyle w:val="InlineVar"/>
        </w:rPr>
        <w:t>Access_level</w:t>
      </w:r>
      <w:r>
        <w:t xml:space="preserve"> must be </w:t>
      </w:r>
      <w:r>
        <w:rPr>
          <w:rStyle w:val="InlineCode"/>
        </w:rPr>
        <w:t>ReadOnly</w:t>
      </w:r>
      <w:r>
        <w:t xml:space="preserve">, </w:t>
      </w:r>
      <w:r>
        <w:rPr>
          <w:rStyle w:val="InlineCode"/>
        </w:rPr>
        <w:t>ReadWrite</w:t>
      </w:r>
      <w:r>
        <w:t xml:space="preserve">, or </w:t>
      </w:r>
      <w:r>
        <w:rPr>
          <w:rStyle w:val="InlineCode"/>
        </w:rPr>
        <w:t>FullControl</w:t>
      </w:r>
      <w:r>
        <w:t xml:space="preserve">. </w:t>
      </w:r>
      <w:r>
        <w:rPr>
          <w:rStyle w:val="InlineVar"/>
        </w:rPr>
        <w:t>User_ID</w:t>
      </w:r>
      <w:r>
        <w:t xml:space="preserve"> must be the ID of the user to which you want to grant the access to the defined entity.</w:t>
      </w:r>
    </w:p>
    <w:p>
      <w:pPr>
        <w:pStyle w:val="BodyText"/>
        <w:ind w:left="480"/>
      </w:pPr>
      <w:r>
        <w:t xml:space="preserve">Users with the </w:t>
      </w:r>
      <w:r>
        <w:rPr>
          <w:rStyle w:val="InlineUI"/>
        </w:rPr>
        <w:t>tkg_viewer</w:t>
      </w:r>
      <w:r>
        <w:t xml:space="preserve"> role, described in the example, cannot grant ACL access. Users with the </w:t>
      </w:r>
      <w:r>
        <w:rPr>
          <w:rStyle w:val="InlineUI"/>
        </w:rPr>
        <w:t>tkg_author</w:t>
      </w:r>
      <w:r>
        <w:t xml:space="preserve"> or </w:t>
      </w:r>
      <w:r>
        <w:rPr>
          <w:rStyle w:val="InlineUI"/>
        </w:rPr>
        <w:t>tkg_admin</w:t>
      </w:r>
      <w:r>
        <w:t xml:space="preserve"> role can share access to a VMWARE:TKGCLUSTER entity with users who have the </w:t>
      </w:r>
      <w:r>
        <w:rPr>
          <w:rStyle w:val="InlineUI"/>
        </w:rPr>
        <w:t>tkg_viewer</w:t>
      </w:r>
      <w:r>
        <w:t xml:space="preserve">, </w:t>
      </w:r>
      <w:r>
        <w:rPr>
          <w:rStyle w:val="InlineUI"/>
        </w:rPr>
        <w:t>tkg_author</w:t>
      </w:r>
      <w:r>
        <w:t xml:space="preserve">, or </w:t>
      </w:r>
      <w:r>
        <w:rPr>
          <w:rStyle w:val="InlineUI"/>
        </w:rPr>
        <w:t>tkg_admin</w:t>
      </w:r>
      <w:r>
        <w:t xml:space="preserve"> role by granting them ACL access using the API request.</w:t>
      </w:r>
    </w:p>
    <w:p>
      <w:pPr>
        <w:pStyle w:val="BodyText"/>
        <w:ind w:left="480"/>
      </w:pPr>
      <w:r>
        <w:t xml:space="preserve">You can also use REST API calls to revoke access or to view who has access to the entity. See the </w:t>
      </w:r>
      <w:r>
        <w:t>VCF Automation</w:t>
      </w:r>
      <w:hyperlink r:id="rId24" w:tooltip="REST API documentation" w:history="1">
        <w:r>
          <w:rPr>
            <w:color w:val="0000FF"/>
            <w:u w:val="single"/>
          </w:rPr>
          <w:t>REST API documentation</w:t>
        </w:r>
      </w:hyperlink>
      <w:r>
        <w:t>.</w:t>
      </w:r>
    </w:p>
    <w:p>
      <w:pPr>
        <w:pStyle w:val="SectionHeading3"/>
      </w:pPr>
      <w:bookmarkStart w:id="220" w:name="_Toc256000598"/>
      <w:r>
        <w:t>Sharing Administrator Rights to Defined Entities</w:t>
      </w:r>
      <w:bookmarkEnd w:id="220"/>
    </w:p>
    <w:p>
      <w:pPr>
        <w:pStyle w:val="BodyText"/>
        <w:numPr>
          <w:numId w:val="174"/>
        </w:numPr>
      </w:pPr>
      <w:r>
        <w:t xml:space="preserve">If you want to grant access to defined entities to organizations, publish the rights bundle of the defined entity type to an organization. For example, for the creation and management of </w:t>
      </w:r>
      <w:r>
        <w:t>Kubernetes</w:t>
      </w:r>
      <w:r>
        <w:t xml:space="preserve"> clusters, you must publish the </w:t>
      </w:r>
      <w:r>
        <w:rPr>
          <w:rStyle w:val="InlineUI"/>
        </w:rPr>
        <w:t>vmware:tkgcluster Entitlement</w:t>
      </w:r>
      <w:r>
        <w:t xml:space="preserve"> rights bundle. See </w:t>
      </w:r>
      <w:r>
        <w:t>Publish or Unpublish a Rights Bundle to VCF Automation</w:t>
      </w:r>
      <w:r>
        <w:t>.</w:t>
      </w:r>
    </w:p>
    <w:p>
      <w:pPr>
        <w:pStyle w:val="BodyText"/>
        <w:ind w:left="480"/>
      </w:pPr>
      <w:r>
        <w:t xml:space="preserve">If you want to share the defined entity with a </w:t>
      </w:r>
      <w:r>
        <w:rPr>
          <w:rStyle w:val="InlineUI"/>
        </w:rPr>
        <w:t>system administrator</w:t>
      </w:r>
      <w:r>
        <w:t>, skip this step.</w:t>
      </w:r>
    </w:p>
    <w:p>
      <w:pPr>
        <w:pStyle w:val="BodyText"/>
        <w:numPr>
          <w:numId w:val="174"/>
        </w:numPr>
      </w:pPr>
      <w:r>
        <w:t xml:space="preserve">Assign the </w:t>
      </w:r>
      <w:r>
        <w:rPr>
          <w:rStyle w:val="InlineUI"/>
        </w:rPr>
        <w:t>Administrator View: TYPE</w:t>
      </w:r>
      <w:r>
        <w:t xml:space="preserve"> or </w:t>
      </w:r>
      <w:r>
        <w:rPr>
          <w:rStyle w:val="InlineUI"/>
        </w:rPr>
        <w:t>Administrator Full Control: TYPE</w:t>
      </w:r>
      <w:r>
        <w:t xml:space="preserve"> right from the bundle to the user roles you want to have the specific level of access to the defined entity.</w:t>
      </w:r>
    </w:p>
    <w:p>
      <w:pPr>
        <w:pStyle w:val="BodyText"/>
        <w:ind w:left="480"/>
      </w:pPr>
      <w:r>
        <w:t xml:space="preserve">For example, if you want the users with this role to view all </w:t>
      </w:r>
      <w:r>
        <w:t>Kubernetes</w:t>
      </w:r>
      <w:r>
        <w:t xml:space="preserve"> clusters within the organization, you must add the </w:t>
      </w:r>
      <w:r>
        <w:rPr>
          <w:rStyle w:val="InlineUI"/>
        </w:rPr>
        <w:t>Administrator View: Tanzu Kubernetes Guest Cluster</w:t>
      </w:r>
      <w:r>
        <w:t xml:space="preserve"> right to the role. If you want the users with this role to create, view, modify, and delete </w:t>
      </w:r>
      <w:r>
        <w:t>Kubernetes</w:t>
      </w:r>
      <w:r>
        <w:t xml:space="preserve"> clusters in all organizations, add the </w:t>
      </w:r>
      <w:r>
        <w:rPr>
          <w:rStyle w:val="InlineUI"/>
        </w:rPr>
        <w:t>Administrator Full Control: Tanzu Kubernetes Guest Cluster</w:t>
      </w:r>
      <w:r>
        <w:t xml:space="preserve"> right to the user role.</w:t>
      </w:r>
    </w:p>
    <w:p>
      <w:pPr>
        <w:pStyle w:val="BodyText"/>
        <w:ind w:left="480"/>
      </w:pPr>
      <w:r>
        <w:t xml:space="preserve">Users with the </w:t>
      </w:r>
      <w:r>
        <w:rPr>
          <w:rStyle w:val="InlineUI"/>
        </w:rPr>
        <w:t>Administrator Full Control: Tanzu Kubernetes Guest Cluster</w:t>
      </w:r>
      <w:r>
        <w:t xml:space="preserve"> right can grant ACL access to any VMWARE:TKGCLUSTER entity.</w:t>
      </w:r>
    </w:p>
    <w:p>
      <w:pPr>
        <w:pStyle w:val="SectionHeading3"/>
      </w:pPr>
      <w:bookmarkStart w:id="221" w:name="_Toc256000599"/>
      <w:r>
        <w:t>Changing the Owner of a Defined Entity</w:t>
      </w:r>
      <w:bookmarkEnd w:id="221"/>
    </w:p>
    <w:p>
      <w:pPr>
        <w:pStyle w:val="BodyText"/>
      </w:pPr>
      <w:r>
        <w:t xml:space="preserve">The owner of a defined entity or a user with the </w:t>
      </w:r>
      <w:r>
        <w:rPr>
          <w:rStyle w:val="InlineUI"/>
        </w:rPr>
        <w:t>Administrator Full Control: TYPE</w:t>
      </w:r>
      <w:r>
        <w:t xml:space="preserve"> right can transfer the ownership to another user by updating the defined entity model and changing the owner field with the ID of the new owner.</w:t>
      </w:r>
    </w:p>
    <w:p>
      <w:pPr>
        <w:pStyle w:val="Heading2"/>
      </w:pPr>
      <w:bookmarkStart w:id="222" w:name="_Toc256000600"/>
      <w:r>
        <w:t>VCF Automation Webhook Behaviors</w:t>
      </w:r>
      <w:bookmarkEnd w:id="222"/>
    </w:p>
    <w:p>
      <w:pPr>
        <w:pStyle w:val="BodyText"/>
      </w:pPr>
      <w:r>
        <w:t>To connect two different applications, you can use webhooks. By using webhooks, you can set up event notifications.</w:t>
      </w:r>
    </w:p>
    <w:p>
      <w:pPr>
        <w:pStyle w:val="BodyText"/>
      </w:pPr>
      <w:r>
        <w:t xml:space="preserve">A webhook is an HTTP callback. When an event happens, a web application implementing webhooks broadcasts data about that event and sends it to a webhook URL from the application that you want to receive the information. For more information, see </w:t>
      </w:r>
      <w:hyperlink r:id="rId27" w:tooltip="https://github.com/vmware/" w:history="1">
        <w:r>
          <w:rPr>
            <w:color w:val="0000FF"/>
            <w:u w:val="single"/>
          </w:rPr>
          <w:t>https://github.com/vmware/</w:t>
        </w:r>
      </w:hyperlink>
      <w:r>
        <w:t>.</w:t>
      </w:r>
    </w:p>
    <w:p>
      <w:pPr>
        <w:pStyle w:val="BodyText"/>
      </w:pPr>
      <w:r>
        <w:t xml:space="preserve">In the context of </w:t>
      </w:r>
      <w:r>
        <w:t>VCF Automation</w:t>
      </w:r>
      <w:r>
        <w:t>, you can configure webhooks by using webhook behaviors. Webhook behaviors send out a POST request to a remote webhook server. The body of the request contains information about the behavior invocation and the entity that the behavior was invoked on. You can also customize the body by using a template. The webhook server response determines the result of the behavior invocation task. There are three different types of responses that the server can return.</w:t>
      </w:r>
    </w:p>
    <w:p>
      <w:pPr>
        <w:pStyle w:val="BodyText"/>
      </w:pPr>
      <w:r>
        <w:t xml:space="preserve">The remote webhook server can be any server that </w:t>
      </w:r>
      <w:r>
        <w:t>VCF Automation</w:t>
      </w:r>
      <w:r>
        <w:t xml:space="preserve"> can reach. However, before creating a webhook behavior, you must verify that the endpoint of the webhook is secure.</w:t>
      </w:r>
    </w:p>
    <w:p>
      <w:pPr>
        <w:pStyle w:val="BodyText"/>
        <w:numPr>
          <w:numId w:val="175"/>
        </w:numPr>
      </w:pPr>
      <w:r>
        <w:t>Verify that the webhook endpoint is an HTTPS endpoint.</w:t>
      </w:r>
    </w:p>
    <w:p>
      <w:pPr>
        <w:pStyle w:val="BodyText"/>
        <w:numPr>
          <w:numId w:val="175"/>
        </w:numPr>
      </w:pPr>
      <w:r>
        <w:t xml:space="preserve">Verify that the organization of the user invoking the behavior trusts the webhook server certificate. This means that even if the certificate is present in a </w:t>
      </w:r>
      <w:r>
        <w:t>VCF Automation</w:t>
      </w:r>
      <w:r>
        <w:t xml:space="preserve"> trust store, if the organization of the user, who invokes the behavior does not trust the certificate, the webhook behavior will not run.</w:t>
      </w:r>
    </w:p>
    <w:p>
      <w:pPr>
        <w:pStyle w:val="BodyText"/>
        <w:numPr>
          <w:numId w:val="175"/>
        </w:numPr>
      </w:pPr>
      <w:r>
        <w:t xml:space="preserve">You can add a certificate to the trust store by using the UI or the </w:t>
      </w:r>
      <w:r>
        <w:t>VCF Automation</w:t>
      </w:r>
      <w:r>
        <w:t xml:space="preserve"> API. See </w:t>
      </w:r>
      <w:r>
        <w:t>Managing Certificates Using Your VCF Automation</w:t>
      </w:r>
      <w:r>
        <w:t>.</w:t>
      </w:r>
    </w:p>
    <w:p>
      <w:pPr>
        <w:pStyle w:val="SectionHeading3"/>
      </w:pPr>
      <w:bookmarkStart w:id="223" w:name="_Toc256000601"/>
      <w:r>
        <w:t>Creating Webhook Behaviors</w:t>
      </w:r>
      <w:bookmarkEnd w:id="223"/>
    </w:p>
    <w:p>
      <w:pPr>
        <w:pStyle w:val="BodyText"/>
      </w:pPr>
      <w:r>
        <w:t>Request:</w:t>
      </w:r>
    </w:p>
    <w:p>
      <w:pPr>
        <w:pStyle w:val="CodeBlock"/>
      </w:pPr>
      <w:r>
        <w:t>"POST https"://host/cloudapi/1.0.0/interfaces/&lt;interface_id&gt;/behaviors{
   "name":"webhookBehavior",
   "execution":{
      "type":"WebHook",
      "id":"testWebHook",
      "href":"https://hooks.slack.com:443/services/T07UZFN0N/B01EW5NC42D/rfjhHCGIwzuzQFrpPZiuLkIX",
      "key":"secretKey",
      "execution_properties":{
         "template":{
            "content":"&lt;template_content_string&gt;"
         },
         "_secure_token":"secureToken",
         "invocation_timeout":7
      }
   }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2"/>
        <w:gridCol w:w="769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Field</w:t>
            </w:r>
          </w:p>
        </w:tc>
        <w:tc>
          <w:tcPr>
            <w:tcBorders>
              <w:left w:val="nil"/>
              <w:right w:val="nil"/>
            </w:tcBorders>
            <w:shd w:val="clear" w:color="auto" w:fill="E1E1E1"/>
            <w:tcMar>
              <w:top w:w="60" w:type="dxa"/>
              <w:bottom w:w="60" w:type="dxa"/>
            </w:tcMar>
          </w:tcPr>
          <w:p>
            <w:pPr>
              <w:pStyle w:val="TableHeaderText"/>
            </w:pPr>
            <w:r>
              <w:t>Desciption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type</w:t>
            </w:r>
          </w:p>
        </w:tc>
        <w:tc>
          <w:tcPr>
            <w:tcBorders>
              <w:left w:val="nil"/>
              <w:right w:val="nil"/>
            </w:tcBorders>
          </w:tcPr>
          <w:p>
            <w:pPr>
              <w:pStyle w:val="TableBodyText"/>
            </w:pPr>
            <w:r>
              <w:t xml:space="preserve">Required field. Must be </w:t>
            </w:r>
            <w:r>
              <w:rPr>
                <w:rStyle w:val="InlineCode"/>
              </w:rPr>
              <w:t>WebHook</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id</w:t>
            </w:r>
          </w:p>
        </w:tc>
        <w:tc>
          <w:tcPr>
            <w:tcBorders>
              <w:left w:val="nil"/>
              <w:right w:val="nil"/>
            </w:tcBorders>
          </w:tcPr>
          <w:p>
            <w:pPr>
              <w:pStyle w:val="TableBodyText"/>
            </w:pPr>
            <w:r>
              <w:t>Optional string field.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href</w:t>
            </w:r>
          </w:p>
        </w:tc>
        <w:tc>
          <w:tcPr>
            <w:tcBorders>
              <w:left w:val="nil"/>
              <w:right w:val="nil"/>
            </w:tcBorders>
          </w:tcPr>
          <w:p>
            <w:pPr>
              <w:pStyle w:val="TableBodyText"/>
            </w:pPr>
            <w:r>
              <w:t xml:space="preserve">Required field for the URL that must receive requests from </w:t>
            </w:r>
            <w:r>
              <w:t>VCF Automation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_internal_key</w:t>
            </w:r>
          </w:p>
        </w:tc>
        <w:tc>
          <w:tcPr>
            <w:tcBorders>
              <w:left w:val="nil"/>
              <w:right w:val="nil"/>
            </w:tcBorders>
          </w:tcPr>
          <w:p>
            <w:pPr>
              <w:pStyle w:val="TableBodyText"/>
            </w:pPr>
            <w:r>
              <w:t>Required field for the shared secret used for signing the requests sent to the webhook endpoint.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invocation_timeout</w:t>
            </w:r>
          </w:p>
        </w:tc>
        <w:tc>
          <w:tcPr>
            <w:tcBorders>
              <w:left w:val="nil"/>
              <w:right w:val="nil"/>
            </w:tcBorders>
          </w:tcPr>
          <w:p>
            <w:pPr>
              <w:pStyle w:val="TableBodyText"/>
            </w:pPr>
            <w:r>
              <w:t>Optional field specifying the timeout in seconds for the response from the webhook server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template.content</w:t>
            </w:r>
          </w:p>
        </w:tc>
        <w:tc>
          <w:tcPr>
            <w:tcBorders>
              <w:left w:val="nil"/>
              <w:right w:val="nil"/>
            </w:tcBorders>
          </w:tcPr>
          <w:p>
            <w:pPr>
              <w:pStyle w:val="TableBodyText"/>
            </w:pPr>
            <w:r>
              <w:t xml:space="preserve">Optional field for customization of the payload sent to the webhook server. You can provide a template as a string. You can add other fields to </w:t>
            </w:r>
            <w:r>
              <w:rPr>
                <w:rStyle w:val="InlineCode"/>
              </w:rPr>
              <w:t>execution_properties</w:t>
            </w:r>
            <w:r>
              <w:t>, accessible to the template.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_secure_</w:t>
            </w:r>
          </w:p>
        </w:tc>
        <w:tc>
          <w:tcPr>
            <w:tcBorders>
              <w:left w:val="nil"/>
              <w:right w:val="nil"/>
            </w:tcBorders>
          </w:tcPr>
          <w:p>
            <w:pPr>
              <w:pStyle w:val="TableBodyText"/>
            </w:pPr>
            <w:r>
              <w:t xml:space="preserve">Fields with prefix </w:t>
            </w:r>
            <w:r>
              <w:rPr>
                <w:rStyle w:val="InlineCode"/>
              </w:rPr>
              <w:t>_secure_</w:t>
            </w:r>
            <w:r>
              <w:t xml:space="preserve"> are optional. The fields are write-only and cannot be obtained through a GET request on the behavior. The field value gets encrypted before it is saved to the </w:t>
            </w:r>
            <w:r>
              <w:t>VCF Automation</w:t>
            </w:r>
            <w:r>
              <w:t xml:space="preserve"> database. The fields are accessible to the template.</w:t>
            </w:r>
          </w:p>
        </w:tc>
      </w:tr>
    </w:tbl>
    <w:p>
      <w:pPr>
        <w:pStyle w:val="SectionHeading3"/>
        <w:spacing w:before="320"/>
      </w:pPr>
      <w:bookmarkStart w:id="224" w:name="_Toc256000602"/>
      <w:r>
        <w:t>Payload From VCF Automation to the Webhook Server</w:t>
      </w:r>
      <w:bookmarkEnd w:id="224"/>
    </w:p>
    <w:p>
      <w:pPr>
        <w:pStyle w:val="BodyText"/>
      </w:pPr>
      <w:r>
        <w:t>There is a default format of the payload sent to the webhook server. You can also customize the payload by using a template.</w:t>
      </w:r>
    </w:p>
    <w:p>
      <w:pPr>
        <w:pStyle w:val="BodyText"/>
      </w:pPr>
      <w:r>
        <w:t>Default payload example:</w:t>
      </w:r>
    </w:p>
    <w:p>
      <w:pPr>
        <w:pStyle w:val="CodeBlock"/>
      </w:pPr>
      <w:r>
        <w:t>{
   "entityId":"urn:vcloud:entity:vmware:test_entity_type:b95d96ec-c294-4a64-b5c4-9009abe6ab06",
   "typeId":"urn:vcloud:type:vmware:test_entity_type:1.0.0",
   "arguments":{
      "x":7
   },
   "_metadata":{
      "executionId":"testWebHook",
      "execution":{
         "href":"https://webhook.site/3ca4588f-c9f1-4c0f-911f-734ab598b2dc"
      },
      "invocation":{
      },
      "apiVersion":"36.0",
      "behaviorId":"urn:vcloud:behavior-interface:webhookBehavior:vmware:test_interface_3:1.0.0",
      "requestId":"8312df21-712c-4b85-86d4-c9b00669662f",
      "executionType":"WebHook",
      "invocationId":"115c5b99-09e8-44f7-8189-4b9d96e067b1",
      "taskId":"a9e0556b-7699-4ded-b56b-c51fee659008"
   },
   "entity":{
      "cluster":{
         "name":"testCluster0"
      },
      "clusterState":{
         "host":"testHost",
         "status":"valid"
      }
   }
}</w:t>
      </w:r>
    </w:p>
    <w:p>
      <w:pPr>
        <w:pStyle w:val="BodyText"/>
      </w:pPr>
      <w:r>
        <w:t xml:space="preserve">For custom payloads with a template, you can specify a template for the payload sent to the webhook server. If you do not specify a template, </w:t>
      </w:r>
      <w:r>
        <w:t>VCF Automation</w:t>
      </w:r>
      <w:r>
        <w:t xml:space="preserve"> sends the default request payload to the webhook server. The </w:t>
      </w:r>
      <w:hyperlink r:id="rId28" w:tooltip="Apache FreeMarker" w:history="1">
        <w:r>
          <w:rPr>
            <w:color w:val="0000FF"/>
            <w:u w:val="single"/>
          </w:rPr>
          <w:t>Apache FreeMarker</w:t>
        </w:r>
      </w:hyperlink>
      <w:r>
        <w:t xml:space="preserve"> template engine renders the payload from the provided template and the data model.</w:t>
      </w:r>
    </w:p>
    <w:p>
      <w:pPr>
        <w:pStyle w:val="BodyText"/>
      </w:pPr>
      <w:r>
        <w:t>The data model represents all the data prepared for the template, in other words, all the data that you can include in the payload. The data model contains the invocation arguments of the webhook behavior, for example, arguments, metadata, execution properties, and entity information. The following example shows the tree-like structure of the data model.</w:t>
      </w:r>
    </w:p>
    <w:p>
      <w:pPr>
        <w:pStyle w:val="CodeBlock"/>
      </w:pPr>
      <w:r>
        <w:t>+ - entityId 
|
+ - typeId 
|   
+ - arguments
|  
+ - arguments_string 
|
+ - _execution_properties 
|                      
+ - _metadata
|   |
|   + - executionId
|   + - behaviorId
|   + - executionType
|   + - taskId
|   + - execution 
|   |   |
|   |   + - href
|   + - invocation 
|   + - invocationId
|   + - requestId
|   + - apiVersion
|  
+ - entity 
|
+ - entity_string</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w:t>
      </w:r>
      <w:r>
        <w:fldChar w:fldCharType="end"/>
      </w:r>
      <w:r>
        <w:t>. Invocation arguments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86"/>
        <w:gridCol w:w="737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Argument</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entityId</w:t>
            </w:r>
          </w:p>
        </w:tc>
        <w:tc>
          <w:tcPr>
            <w:tcBorders>
              <w:left w:val="nil"/>
              <w:right w:val="nil"/>
            </w:tcBorders>
          </w:tcPr>
          <w:p>
            <w:pPr>
              <w:pStyle w:val="TableBodyText"/>
            </w:pPr>
            <w:r>
              <w:t>ID of the invoked defined entity.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typeId</w:t>
            </w:r>
          </w:p>
        </w:tc>
        <w:tc>
          <w:tcPr>
            <w:tcBorders>
              <w:left w:val="nil"/>
              <w:right w:val="nil"/>
            </w:tcBorders>
          </w:tcPr>
          <w:p>
            <w:pPr>
              <w:pStyle w:val="TableBodyText"/>
            </w:pPr>
            <w:r>
              <w:t>ID of the entity type of the invoked defined entity.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arguments</w:t>
            </w:r>
          </w:p>
        </w:tc>
        <w:tc>
          <w:tcPr>
            <w:tcBorders>
              <w:left w:val="nil"/>
              <w:right w:val="nil"/>
            </w:tcBorders>
          </w:tcPr>
          <w:p>
            <w:pPr>
              <w:pStyle w:val="TableBodyText"/>
            </w:pPr>
            <w:r>
              <w:t>The arguments passed in the behavior invocation.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arguments_string</w:t>
            </w:r>
          </w:p>
        </w:tc>
        <w:tc>
          <w:tcPr>
            <w:tcBorders>
              <w:left w:val="nil"/>
              <w:right w:val="nil"/>
            </w:tcBorders>
          </w:tcPr>
          <w:p>
            <w:pPr>
              <w:pStyle w:val="TableBodyText"/>
            </w:pPr>
            <w:r>
              <w:t>A JSON format string of arguments. You can use it if you want to add all the arguments to the payload.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_execution_properties</w:t>
            </w:r>
          </w:p>
        </w:tc>
        <w:tc>
          <w:tcPr>
            <w:tcBorders>
              <w:left w:val="nil"/>
              <w:right w:val="nil"/>
            </w:tcBorders>
          </w:tcPr>
          <w:p>
            <w:pPr>
              <w:pStyle w:val="TableBodyText"/>
            </w:pPr>
            <w:r>
              <w:t xml:space="preserve">You can select all the values from the </w:t>
            </w:r>
            <w:r>
              <w:rPr>
                <w:rStyle w:val="InlineCode"/>
              </w:rPr>
              <w:t>execution_properties</w:t>
            </w:r>
            <w:r>
              <w:t xml:space="preserve"> invocation argument by key name.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execution</w:t>
            </w:r>
          </w:p>
        </w:tc>
        <w:tc>
          <w:tcPr>
            <w:tcBorders>
              <w:left w:val="nil"/>
              <w:right w:val="nil"/>
            </w:tcBorders>
          </w:tcPr>
          <w:p>
            <w:pPr>
              <w:pStyle w:val="TableBodyText"/>
            </w:pPr>
            <w:r>
              <w:t xml:space="preserve">You can select all the values from the </w:t>
            </w:r>
            <w:r>
              <w:rPr>
                <w:rStyle w:val="InlineCode"/>
              </w:rPr>
              <w:t>execution</w:t>
            </w:r>
            <w:r>
              <w:t xml:space="preserve"> invocation argument by key name.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invocation</w:t>
            </w:r>
          </w:p>
        </w:tc>
        <w:tc>
          <w:tcPr>
            <w:tcBorders>
              <w:left w:val="nil"/>
              <w:right w:val="nil"/>
            </w:tcBorders>
          </w:tcPr>
          <w:p>
            <w:pPr>
              <w:pStyle w:val="TableBodyText"/>
            </w:pPr>
            <w:r>
              <w:t xml:space="preserve">You can select all the values from the </w:t>
            </w:r>
            <w:r>
              <w:rPr>
                <w:rStyle w:val="InlineCode"/>
              </w:rPr>
              <w:t>invocation</w:t>
            </w:r>
            <w:r>
              <w:t xml:space="preserve"> argument by key name.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entity</w:t>
            </w:r>
          </w:p>
        </w:tc>
        <w:tc>
          <w:tcPr>
            <w:tcBorders>
              <w:left w:val="nil"/>
              <w:right w:val="nil"/>
            </w:tcBorders>
          </w:tcPr>
          <w:p>
            <w:pPr>
              <w:pStyle w:val="TableBodyText"/>
            </w:pPr>
            <w:r>
              <w:t>A map of the entity content. You can select all values in the entity by key name.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entity_string</w:t>
            </w:r>
          </w:p>
        </w:tc>
        <w:tc>
          <w:tcPr>
            <w:tcBorders>
              <w:left w:val="nil"/>
              <w:right w:val="nil"/>
            </w:tcBorders>
          </w:tcPr>
          <w:p>
            <w:pPr>
              <w:pStyle w:val="TableBodyText"/>
            </w:pPr>
            <w:r>
              <w:t>A JSON format string of entity.</w:t>
            </w:r>
          </w:p>
        </w:tc>
      </w:tr>
    </w:tbl>
    <w:p>
      <w:pPr>
        <w:pStyle w:val="BodyText"/>
        <w:spacing w:before="240"/>
      </w:pPr>
      <w:r>
        <w:t xml:space="preserve">For more information on the Apache FreeMarker expression language for the template for the payload, see </w:t>
      </w:r>
      <w:hyperlink r:id="rId29" w:tooltip="https://freemarker.apache.org/docs/dgui_quickstart_template.html" w:history="1">
        <w:r>
          <w:rPr>
            <w:color w:val="0000FF"/>
            <w:u w:val="single"/>
          </w:rPr>
          <w:t>https://freemarker.apache.org/docs/dgui_quickstart_template.html</w:t>
        </w:r>
      </w:hyperlink>
      <w:r>
        <w:t>.</w:t>
      </w:r>
    </w:p>
    <w:p>
      <w:pPr>
        <w:pStyle w:val="BodyText"/>
      </w:pPr>
      <w:r>
        <w:t>Sample template:</w:t>
      </w:r>
    </w:p>
    <w:p>
      <w:pPr>
        <w:pStyle w:val="CodeBlock"/>
      </w:pPr>
      <w:r>
        <w:t>&lt;#assign header_Content\-Type= "application/json" /&gt;
{
"text": "Behavior with id ${_metadata.behaviorId} was executed on entity with id ${</w:t>
      </w:r>
      <w:r>
        <w:rPr>
          <w:rStyle w:val="InlineVar"/>
        </w:rPr>
        <w:t>entityId</w:t>
      </w:r>
      <w:r>
        <w:t>}"   
}</w:t>
      </w:r>
    </w:p>
    <w:p>
      <w:pPr>
        <w:pStyle w:val="BodyText"/>
      </w:pPr>
      <w:r>
        <w:t xml:space="preserve">You can specify custom headers that you want to add to the POST request sent to the webhook servers. You can use the webhook template for adding custom headers which are variables in the template with the prefix </w:t>
      </w:r>
      <w:r>
        <w:rPr>
          <w:rStyle w:val="InlineCode"/>
        </w:rPr>
        <w:t>header_</w:t>
      </w:r>
      <w:r>
        <w:t xml:space="preserve">. For example, you can specify the value for the </w:t>
      </w:r>
      <w:r>
        <w:rPr>
          <w:rStyle w:val="InlineCode"/>
        </w:rPr>
        <w:t>Authorization</w:t>
      </w:r>
      <w:r>
        <w:t xml:space="preserve"> header by adding the following line to the template:</w:t>
      </w:r>
    </w:p>
    <w:p>
      <w:pPr>
        <w:pStyle w:val="CodeBlock"/>
      </w:pPr>
      <w:r>
        <w:t>&lt;#assign header_Authorization = "${_execution_properties._secure_token}" /&gt;</w:t>
      </w:r>
    </w:p>
    <w:p>
      <w:pPr>
        <w:pStyle w:val="SectionHeading3"/>
      </w:pPr>
      <w:bookmarkStart w:id="225" w:name="_Toc256000603"/>
      <w:r>
        <w:t>Payload From the Webhook Server to VCF Automation</w:t>
      </w:r>
      <w:bookmarkEnd w:id="225"/>
    </w:p>
    <w:p>
      <w:pPr>
        <w:pStyle w:val="BodyText"/>
        <w:numPr>
          <w:numId w:val="176"/>
        </w:numPr>
      </w:pPr>
      <w:r>
        <w:t>Default response</w:t>
      </w:r>
    </w:p>
    <w:p>
      <w:pPr>
        <w:pStyle w:val="BodyText"/>
        <w:ind w:left="480"/>
      </w:pPr>
      <w:r>
        <w:t xml:space="preserve">The default payload from the webhook server to </w:t>
      </w:r>
      <w:r>
        <w:t>VCF Automation</w:t>
      </w:r>
      <w:r>
        <w:t xml:space="preserve"> must contain the following.</w:t>
      </w:r>
    </w:p>
    <w:p>
      <w:pPr>
        <w:pStyle w:val="BodyText"/>
        <w:numPr>
          <w:ilvl w:val="1"/>
          <w:numId w:val="176"/>
        </w:numPr>
      </w:pPr>
      <w:r>
        <w:t xml:space="preserve">The response can either have no </w:t>
      </w:r>
      <w:r>
        <w:rPr>
          <w:rStyle w:val="InlineCode"/>
        </w:rPr>
        <w:t>Content-Type</w:t>
      </w:r>
      <w:r>
        <w:t xml:space="preserve"> header or a </w:t>
      </w:r>
      <w:r>
        <w:rPr>
          <w:rStyle w:val="InlineCode"/>
        </w:rPr>
        <w:t>Content-Type</w:t>
      </w:r>
      <w:r>
        <w:t xml:space="preserve"> header with </w:t>
      </w:r>
      <w:r>
        <w:rPr>
          <w:rStyle w:val="InlineCode"/>
        </w:rPr>
        <w:t>text/plain</w:t>
      </w:r>
      <w:r>
        <w:t xml:space="preserve"> value.</w:t>
      </w:r>
    </w:p>
    <w:p>
      <w:pPr>
        <w:pStyle w:val="BodyText"/>
        <w:numPr>
          <w:ilvl w:val="1"/>
          <w:numId w:val="176"/>
        </w:numPr>
      </w:pPr>
      <w:r>
        <w:t>The response body must be a string.</w:t>
      </w:r>
    </w:p>
    <w:p>
      <w:pPr>
        <w:pStyle w:val="BodyText"/>
        <w:numPr>
          <w:ilvl w:val="1"/>
          <w:numId w:val="176"/>
        </w:numPr>
      </w:pPr>
      <w:r>
        <w:t xml:space="preserve">The body of the response is used as the result of the behavior invocation. The status for the behavior invocation task is </w:t>
      </w:r>
      <w:r>
        <w:rPr>
          <w:rStyle w:val="InlineCode"/>
        </w:rPr>
        <w:t>success</w:t>
      </w:r>
      <w:r>
        <w:t>. The task result is set to the body of the response.</w:t>
      </w:r>
    </w:p>
    <w:p>
      <w:pPr>
        <w:pStyle w:val="BodyText"/>
        <w:numPr>
          <w:numId w:val="176"/>
        </w:numPr>
      </w:pPr>
      <w:r>
        <w:t>Single task update response</w:t>
      </w:r>
    </w:p>
    <w:p>
      <w:pPr>
        <w:pStyle w:val="BodyText"/>
        <w:ind w:left="480"/>
      </w:pPr>
      <w:r>
        <w:t xml:space="preserve">Apart from the behavior result, the task update response can set some other behavior invocation task properties like </w:t>
      </w:r>
      <w:r>
        <w:rPr>
          <w:rStyle w:val="InlineCode"/>
        </w:rPr>
        <w:t>status</w:t>
      </w:r>
      <w:r>
        <w:t xml:space="preserve">, </w:t>
      </w:r>
      <w:r>
        <w:rPr>
          <w:rStyle w:val="InlineCode"/>
        </w:rPr>
        <w:t>details</w:t>
      </w:r>
      <w:r>
        <w:t xml:space="preserve">, </w:t>
      </w:r>
      <w:r>
        <w:rPr>
          <w:rStyle w:val="InlineCode"/>
        </w:rPr>
        <w:t>operation</w:t>
      </w:r>
      <w:r>
        <w:t xml:space="preserve">, </w:t>
      </w:r>
      <w:r>
        <w:rPr>
          <w:rStyle w:val="InlineCode"/>
        </w:rPr>
        <w:t>error</w:t>
      </w:r>
      <w:r>
        <w:t xml:space="preserve">, </w:t>
      </w:r>
      <w:r>
        <w:rPr>
          <w:rStyle w:val="InlineCode"/>
        </w:rPr>
        <w:t>progress</w:t>
      </w:r>
      <w:r>
        <w:t xml:space="preserve">, and </w:t>
      </w:r>
      <w:r>
        <w:rPr>
          <w:rStyle w:val="InlineCode"/>
        </w:rPr>
        <w:t>result</w:t>
      </w:r>
      <w:r>
        <w:t xml:space="preserve">. Because this is a one-time task update, the response must complete the task. If the response does not set the task status to </w:t>
      </w:r>
      <w:r>
        <w:rPr>
          <w:rStyle w:val="InlineCode"/>
        </w:rPr>
        <w:t>success</w:t>
      </w:r>
      <w:r>
        <w:t xml:space="preserve">, </w:t>
      </w:r>
      <w:r>
        <w:rPr>
          <w:rStyle w:val="InlineCode"/>
        </w:rPr>
        <w:t>error</w:t>
      </w:r>
      <w:r>
        <w:t xml:space="preserve">, or </w:t>
      </w:r>
      <w:r>
        <w:rPr>
          <w:rStyle w:val="InlineCode"/>
        </w:rPr>
        <w:t>aborted</w:t>
      </w:r>
      <w:r>
        <w:t>, then the task fails with an error. The error message indicates that the status was not acceptable.</w:t>
      </w:r>
    </w:p>
    <w:p>
      <w:pPr>
        <w:pStyle w:val="BodyText"/>
        <w:numPr>
          <w:ilvl w:val="1"/>
          <w:numId w:val="176"/>
        </w:numPr>
      </w:pPr>
      <w:r>
        <w:t xml:space="preserve">The response must have a </w:t>
      </w:r>
      <w:r>
        <w:rPr>
          <w:rStyle w:val="InlineCode"/>
        </w:rPr>
        <w:t>Content-Type</w:t>
      </w:r>
      <w:r>
        <w:t xml:space="preserve"> header with </w:t>
      </w:r>
      <w:r>
        <w:rPr>
          <w:rStyle w:val="InlineCode"/>
        </w:rPr>
        <w:t>application/vnd.vmware.vcloud.task+json</w:t>
      </w:r>
      <w:r>
        <w:t xml:space="preserve"> value.</w:t>
      </w:r>
    </w:p>
    <w:p>
      <w:pPr>
        <w:pStyle w:val="BodyText"/>
        <w:numPr>
          <w:ilvl w:val="1"/>
          <w:numId w:val="176"/>
        </w:numPr>
      </w:pPr>
      <w:r>
        <w:t xml:space="preserve">The response body must contain a JSON representation of the </w:t>
      </w:r>
      <w:r>
        <w:rPr>
          <w:rStyle w:val="InlineCode"/>
        </w:rPr>
        <w:t>TaskType</w:t>
      </w:r>
      <w:r>
        <w:t xml:space="preserve"> class containing the task properties you want to modify.</w:t>
      </w:r>
    </w:p>
    <w:p>
      <w:pPr>
        <w:pStyle w:val="BodyText"/>
        <w:numPr>
          <w:ilvl w:val="1"/>
          <w:numId w:val="176"/>
        </w:numPr>
      </w:pPr>
      <w:r>
        <w:t xml:space="preserve">Sample response body with status </w:t>
      </w:r>
      <w:r>
        <w:rPr>
          <w:rStyle w:val="InlineCode"/>
        </w:rPr>
        <w:t>success</w:t>
      </w:r>
      <w:r>
        <w:t>:</w:t>
      </w:r>
    </w:p>
    <w:p>
      <w:pPr>
        <w:pStyle w:val="CodeBlock"/>
        <w:ind w:left="960"/>
      </w:pPr>
      <w:r>
        <w:t>{
   "status":"success",
   "details":"example details",
   "operation":"example operation",
   "progress":100,
   "result":{
      "resultContent":"example result"
   }
}</w:t>
      </w:r>
    </w:p>
    <w:p>
      <w:pPr>
        <w:pStyle w:val="BodyText"/>
        <w:numPr>
          <w:ilvl w:val="1"/>
          <w:numId w:val="176"/>
        </w:numPr>
      </w:pPr>
      <w:r>
        <w:t xml:space="preserve">Sample response body with status </w:t>
      </w:r>
      <w:r>
        <w:rPr>
          <w:rStyle w:val="InlineCode"/>
        </w:rPr>
        <w:t>error</w:t>
      </w:r>
      <w:r>
        <w:t>:</w:t>
      </w:r>
    </w:p>
    <w:p>
      <w:pPr>
        <w:pStyle w:val="CodeBlock"/>
        <w:ind w:left="960"/>
      </w:pPr>
      <w:r>
        <w:t>{
   "status":"error",
   "details":"example details",
   "operation":"example operation",
   "progress":50,
   "error":{
      "majorErrorCode":404,
      "minorErrorCode":"ERROR",
      "message":"example error message"
   }
}</w:t>
      </w:r>
    </w:p>
    <w:p>
      <w:pPr>
        <w:pStyle w:val="BodyText"/>
        <w:numPr>
          <w:numId w:val="176"/>
        </w:numPr>
      </w:pPr>
      <w:r>
        <w:t>Continuous task update response</w:t>
      </w:r>
    </w:p>
    <w:p>
      <w:pPr>
        <w:pStyle w:val="BodyText"/>
        <w:ind w:left="480"/>
      </w:pPr>
      <w:r>
        <w:t>The webhook server can send multiple task updates by using a multi-part HTTP response. Each update is a separate body part of the response body. The last body part of the webhook server response body must finish the task. If the response body does not finish the task, the task fails with an error.</w:t>
      </w:r>
    </w:p>
    <w:p>
      <w:pPr>
        <w:pStyle w:val="BodyText"/>
        <w:numPr>
          <w:ilvl w:val="1"/>
          <w:numId w:val="176"/>
        </w:numPr>
      </w:pPr>
      <w:r>
        <w:t xml:space="preserve">The response must have a </w:t>
      </w:r>
      <w:r>
        <w:rPr>
          <w:rStyle w:val="InlineCode"/>
        </w:rPr>
        <w:t>Content-Type</w:t>
      </w:r>
      <w:r>
        <w:t xml:space="preserve"> header with </w:t>
      </w:r>
      <w:r>
        <w:rPr>
          <w:rStyle w:val="InlineCode"/>
        </w:rPr>
        <w:t>multipart/form-data; boundary=...</w:t>
      </w:r>
      <w:r>
        <w:t xml:space="preserve"> value.</w:t>
      </w:r>
    </w:p>
    <w:p>
      <w:pPr>
        <w:pStyle w:val="BodyText"/>
        <w:numPr>
          <w:ilvl w:val="1"/>
          <w:numId w:val="176"/>
        </w:numPr>
      </w:pPr>
      <w:r>
        <w:t xml:space="preserve">The response body must start and end with a boundary string </w:t>
      </w:r>
      <w:r>
        <w:rPr>
          <w:rStyle w:val="InlineCode"/>
        </w:rPr>
        <w:t>--</w:t>
      </w:r>
      <w:r>
        <w:rPr>
          <w:rStyle w:val="InlineVar"/>
        </w:rPr>
        <w:t>&lt;boundary_string&gt;</w:t>
      </w:r>
      <w:r>
        <w:t>. Each part of the response body must end in a boundary string. You must specify the boundary in the</w:t>
      </w:r>
      <w:r>
        <w:rPr>
          <w:rStyle w:val="InlineCode"/>
        </w:rPr>
        <w:t xml:space="preserve"> Content-Type</w:t>
      </w:r>
      <w:r>
        <w:t xml:space="preserve"> header of the HTTP response from the webhook server.</w:t>
      </w:r>
    </w:p>
    <w:p>
      <w:pPr>
        <w:pStyle w:val="CodeBlock"/>
        <w:ind w:left="960"/>
      </w:pPr>
      <w:r>
        <w:t>Headers:
...
Content-Type: multipart/form-data; boundary=</w:t>
      </w:r>
      <w:r>
        <w:rPr>
          <w:rStyle w:val="InlineVar"/>
        </w:rPr>
        <w:t>&lt;boundary_string&gt;</w:t>
      </w:r>
      <w:r>
        <w:t>
Body: 
--</w:t>
      </w:r>
      <w:r>
        <w:rPr>
          <w:rStyle w:val="InlineVar"/>
        </w:rPr>
        <w:t>&lt;boundary_string&gt;</w:t>
      </w:r>
      <w:r>
        <w:t>
Content-Type: application/vnd.vmware.vcloud.task+json
{                             
"details": "</w:t>
      </w:r>
      <w:r>
        <w:rPr>
          <w:rStyle w:val="InlineVar"/>
        </w:rPr>
        <w:t>example details</w:t>
      </w:r>
      <w:r>
        <w:t>",                      
"operation": "</w:t>
      </w:r>
      <w:r>
        <w:rPr>
          <w:rStyle w:val="InlineVar"/>
        </w:rPr>
        <w:t>example operation</w:t>
      </w:r>
      <w:r>
        <w:t>",
"progress": 50
}
--</w:t>
      </w:r>
      <w:r>
        <w:rPr>
          <w:rStyle w:val="InlineVar"/>
        </w:rPr>
        <w:t>&lt;boundary_string&gt;</w:t>
      </w:r>
      <w:r>
        <w:t>
Content-Type: application/vnd.vmware.vcloud.task+json
{
"status": "success",
"progress": 100,
"result": {
"resultContent": "</w:t>
      </w:r>
      <w:r>
        <w:rPr>
          <w:rStyle w:val="InlineVar"/>
        </w:rPr>
        <w:t>example result</w:t>
      </w:r>
      <w:r>
        <w:t>"
}
}
--</w:t>
      </w:r>
      <w:r>
        <w:rPr>
          <w:rStyle w:val="InlineVar"/>
        </w:rPr>
        <w:t>&lt;boundary_string&gt;</w:t>
      </w:r>
    </w:p>
    <w:p>
      <w:pPr>
        <w:pStyle w:val="BodyText"/>
        <w:ind w:left="480"/>
      </w:pPr>
      <w:r>
        <w:t>The body parts in the response body must be in the format for a task update or the format for a final update.</w:t>
      </w:r>
    </w:p>
    <w:p>
      <w:pPr>
        <w:pStyle w:val="BodyText"/>
        <w:ind w:left="480"/>
      </w:pPr>
      <w:r>
        <w:t>Task update example:</w:t>
      </w:r>
    </w:p>
    <w:p>
      <w:pPr>
        <w:pStyle w:val="CodeBlock"/>
        <w:ind w:left="480"/>
      </w:pPr>
      <w:r>
        <w:t>Content-Type: application/vnd.vmware.vcloud.task+json
{
"details": "</w:t>
      </w:r>
      <w:r>
        <w:rPr>
          <w:rStyle w:val="InlineVar"/>
        </w:rPr>
        <w:t>example details</w:t>
      </w:r>
      <w:r>
        <w:t>",
"operation": "</w:t>
      </w:r>
      <w:r>
        <w:rPr>
          <w:rStyle w:val="InlineVar"/>
        </w:rPr>
        <w:t>example operation</w:t>
      </w:r>
      <w:r>
        <w:t>",
"progress": 50
}</w:t>
      </w:r>
    </w:p>
    <w:p>
      <w:pPr>
        <w:pStyle w:val="BodyText"/>
        <w:ind w:left="480"/>
      </w:pPr>
      <w:r>
        <w:t>Final update example:</w:t>
      </w:r>
    </w:p>
    <w:p>
      <w:pPr>
        <w:pStyle w:val="CodeBlock"/>
        <w:ind w:left="480"/>
      </w:pPr>
      <w:r>
        <w:t>Content-Type: text/plain
</w:t>
      </w:r>
      <w:r>
        <w:rPr>
          <w:rStyle w:val="InlineVar"/>
        </w:rPr>
        <w:t>&lt;string&gt;</w:t>
      </w:r>
    </w:p>
    <w:p>
      <w:pPr>
        <w:pStyle w:val="SectionHeading3"/>
      </w:pPr>
      <w:bookmarkStart w:id="226" w:name="_Toc256000604"/>
      <w:r>
        <w:t>Authentication of the Webhook Behavior Requests</w:t>
      </w:r>
      <w:bookmarkEnd w:id="226"/>
    </w:p>
    <w:p>
      <w:pPr>
        <w:pStyle w:val="BodyText"/>
      </w:pPr>
      <w:r>
        <w:t xml:space="preserve">Hash-based message authentication code (HMAC) authentication secures webhook behavior requests. HMAC is a mechanism ensuring the authenticity and integrity of HTTP requests. To ensure the authenticity and integrity, HMAC includes two custom headers to each HTTP request. The custom headers are a signature header and a digest. For </w:t>
      </w:r>
      <w:r>
        <w:t>VCF Automation</w:t>
      </w:r>
      <w:r>
        <w:t xml:space="preserve">, the signature header is </w:t>
      </w:r>
      <w:r>
        <w:rPr>
          <w:rStyle w:val="InlineCode"/>
        </w:rPr>
        <w:t>x-vcloud-signature</w:t>
      </w:r>
      <w:r>
        <w:t xml:space="preserve"> and the digest is </w:t>
      </w:r>
      <w:r>
        <w:rPr>
          <w:rStyle w:val="InlineCode"/>
        </w:rPr>
        <w:t>x-vcloud-digest</w:t>
      </w:r>
      <w:r>
        <w:t>.</w:t>
      </w:r>
    </w:p>
    <w:p>
      <w:pPr>
        <w:pStyle w:val="BodyText"/>
      </w:pPr>
      <w:r>
        <w:t xml:space="preserve">The signature header </w:t>
      </w:r>
      <w:r>
        <w:rPr>
          <w:rStyle w:val="InlineCode"/>
        </w:rPr>
        <w:t>x-vcloud-signature</w:t>
      </w:r>
      <w:r>
        <w:t xml:space="preserve"> is a custom header sent with each webhook request. The signature header consists of an HMACSHA512 algorithm, headers, and a </w:t>
      </w:r>
      <w:r>
        <w:t>VCF Automation</w:t>
      </w:r>
      <w:r>
        <w:t xml:space="preserve"> generated signature. The headers show what is in the base string which is signed to create the signature.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w:t>
      </w:r>
      <w:r>
        <w:fldChar w:fldCharType="end"/>
      </w:r>
      <w:r>
        <w:t>. Header Fields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05"/>
        <w:gridCol w:w="805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Field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host</w:t>
            </w:r>
          </w:p>
        </w:tc>
        <w:tc>
          <w:tcPr>
            <w:tcBorders>
              <w:left w:val="nil"/>
              <w:right w:val="nil"/>
            </w:tcBorders>
          </w:tcPr>
          <w:p>
            <w:pPr>
              <w:pStyle w:val="TableBodyText"/>
            </w:pPr>
            <w:r>
              <w:t>The webhook server host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date</w:t>
            </w:r>
          </w:p>
        </w:tc>
        <w:tc>
          <w:tcPr>
            <w:tcBorders>
              <w:left w:val="nil"/>
              <w:right w:val="nil"/>
            </w:tcBorders>
          </w:tcPr>
          <w:p>
            <w:pPr>
              <w:pStyle w:val="TableBodyText"/>
            </w:pPr>
            <w:r>
              <w:t>Date of the request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(request-target)</w:t>
            </w:r>
          </w:p>
        </w:tc>
        <w:tc>
          <w:tcPr>
            <w:tcBorders>
              <w:left w:val="nil"/>
              <w:right w:val="nil"/>
            </w:tcBorders>
          </w:tcPr>
          <w:p>
            <w:pPr>
              <w:pStyle w:val="TableBodyText"/>
            </w:pPr>
            <w:r>
              <w:t xml:space="preserve">Linked lowercase HTTP method, ASCII space, and request path headers. For example, </w:t>
            </w:r>
            <w:r>
              <w:rPr>
                <w:rStyle w:val="InlineCode"/>
              </w:rPr>
              <w:t>post /webhook</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digest</w:t>
            </w:r>
          </w:p>
        </w:tc>
        <w:tc>
          <w:tcPr>
            <w:tcBorders>
              <w:left w:val="nil"/>
              <w:right w:val="nil"/>
            </w:tcBorders>
          </w:tcPr>
          <w:p>
            <w:pPr>
              <w:pStyle w:val="TableBodyText"/>
            </w:pPr>
            <w:r>
              <w:t>SHA-512 digest of the request body</w:t>
            </w:r>
          </w:p>
        </w:tc>
      </w:tr>
    </w:tbl>
    <w:p>
      <w:pPr>
        <w:pStyle w:val="BodyText"/>
        <w:spacing w:before="240"/>
      </w:pPr>
      <w:r>
        <w:t xml:space="preserve">To generate the signature header, you need a shared secret. The shared secret is a string that only </w:t>
      </w:r>
      <w:r>
        <w:t>VCF Automation</w:t>
      </w:r>
      <w:r>
        <w:t xml:space="preserve"> and the webhook server know.</w:t>
      </w:r>
    </w:p>
    <w:p>
      <w:pPr>
        <w:pStyle w:val="BodyText"/>
      </w:pPr>
      <w:r>
        <w:t xml:space="preserve">The digest header </w:t>
      </w:r>
      <w:r>
        <w:rPr>
          <w:rStyle w:val="InlineCode"/>
        </w:rPr>
        <w:t>x-vcloud-digest</w:t>
      </w:r>
      <w:r>
        <w:t xml:space="preserve"> is a Base64-encoded SHA-512 digest of the request body.</w:t>
      </w:r>
    </w:p>
    <w:p>
      <w:pPr>
        <w:pStyle w:val="BodyText"/>
      </w:pPr>
      <w:r>
        <w:t xml:space="preserve">Each webhook request from </w:t>
      </w:r>
      <w:r>
        <w:t>VCF Automation</w:t>
      </w:r>
      <w:r>
        <w:t xml:space="preserve"> can be verified by generating the signature using the shared secret and comparing it to the signature in the signature header from </w:t>
      </w:r>
      <w:r>
        <w:t>VCF Automation</w:t>
      </w:r>
      <w:r>
        <w:t>.</w:t>
      </w:r>
    </w:p>
    <w:p>
      <w:pPr>
        <w:pStyle w:val="SectionHeading3"/>
      </w:pPr>
      <w:bookmarkStart w:id="227" w:name="_Toc256000605"/>
      <w:r>
        <w:t>Invoking Webhook Behaviors</w:t>
      </w:r>
      <w:bookmarkEnd w:id="227"/>
    </w:p>
    <w:p>
      <w:pPr>
        <w:pStyle w:val="BodyText"/>
      </w:pPr>
      <w:r>
        <w:t>You can invoke webhook behaviors like any other behavior.</w:t>
      </w:r>
    </w:p>
    <w:p>
      <w:pPr>
        <w:pStyle w:val="CodeBlock"/>
      </w:pPr>
      <w:r>
        <w:t>{
"arguments": {
"argument1": "data1",
"argument2": "data2",
...
 }
}</w:t>
      </w:r>
    </w:p>
    <w:p>
      <w:pPr>
        <w:pStyle w:val="Heading2"/>
      </w:pPr>
      <w:bookmarkStart w:id="228" w:name="_Toc256000606"/>
      <w:r>
        <w:t>Change a Service Category Using Your VCF Automation</w:t>
      </w:r>
      <w:bookmarkEnd w:id="228"/>
    </w:p>
    <w:p>
      <w:pPr>
        <w:pStyle w:val="BodyText"/>
      </w:pPr>
      <w:r>
        <w:t xml:space="preserve">In </w:t>
      </w:r>
      <w:r>
        <w:t>VCF Automation Provider Management Portal</w:t>
      </w:r>
      <w:r>
        <w:t>, you can change the category, to which a service belongs.</w:t>
      </w:r>
    </w:p>
    <w:p>
      <w:pPr>
        <w:pStyle w:val="BodyText"/>
      </w:pPr>
      <w:r>
        <w:rPr>
          <w:rStyle w:val="Strong"/>
        </w:rPr>
        <w:t>Procedure</w:t>
      </w:r>
    </w:p>
    <w:p>
      <w:pPr>
        <w:pStyle w:val="BodyText"/>
        <w:numPr>
          <w:numId w:val="177"/>
        </w:numPr>
      </w:pPr>
      <w:r>
        <w:t xml:space="preserve">From the primary left navigation panel, select </w:t>
      </w:r>
      <w:r>
        <w:rPr>
          <w:rStyle w:val="InlineUI"/>
        </w:rPr>
        <w:t>Libraries</w:t>
      </w:r>
      <w:r>
        <w:t>.</w:t>
      </w:r>
    </w:p>
    <w:p>
      <w:pPr>
        <w:pStyle w:val="BodyText"/>
        <w:numPr>
          <w:ilvl w:val="1"/>
          <w:numId w:val="177"/>
        </w:numPr>
      </w:pPr>
      <w:r>
        <w:t xml:space="preserve">From the secondary left panel, select </w:t>
      </w:r>
      <w:r>
        <w:rPr>
          <w:rStyle w:val="InlineUI"/>
        </w:rPr>
        <w:t>Service Library</w:t>
      </w:r>
      <w:r>
        <w:t>.</w:t>
      </w:r>
    </w:p>
    <w:p>
      <w:pPr>
        <w:pStyle w:val="BodyText"/>
        <w:ind w:left="480"/>
      </w:pPr>
      <w:r>
        <w:t xml:space="preserve">Available services display in a card view of 12 items per page, sorted by names in alphabetical order. Each card indicates that the item is a </w:t>
      </w:r>
      <w:r>
        <w:t>VCF Operations orchestrator</w:t>
      </w:r>
      <w:r>
        <w:t xml:space="preserve"> workflow and shows the name of the service and a tag that corresponds to the service category, in which the workflow is imported.</w:t>
      </w:r>
    </w:p>
    <w:p>
      <w:pPr>
        <w:pStyle w:val="BodyText"/>
        <w:numPr>
          <w:numId w:val="177"/>
        </w:numPr>
      </w:pPr>
      <w:r>
        <w:t xml:space="preserve">In the card of the selected service, select </w:t>
      </w:r>
      <w:r>
        <w:rPr>
          <w:rStyle w:val="InlineUI"/>
        </w:rPr>
        <w:t>Manage</w:t>
      </w:r>
      <w:r>
        <w:rPr>
          <w:rStyle w:val="InlineUI"/>
        </w:rPr>
        <w:t xml:space="preserve"> &gt; </w:t>
      </w:r>
      <w:r>
        <w:rPr>
          <w:rStyle w:val="InlineUI"/>
        </w:rPr>
        <w:t>Change Category</w:t>
      </w:r>
      <w:r>
        <w:t>.</w:t>
      </w:r>
    </w:p>
    <w:p>
      <w:pPr>
        <w:pStyle w:val="BodyText"/>
        <w:ind w:left="480"/>
      </w:pPr>
      <w:r>
        <w:t xml:space="preserve">The </w:t>
      </w:r>
      <w:r>
        <w:rPr>
          <w:rStyle w:val="InlineUI"/>
        </w:rPr>
        <w:t>Change Category</w:t>
      </w:r>
      <w:r>
        <w:t xml:space="preserve"> dialog opens.</w:t>
      </w:r>
    </w:p>
    <w:p>
      <w:pPr>
        <w:pStyle w:val="BodyText"/>
        <w:numPr>
          <w:numId w:val="177"/>
        </w:numPr>
      </w:pPr>
      <w:r>
        <w:t xml:space="preserve">Select the category in which to place the service, and click </w:t>
      </w:r>
      <w:r>
        <w:rPr>
          <w:rStyle w:val="InlineUI"/>
        </w:rPr>
        <w:t>Save</w:t>
      </w:r>
      <w:r>
        <w:t>.</w:t>
      </w:r>
    </w:p>
    <w:p>
      <w:pPr>
        <w:pStyle w:val="Heading2"/>
      </w:pPr>
      <w:bookmarkStart w:id="229" w:name="_Toc256000607"/>
      <w:r>
        <w:t>Unregister a Service From VCF Automation</w:t>
      </w:r>
      <w:bookmarkEnd w:id="229"/>
    </w:p>
    <w:p>
      <w:pPr>
        <w:pStyle w:val="BodyText"/>
      </w:pPr>
      <w:r>
        <w:t xml:space="preserve">In the </w:t>
      </w:r>
      <w:r>
        <w:t>VCF Automation Provider Management Portal</w:t>
      </w:r>
      <w:r>
        <w:t>, you can remove access to a service for both service providers and organizations by unregistering the service.</w:t>
      </w:r>
    </w:p>
    <w:p>
      <w:pPr>
        <w:pStyle w:val="BodyText"/>
      </w:pPr>
      <w:r>
        <w:rPr>
          <w:rStyle w:val="Strong"/>
        </w:rPr>
        <w:t>Procedure</w:t>
      </w:r>
    </w:p>
    <w:p>
      <w:pPr>
        <w:pStyle w:val="BodyText"/>
        <w:numPr>
          <w:numId w:val="178"/>
        </w:numPr>
      </w:pPr>
      <w:r>
        <w:t xml:space="preserve">From the primary left navigation panel, select </w:t>
      </w:r>
      <w:r>
        <w:rPr>
          <w:rStyle w:val="InlineUI"/>
        </w:rPr>
        <w:t>Libraries</w:t>
      </w:r>
      <w:r>
        <w:t>.</w:t>
      </w:r>
    </w:p>
    <w:p>
      <w:pPr>
        <w:pStyle w:val="BodyText"/>
        <w:numPr>
          <w:ilvl w:val="1"/>
          <w:numId w:val="178"/>
        </w:numPr>
      </w:pPr>
      <w:r>
        <w:t xml:space="preserve">From the secondary left panel, select </w:t>
      </w:r>
      <w:r>
        <w:rPr>
          <w:rStyle w:val="InlineUI"/>
        </w:rPr>
        <w:t>Service Library</w:t>
      </w:r>
      <w:r>
        <w:t>.</w:t>
      </w:r>
    </w:p>
    <w:p>
      <w:pPr>
        <w:pStyle w:val="BodyText"/>
        <w:ind w:left="480"/>
      </w:pPr>
      <w:r>
        <w:t xml:space="preserve">Available services display in a card view of 12 items per page, sorted by names in alphabetical order. Each card indicates that the item is a </w:t>
      </w:r>
      <w:r>
        <w:t>VCF Operations orchestrator</w:t>
      </w:r>
      <w:r>
        <w:t xml:space="preserve"> workflow and shows the name of the service and a tag that corresponds to the service category, in which the workflow is imported.</w:t>
      </w:r>
    </w:p>
    <w:p>
      <w:pPr>
        <w:pStyle w:val="BodyText"/>
        <w:numPr>
          <w:numId w:val="178"/>
        </w:numPr>
      </w:pPr>
      <w:r>
        <w:t xml:space="preserve">In the card of the selected service, select </w:t>
      </w:r>
      <w:r>
        <w:rPr>
          <w:rStyle w:val="InlineUI"/>
        </w:rPr>
        <w:t>Manage</w:t>
      </w:r>
      <w:r>
        <w:rPr>
          <w:rStyle w:val="InlineUI"/>
        </w:rPr>
        <w:t xml:space="preserve"> &gt; </w:t>
      </w:r>
      <w:r>
        <w:rPr>
          <w:rStyle w:val="InlineUI"/>
        </w:rPr>
        <w:t>Unregister Workflow</w:t>
      </w:r>
      <w:r>
        <w:t>.</w:t>
      </w:r>
    </w:p>
    <w:p>
      <w:pPr>
        <w:pStyle w:val="BodyText"/>
        <w:ind w:left="480"/>
      </w:pPr>
      <w:r>
        <w:t xml:space="preserve">The </w:t>
      </w:r>
      <w:r>
        <w:rPr>
          <w:rStyle w:val="InlineUI"/>
        </w:rPr>
        <w:t>Unregister Workflow</w:t>
      </w:r>
      <w:r>
        <w:t xml:space="preserve"> dialog opens.</w:t>
      </w:r>
    </w:p>
    <w:p>
      <w:pPr>
        <w:pStyle w:val="BodyText"/>
        <w:numPr>
          <w:numId w:val="178"/>
        </w:numPr>
      </w:pPr>
      <w:r>
        <w:t xml:space="preserve">To remove the service from the service library, click </w:t>
      </w:r>
      <w:r>
        <w:rPr>
          <w:rStyle w:val="InlineUI"/>
        </w:rPr>
        <w:t>Delete</w:t>
      </w:r>
      <w:r>
        <w:t>.</w:t>
      </w:r>
    </w:p>
    <w:p>
      <w:pPr>
        <w:pStyle w:val="Heading2"/>
      </w:pPr>
      <w:bookmarkStart w:id="230" w:name="_Toc256000608"/>
      <w:r>
        <w:t>Publish a Service to Your VCF Automation</w:t>
      </w:r>
      <w:bookmarkEnd w:id="230"/>
    </w:p>
    <w:p>
      <w:pPr>
        <w:pStyle w:val="BodyText"/>
      </w:pPr>
      <w:r>
        <w:t xml:space="preserve">In the </w:t>
      </w:r>
      <w:r>
        <w:t>VCF Automation Provider Management Portal</w:t>
      </w:r>
      <w:r>
        <w:t>, you can control service provider and the access of the organizations to services by publishing a service.</w:t>
      </w:r>
    </w:p>
    <w:p>
      <w:pPr>
        <w:pStyle w:val="BodyText"/>
      </w:pPr>
      <w:r>
        <w:rPr>
          <w:rStyle w:val="Strong"/>
        </w:rPr>
        <w:t>Procedure</w:t>
      </w:r>
    </w:p>
    <w:p>
      <w:pPr>
        <w:pStyle w:val="BodyText"/>
        <w:numPr>
          <w:numId w:val="179"/>
        </w:numPr>
      </w:pPr>
      <w:r>
        <w:t xml:space="preserve">From the primary left navigation panel, select </w:t>
      </w:r>
      <w:r>
        <w:rPr>
          <w:rStyle w:val="InlineUI"/>
        </w:rPr>
        <w:t>Libraries</w:t>
      </w:r>
      <w:r>
        <w:t>.</w:t>
      </w:r>
    </w:p>
    <w:p>
      <w:pPr>
        <w:pStyle w:val="BodyText"/>
        <w:numPr>
          <w:ilvl w:val="1"/>
          <w:numId w:val="179"/>
        </w:numPr>
      </w:pPr>
      <w:r>
        <w:t xml:space="preserve">From the secondary left panel, select </w:t>
      </w:r>
      <w:r>
        <w:rPr>
          <w:rStyle w:val="InlineUI"/>
        </w:rPr>
        <w:t>Service Library</w:t>
      </w:r>
      <w:r>
        <w:t>.</w:t>
      </w:r>
    </w:p>
    <w:p>
      <w:pPr>
        <w:pStyle w:val="BodyText"/>
        <w:ind w:left="480"/>
      </w:pPr>
      <w:r>
        <w:t xml:space="preserve">Available services display in a card view of 12 items per page, sorted by names in alphabetical order. Each card indicates that the item is a </w:t>
      </w:r>
      <w:r>
        <w:t>VCF Operations orchestrator</w:t>
      </w:r>
      <w:r>
        <w:t xml:space="preserve"> workflow and shows the name of the service and a tag that corresponds to the service category, in which the workflow is imported.</w:t>
      </w:r>
    </w:p>
    <w:p>
      <w:pPr>
        <w:pStyle w:val="BodyText"/>
        <w:numPr>
          <w:numId w:val="179"/>
        </w:numPr>
      </w:pPr>
      <w:r>
        <w:t xml:space="preserve">In the card of the selected service, select </w:t>
      </w:r>
      <w:r>
        <w:rPr>
          <w:rStyle w:val="InlineUI"/>
        </w:rPr>
        <w:t>Manage</w:t>
      </w:r>
      <w:r>
        <w:rPr>
          <w:rStyle w:val="InlineUI"/>
        </w:rPr>
        <w:t xml:space="preserve"> &gt; </w:t>
      </w:r>
      <w:r>
        <w:rPr>
          <w:rStyle w:val="InlineUI"/>
        </w:rPr>
        <w:t>Publish Workflow</w:t>
      </w:r>
      <w:r>
        <w:t>.</w:t>
      </w:r>
    </w:p>
    <w:p>
      <w:pPr>
        <w:pStyle w:val="BodyText"/>
        <w:ind w:left="480"/>
      </w:pPr>
      <w:r>
        <w:t xml:space="preserve">The </w:t>
      </w:r>
      <w:r>
        <w:rPr>
          <w:rStyle w:val="InlineUI"/>
        </w:rPr>
        <w:t>Publish Workflow</w:t>
      </w:r>
      <w:r>
        <w:t xml:space="preserve"> dialog box appears.</w:t>
      </w:r>
    </w:p>
    <w:p>
      <w:pPr>
        <w:pStyle w:val="BodyText"/>
        <w:numPr>
          <w:numId w:val="179"/>
        </w:numPr>
      </w:pPr>
      <w:r>
        <w:t xml:space="preserve">To publish to service providers, select </w:t>
      </w:r>
      <w:r>
        <w:rPr>
          <w:rStyle w:val="InlineUI"/>
        </w:rPr>
        <w:t>Publish to Service Providers,</w:t>
      </w:r>
      <w:r>
        <w:t xml:space="preserve"> and click </w:t>
      </w:r>
      <w:r>
        <w:rPr>
          <w:rStyle w:val="InlineUI"/>
        </w:rPr>
        <w:t>Save</w:t>
      </w:r>
      <w:r>
        <w:t>.</w:t>
      </w:r>
    </w:p>
    <w:p>
      <w:pPr>
        <w:pStyle w:val="BodyText"/>
        <w:numPr>
          <w:numId w:val="179"/>
        </w:numPr>
      </w:pPr>
      <w:r>
        <w:t xml:space="preserve">To publish to a specific tenant organization, select </w:t>
      </w:r>
      <w:r>
        <w:rPr>
          <w:rStyle w:val="InlineUI"/>
        </w:rPr>
        <w:t>Publish to Tenants</w:t>
      </w:r>
      <w:r>
        <w:t xml:space="preserve"> button.</w:t>
      </w:r>
    </w:p>
    <w:p>
      <w:pPr>
        <w:pStyle w:val="BodyText"/>
        <w:numPr>
          <w:ilvl w:val="1"/>
          <w:numId w:val="179"/>
        </w:numPr>
      </w:pPr>
      <w:r>
        <w:t xml:space="preserve">A list with available tenant organizations appears. Select the organization, to which to publish the workflow, and click </w:t>
      </w:r>
      <w:r>
        <w:rPr>
          <w:rStyle w:val="InlineUI"/>
        </w:rPr>
        <w:t>Save</w:t>
      </w:r>
      <w:r>
        <w:t>.</w:t>
      </w:r>
    </w:p>
    <w:p>
      <w:pPr>
        <w:pStyle w:val="BodyText"/>
        <w:numPr>
          <w:numId w:val="179"/>
        </w:numPr>
      </w:pPr>
      <w:r>
        <w:t xml:space="preserve">To publish to all organizations, select </w:t>
      </w:r>
      <w:r>
        <w:rPr>
          <w:rStyle w:val="InlineUI"/>
        </w:rPr>
        <w:t>Publish to All Tenants</w:t>
      </w:r>
      <w:r>
        <w:t xml:space="preserve">, and click </w:t>
      </w:r>
      <w:r>
        <w:rPr>
          <w:rStyle w:val="InlineUI"/>
        </w:rPr>
        <w:t>Save</w:t>
      </w:r>
      <w:r>
        <w:t>.</w:t>
      </w:r>
    </w:p>
    <w:p>
      <w:pPr>
        <w:pStyle w:val="Heading1"/>
      </w:pPr>
      <w:bookmarkStart w:id="231" w:name="_Toc256000609"/>
      <w:r>
        <w:t>Managing Networking Resources in the VCF Automation Provider Management Portal</w:t>
      </w:r>
      <w:bookmarkEnd w:id="231"/>
    </w:p>
    <w:p>
      <w:pPr>
        <w:pStyle w:val="BodyText"/>
      </w:pPr>
      <w:r>
        <w:t xml:space="preserve">To leverage the networking capabilities of </w:t>
      </w:r>
      <w:r>
        <w:t>VCF Automation</w:t>
      </w:r>
      <w:r>
        <w:t xml:space="preserve"> for organizations for all applications, you can add and manage your infrastructure and cloud networking resources through the </w:t>
      </w:r>
      <w:r>
        <w:t>Provider Management Portal</w:t>
      </w:r>
      <w:r>
        <w:t>.</w:t>
      </w:r>
    </w:p>
    <w:p>
      <w:pPr>
        <w:pStyle w:val="Heading2"/>
      </w:pPr>
      <w:bookmarkStart w:id="232" w:name="_Toc256000610"/>
      <w:r>
        <w:t>Managing Provider Gateways in Your VCF Automation</w:t>
      </w:r>
      <w:bookmarkEnd w:id="232"/>
    </w:p>
    <w:p>
      <w:pPr>
        <w:pStyle w:val="BodyText"/>
      </w:pPr>
      <w:r>
        <w:t xml:space="preserve">As a </w:t>
      </w:r>
      <w:r>
        <w:t>VCF Automation</w:t>
      </w:r>
      <w:r>
        <w:rPr>
          <w:rStyle w:val="InlineUI"/>
        </w:rPr>
        <w:t>Provider Administrator</w:t>
      </w:r>
      <w:r>
        <w:t xml:space="preserve">, you can use provider gateways to establish external network connectivity for organizations. A provider gateway leverages </w:t>
      </w:r>
      <w:r>
        <w:t xml:space="preserve"> networking tier-0 or tier-0 VRF gateways, and associates them with IP addresses from IP spaces that can be advertised from those gateways. You can assign a provider gateway to one or more organizations.</w:t>
      </w:r>
    </w:p>
    <w:p>
      <w:pPr>
        <w:pStyle w:val="BodyText"/>
      </w:pPr>
      <w:r>
        <w:t xml:space="preserve">A provider gateway in </w:t>
      </w:r>
      <w:r>
        <w:t>VCF Automation</w:t>
      </w:r>
      <w:r>
        <w:t xml:space="preserve"> is a tier-0 gateway integrated with an IP space to manage external connectivity. Provider gateways are backed by existing tier-0 or tier-0 VRF gateways in </w:t>
      </w:r>
      <w:r>
        <w:rPr>
          <w:rStyle w:val="InlineCode"/>
        </w:rPr>
        <w:t>Active Standby</w:t>
      </w:r>
      <w:r>
        <w:t xml:space="preserve"> mode. You assign provider gateways to organizations through the regional network settings. Associating IP spaces with a provider gateway provides control over default service configuration, control over routing rules, and dynamic routing configuration. You must associate a provider gateway with at least one and up to five IP spaces. You can associate up to five CIDRs with a provider gateway. In other words, if you have five IP spaces associated with a provider gateway, you can use only one CIDR per IP space.</w:t>
      </w:r>
    </w:p>
    <w:p>
      <w:pPr>
        <w:pStyle w:val="BodyText"/>
      </w:pPr>
      <w:r>
        <w:rPr>
          <w:rStyle w:val="InlineUI"/>
        </w:rPr>
        <w:t>Organization administrators</w:t>
      </w:r>
      <w:r>
        <w:t xml:space="preserve"> can view general information about the IP spaces to which their organization has access through IP association.</w:t>
      </w:r>
    </w:p>
    <w:p>
      <w:pPr>
        <w:pStyle w:val="Heading3"/>
      </w:pPr>
      <w:bookmarkStart w:id="233" w:name="_Toc256000611"/>
      <w:r>
        <w:t>Add a Provider Gateway to Your VCF Automation</w:t>
      </w:r>
      <w:bookmarkEnd w:id="233"/>
    </w:p>
    <w:p>
      <w:pPr>
        <w:pStyle w:val="BodyText"/>
      </w:pPr>
      <w:r>
        <w:t xml:space="preserve">To register </w:t>
      </w:r>
      <w:r>
        <w:t>NSX</w:t>
      </w:r>
      <w:r>
        <w:t xml:space="preserve"> network resources for </w:t>
      </w:r>
      <w:r>
        <w:t>VCF Automation</w:t>
      </w:r>
      <w:r>
        <w:t xml:space="preserve"> to use, you can add a provider gateway to </w:t>
      </w:r>
      <w:r>
        <w:t>VCF Automation</w:t>
      </w:r>
      <w:r>
        <w:t>.</w:t>
      </w:r>
    </w:p>
    <w:p>
      <w:pPr>
        <w:pStyle w:val="BodyText"/>
      </w:pPr>
      <w:r>
        <w:rPr>
          <w:rStyle w:val="Strong"/>
        </w:rPr>
        <w:t>Prerequisites</w:t>
      </w:r>
    </w:p>
    <w:p>
      <w:pPr>
        <w:pStyle w:val="BodyText"/>
        <w:numPr>
          <w:numId w:val="18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B7c1d1a37e6c84e0293e7ae90ce69964f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Region in Your VCF Automation</w:t>
      </w:r>
      <w:r>
        <w:fldChar w:fldCharType="end"/>
      </w:r>
    </w:p>
    <w:p>
      <w:pPr>
        <w:pStyle w:val="BodyText"/>
        <w:numPr>
          <w:numId w:val="180"/>
        </w:numPr>
      </w:pPr>
      <w:r>
        <w:t xml:space="preserve">To add a provider gateway, first you must create an </w:t>
      </w:r>
      <w:r>
        <w:rPr>
          <w:rStyle w:val="InlineCode"/>
        </w:rPr>
        <w:t>Active Standby</w:t>
      </w:r>
      <w:r>
        <w:t xml:space="preserve"> tier-0 gateway in the </w:t>
      </w:r>
      <w:r>
        <w:t>NSX Manager</w:t>
      </w:r>
      <w:r>
        <w:t xml:space="preserve"> associated with the region to back it. You can create the tier-0 gateway in the </w:t>
      </w:r>
      <w:r>
        <w:t>NSX Manager</w:t>
      </w:r>
      <w:r>
        <w:t xml:space="preserve"> UI or by using the NSX Policy API.</w:t>
      </w:r>
    </w:p>
    <w:p>
      <w:pPr>
        <w:pStyle w:val="BodyText"/>
        <w:ind w:left="480"/>
      </w:pPr>
      <w:r>
        <w:t xml:space="preserve">If you want to add a tier-0 gateway that is backed by a VRF gateway in </w:t>
      </w:r>
      <w:r>
        <w:t>NSX</w:t>
      </w:r>
      <w:r>
        <w:t>, you must also create a VRF gateway that is linked to the tier-0 gateway.</w:t>
      </w:r>
    </w:p>
    <w:p>
      <w:pPr>
        <w:pStyle w:val="BodyText"/>
        <w:ind w:left="480"/>
      </w:pPr>
      <w:r>
        <w:t xml:space="preserve">Create a tier-0 gateway in the </w:t>
      </w:r>
      <w:r>
        <w:t>NSX Manager</w:t>
      </w:r>
      <w:r>
        <w:t xml:space="preserve"> UI.</w:t>
      </w:r>
    </w:p>
    <w:p>
      <w:pPr>
        <w:pStyle w:val="BodyText"/>
        <w:numPr>
          <w:ilvl w:val="1"/>
          <w:numId w:val="180"/>
        </w:numPr>
      </w:pPr>
      <w:r>
        <w:t xml:space="preserve">Log in with administrative privileges to the </w:t>
      </w:r>
      <w:r>
        <w:t>NSX Manager</w:t>
      </w:r>
      <w:r>
        <w:t xml:space="preserve"> instance.</w:t>
      </w:r>
    </w:p>
    <w:p>
      <w:pPr>
        <w:pStyle w:val="BodyText"/>
        <w:numPr>
          <w:ilvl w:val="1"/>
          <w:numId w:val="180"/>
        </w:numPr>
      </w:pPr>
      <w:r>
        <w:t xml:space="preserve">Click </w:t>
      </w:r>
      <w:r>
        <w:rPr>
          <w:rStyle w:val="InlineUI"/>
        </w:rPr>
        <w:t>Networking</w:t>
      </w:r>
      <w:r>
        <w:t xml:space="preserve">, click </w:t>
      </w:r>
      <w:r>
        <w:rPr>
          <w:rStyle w:val="InlineUI"/>
        </w:rPr>
        <w:t>Tier-0 Gateways</w:t>
      </w:r>
      <w:r>
        <w:t xml:space="preserve">, and click </w:t>
      </w:r>
      <w:r>
        <w:rPr>
          <w:rStyle w:val="InlineUI"/>
        </w:rPr>
        <w:t>Add Gateway</w:t>
      </w:r>
      <w:r>
        <w:rPr>
          <w:rStyle w:val="InlineUI"/>
        </w:rPr>
        <w:t xml:space="preserve"> &gt; </w:t>
      </w:r>
      <w:r>
        <w:rPr>
          <w:rStyle w:val="InlineUI"/>
        </w:rPr>
        <w:t>Tier-0</w:t>
      </w:r>
      <w:r>
        <w:t>.</w:t>
      </w:r>
    </w:p>
    <w:p>
      <w:pPr>
        <w:pStyle w:val="BodyText"/>
        <w:numPr>
          <w:ilvl w:val="1"/>
          <w:numId w:val="180"/>
        </w:numPr>
      </w:pPr>
      <w:r>
        <w:t>Enter a name for the tier-0 gateway.</w:t>
      </w:r>
    </w:p>
    <w:p>
      <w:pPr>
        <w:pStyle w:val="BodyText"/>
        <w:numPr>
          <w:ilvl w:val="1"/>
          <w:numId w:val="180"/>
        </w:numPr>
      </w:pPr>
      <w:r>
        <w:t xml:space="preserve">Select the </w:t>
      </w:r>
      <w:r>
        <w:rPr>
          <w:rStyle w:val="InlineCode"/>
        </w:rPr>
        <w:t>Active Standby</w:t>
      </w:r>
      <w:r>
        <w:t xml:space="preserve"> mode.</w:t>
      </w:r>
    </w:p>
    <w:p>
      <w:pPr>
        <w:pStyle w:val="BodyText"/>
        <w:pBdr>
          <w:top w:val="single" w:sz="8" w:space="2" w:color="D3D3D3"/>
          <w:bottom w:val="single" w:sz="8" w:space="2" w:color="D3D3D3"/>
        </w:pBdr>
        <w:ind w:left="960"/>
      </w:pPr>
      <w:r>
        <w:rPr>
          <w:rStyle w:val="NoteLeadernote"/>
        </w:rPr>
        <w:t>Note</w:t>
        <w:tab/>
      </w:r>
      <w:r>
        <w:t xml:space="preserve">For </w:t>
      </w:r>
      <w:r>
        <w:t>VCF Automation</w:t>
      </w:r>
      <w:r>
        <w:t xml:space="preserve"> 9.0, only active-standby mode is supported. In active-standby mode, an elected active member processes the traffic. If the active member fails, a new member becomes active.</w:t>
      </w:r>
    </w:p>
    <w:p>
      <w:pPr>
        <w:pStyle w:val="BodyText"/>
        <w:numPr>
          <w:ilvl w:val="1"/>
          <w:numId w:val="180"/>
        </w:numPr>
      </w:pPr>
      <w:r>
        <w:t xml:space="preserve">Select an existing </w:t>
      </w:r>
      <w:r>
        <w:t>NSX</w:t>
      </w:r>
      <w:r>
        <w:t xml:space="preserve"> Edge cluster from the drop-down menu to back this tier-0 gateway, and click </w:t>
      </w:r>
      <w:r>
        <w:rPr>
          <w:rStyle w:val="InlineUI"/>
        </w:rPr>
        <w:t>Save</w:t>
      </w:r>
      <w:r>
        <w:t>.</w:t>
      </w:r>
    </w:p>
    <w:p>
      <w:pPr>
        <w:pStyle w:val="BodyText"/>
        <w:ind w:left="480"/>
      </w:pPr>
      <w:r>
        <w:t xml:space="preserve">If you want to add a tier-0 gateway that is backed by a VRF gateway in </w:t>
      </w:r>
      <w:r>
        <w:t>NSX</w:t>
      </w:r>
      <w:r>
        <w:t>, create a VRF gateway that is linked to the tier-0 gateway.</w:t>
      </w:r>
    </w:p>
    <w:p>
      <w:pPr>
        <w:pStyle w:val="BodyText"/>
        <w:numPr>
          <w:ilvl w:val="1"/>
          <w:numId w:val="180"/>
        </w:numPr>
      </w:pPr>
      <w:r>
        <w:t xml:space="preserve">Log in with administrative privileges to the </w:t>
      </w:r>
      <w:r>
        <w:t>NSX Manager</w:t>
      </w:r>
      <w:r>
        <w:t xml:space="preserve"> instance.</w:t>
      </w:r>
    </w:p>
    <w:p>
      <w:pPr>
        <w:pStyle w:val="BodyText"/>
        <w:numPr>
          <w:ilvl w:val="1"/>
          <w:numId w:val="180"/>
        </w:numPr>
      </w:pPr>
      <w:r>
        <w:t xml:space="preserve">Click </w:t>
      </w:r>
      <w:r>
        <w:rPr>
          <w:rStyle w:val="InlineUI"/>
        </w:rPr>
        <w:t>Networking</w:t>
      </w:r>
      <w:r>
        <w:t xml:space="preserve">, click </w:t>
      </w:r>
      <w:r>
        <w:rPr>
          <w:rStyle w:val="InlineUI"/>
        </w:rPr>
        <w:t>Tier-0 Gateways</w:t>
      </w:r>
      <w:r>
        <w:t xml:space="preserve">, and click </w:t>
      </w:r>
      <w:r>
        <w:rPr>
          <w:rStyle w:val="InlineUI"/>
        </w:rPr>
        <w:t>Add Gateway</w:t>
      </w:r>
      <w:r>
        <w:rPr>
          <w:rStyle w:val="InlineUI"/>
        </w:rPr>
        <w:t xml:space="preserve"> &gt; </w:t>
      </w:r>
      <w:r>
        <w:rPr>
          <w:rStyle w:val="InlineUI"/>
        </w:rPr>
        <w:t>VRF</w:t>
      </w:r>
      <w:r>
        <w:t>.</w:t>
      </w:r>
    </w:p>
    <w:p>
      <w:pPr>
        <w:pStyle w:val="BodyText"/>
        <w:numPr>
          <w:ilvl w:val="1"/>
          <w:numId w:val="180"/>
        </w:numPr>
      </w:pPr>
      <w:r>
        <w:t>Enter a name for the VRF gateway.</w:t>
      </w:r>
    </w:p>
    <w:p>
      <w:pPr>
        <w:pStyle w:val="BodyText"/>
        <w:numPr>
          <w:ilvl w:val="1"/>
          <w:numId w:val="180"/>
        </w:numPr>
      </w:pPr>
      <w:r>
        <w:t>Select the tier-0 gateway to which to connect the VRF gateway.</w:t>
      </w:r>
    </w:p>
    <w:p>
      <w:pPr>
        <w:pStyle w:val="BodyText"/>
        <w:numPr>
          <w:ilvl w:val="1"/>
          <w:numId w:val="180"/>
        </w:numPr>
      </w:pPr>
      <w:r>
        <w:t xml:space="preserve">Click </w:t>
      </w:r>
      <w:r>
        <w:rPr>
          <w:rStyle w:val="InlineUI"/>
        </w:rPr>
        <w:t>Save</w:t>
      </w:r>
      <w:r>
        <w:t>.</w:t>
      </w:r>
    </w:p>
    <w:p>
      <w:pPr>
        <w:pStyle w:val="BodyText"/>
      </w:pPr>
      <w:r>
        <w:rPr>
          <w:rStyle w:val="Strong"/>
        </w:rPr>
        <w:t>Procedure</w:t>
      </w:r>
    </w:p>
    <w:p>
      <w:pPr>
        <w:pStyle w:val="BodyText"/>
        <w:numPr>
          <w:numId w:val="181"/>
        </w:numPr>
      </w:pPr>
      <w:r>
        <w:t xml:space="preserve">Log in to the </w:t>
      </w:r>
      <w:r>
        <w:t>.</w:t>
      </w:r>
    </w:p>
    <w:p>
      <w:pPr>
        <w:pStyle w:val="BodyText"/>
        <w:numPr>
          <w:numId w:val="181"/>
        </w:numPr>
      </w:pPr>
      <w:r>
        <w:t xml:space="preserve">From the left navigation panel, under </w:t>
      </w:r>
      <w:r>
        <w:rPr>
          <w:rStyle w:val="InlineUI"/>
        </w:rPr>
        <w:t>Infrastructure</w:t>
      </w:r>
      <w:r>
        <w:t xml:space="preserve">, select </w:t>
      </w:r>
      <w:r>
        <w:rPr>
          <w:rStyle w:val="InlineUI"/>
        </w:rPr>
        <w:t>Networking</w:t>
      </w:r>
      <w:r>
        <w:t>.</w:t>
      </w:r>
    </w:p>
    <w:p>
      <w:pPr>
        <w:pStyle w:val="BodyText"/>
        <w:numPr>
          <w:numId w:val="181"/>
        </w:numPr>
      </w:pPr>
      <w:r>
        <w:t xml:space="preserve">Select </w:t>
      </w:r>
      <w:r>
        <w:rPr>
          <w:rStyle w:val="InlineUI"/>
        </w:rPr>
        <w:t>Provider Gateways</w:t>
      </w:r>
      <w:r>
        <w:t xml:space="preserve">, and click </w:t>
      </w:r>
      <w:r>
        <w:rPr>
          <w:rStyle w:val="InlineUI"/>
        </w:rPr>
        <w:t>New</w:t>
      </w:r>
      <w:r>
        <w:t>.</w:t>
      </w:r>
    </w:p>
    <w:p>
      <w:pPr>
        <w:pStyle w:val="BodyText"/>
        <w:numPr>
          <w:numId w:val="181"/>
        </w:numPr>
      </w:pPr>
      <w:r>
        <w:t xml:space="preserve">Enter a name and, optionally, a description for the new </w:t>
      </w:r>
      <w:r>
        <w:t>provider gateway</w:t>
      </w:r>
      <w:r>
        <w:t>.</w:t>
      </w:r>
    </w:p>
    <w:p>
      <w:pPr>
        <w:pStyle w:val="BodyText"/>
        <w:numPr>
          <w:numId w:val="181"/>
        </w:numPr>
      </w:pPr>
      <w:r>
        <w:t xml:space="preserve">From the drop-down menu, select the region of the tier-0 gateway, and click </w:t>
      </w:r>
      <w:r>
        <w:rPr>
          <w:rStyle w:val="InlineUI"/>
        </w:rPr>
        <w:t>Next</w:t>
      </w:r>
      <w:r>
        <w:t>.</w:t>
      </w:r>
    </w:p>
    <w:p>
      <w:pPr>
        <w:pStyle w:val="BodyText"/>
        <w:numPr>
          <w:numId w:val="181"/>
        </w:numPr>
      </w:pPr>
      <w:r>
        <w:t xml:space="preserve">Select a tier-0 gateway from the list, and click </w:t>
      </w:r>
      <w:r>
        <w:rPr>
          <w:rStyle w:val="InlineUI"/>
        </w:rPr>
        <w:t>Next</w:t>
      </w:r>
      <w:r>
        <w:t>.</w:t>
      </w:r>
    </w:p>
    <w:p>
      <w:pPr>
        <w:pStyle w:val="BodyText"/>
        <w:numPr>
          <w:numId w:val="181"/>
        </w:numPr>
      </w:pPr>
      <w:r>
        <w:t xml:space="preserve">Select one or more IP spaces to associate with the provider gateway, and click </w:t>
      </w:r>
      <w:r>
        <w:rPr>
          <w:rStyle w:val="InlineUI"/>
        </w:rPr>
        <w:t>Next</w:t>
      </w:r>
      <w:r>
        <w:t>.</w:t>
      </w:r>
    </w:p>
    <w:p>
      <w:pPr>
        <w:pStyle w:val="BodyText"/>
        <w:numPr>
          <w:numId w:val="181"/>
        </w:numPr>
      </w:pPr>
      <w:r>
        <w:t xml:space="preserve">Review the network settings and click </w:t>
      </w:r>
      <w:r>
        <w:rPr>
          <w:rStyle w:val="InlineUI"/>
        </w:rPr>
        <w:t>Create</w:t>
      </w:r>
      <w:r>
        <w:t>.</w:t>
      </w:r>
    </w:p>
    <w:p>
      <w:pPr>
        <w:pStyle w:val="BodyText"/>
      </w:pPr>
      <w:r>
        <w:rPr>
          <w:rStyle w:val="Strong"/>
        </w:rPr>
        <w:t>What to do next</w:t>
      </w:r>
    </w:p>
    <w:p>
      <w:pPr>
        <w:pStyle w:val="BodyText"/>
        <w:numPr>
          <w:numId w:val="18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B0827dd869e0945bf96089396fe727806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Associate a Provider Gateway with an IP Space</w:t>
      </w:r>
      <w:r>
        <w:fldChar w:fldCharType="end"/>
      </w:r>
    </w:p>
    <w:p>
      <w:pPr>
        <w:pStyle w:val="BodyText"/>
        <w:numPr>
          <w:numId w:val="182"/>
        </w:numPr>
      </w:pPr>
      <w:r>
        <w:t xml:space="preserve">To edit the name and description of the provider gateway, click its name, select </w:t>
      </w:r>
      <w:r>
        <w:rPr>
          <w:rStyle w:val="InlineUI"/>
        </w:rPr>
        <w:t>General</w:t>
      </w:r>
      <w:r>
        <w:t xml:space="preserve">, and click </w:t>
      </w:r>
      <w:r>
        <w:rPr>
          <w:rStyle w:val="InlineUI"/>
        </w:rPr>
        <w:t>Edit</w:t>
      </w:r>
      <w:r>
        <w:t>.</w:t>
      </w:r>
    </w:p>
    <w:p>
      <w:pPr>
        <w:pStyle w:val="BodyText"/>
        <w:numPr>
          <w:numId w:val="182"/>
        </w:numPr>
      </w:pPr>
      <w:r>
        <w:t xml:space="preserve">To view the connected transit gateways, click the name of the provider gateway, and select </w:t>
      </w:r>
      <w:r>
        <w:rPr>
          <w:rStyle w:val="InlineUI"/>
        </w:rPr>
        <w:t>Connected TGW</w:t>
      </w:r>
      <w:r>
        <w:t xml:space="preserve">. For more information about transit gateways, see </w:t>
      </w:r>
      <w:r>
        <w:t>Transit Gateways</w:t>
      </w:r>
      <w:r>
        <w:t>.</w:t>
      </w:r>
    </w:p>
    <w:p>
      <w:pPr>
        <w:pStyle w:val="BodyText"/>
        <w:numPr>
          <w:numId w:val="182"/>
        </w:numPr>
      </w:pPr>
      <w:r>
        <w:t>Delete a provider gateway.</w:t>
      </w:r>
    </w:p>
    <w:p>
      <w:pPr>
        <w:pStyle w:val="BodyText"/>
        <w:numPr>
          <w:ilvl w:val="1"/>
          <w:numId w:val="182"/>
        </w:numPr>
      </w:pPr>
      <w:r>
        <w:t>Verify that no transit gateways are connected to the provider gateway.</w:t>
      </w:r>
    </w:p>
    <w:p>
      <w:pPr>
        <w:pStyle w:val="BodyText"/>
        <w:numPr>
          <w:ilvl w:val="1"/>
          <w:numId w:val="182"/>
        </w:numPr>
      </w:pPr>
      <w:r>
        <w:t>On the left of the name of the provider gateway you want to delete, click the vertical ellipsis (</w:t>
      </w:r>
      <w:r>
        <w:t xml:space="preserve">), and click </w:t>
      </w:r>
      <w:r>
        <w:rPr>
          <w:rStyle w:val="InlineUI"/>
        </w:rPr>
        <w:t>Delete</w:t>
      </w:r>
      <w:r>
        <w:t>.</w:t>
      </w:r>
    </w:p>
    <w:p>
      <w:pPr>
        <w:pStyle w:val="Heading3"/>
      </w:pPr>
      <w:bookmarkStart w:id="234" w:name="B6c967b53b85b423ca2306c9536eb3df1"/>
      <w:bookmarkStart w:id="235" w:name="_Toc256000612"/>
      <w:r>
        <w:t>Add an IP Space Uplink To a Provider Gateway in Your VCF Automation</w:t>
      </w:r>
      <w:bookmarkEnd w:id="235"/>
      <w:bookmarkEnd w:id="234"/>
    </w:p>
    <w:p>
      <w:pPr>
        <w:pStyle w:val="BodyText"/>
      </w:pPr>
      <w:r>
        <w:t xml:space="preserve">You can associate IP spaces to a provider gateway by creating IP space uplinks in </w:t>
      </w:r>
      <w:r>
        <w:t>VCF Automation</w:t>
      </w:r>
      <w:r>
        <w:t>.</w:t>
      </w:r>
    </w:p>
    <w:p>
      <w:pPr>
        <w:pStyle w:val="BodyText"/>
      </w:pPr>
      <w:r>
        <w:t>If the provider gateway for which you create the IP space uplink is private, i.e. dedicated to an organization, or if an organization has an edge gateway that is associated with the provider gateway, by creating the IP space uplink, you grant this organization access to the IP space with which the uplink is associated.</w:t>
      </w:r>
    </w:p>
    <w:p>
      <w:pPr>
        <w:pStyle w:val="BodyText"/>
      </w:pPr>
      <w:r>
        <w:t>You can associate only one IP space with an IP space uplink. You cannot associate a private IP space to a public provider gateway.</w:t>
      </w:r>
    </w:p>
    <w:p>
      <w:pPr>
        <w:pStyle w:val="BodyText"/>
      </w:pPr>
      <w:r>
        <w:rPr>
          <w:rStyle w:val="Strong"/>
        </w:rPr>
        <w:t>Prerequisites</w:t>
      </w:r>
    </w:p>
    <w:p>
      <w:pPr>
        <w:pStyle w:val="BodyText"/>
        <w:numPr>
          <w:numId w:val="183"/>
        </w:numPr>
      </w:pPr>
      <w:r>
        <w:t>Verify that your provider gateway is using IP spaces.</w:t>
      </w:r>
    </w:p>
    <w:p>
      <w:pPr>
        <w:pStyle w:val="BodyText"/>
        <w:numPr>
          <w:numId w:val="183"/>
        </w:numPr>
      </w:pPr>
      <w:r>
        <w:t xml:space="preserve">Verify that your role includes the </w:t>
      </w:r>
      <w:r>
        <w:rPr>
          <w:rStyle w:val="InlineUI"/>
        </w:rPr>
        <w:t>IP Spaces:View</w:t>
      </w:r>
      <w:r>
        <w:t xml:space="preserve"> and </w:t>
      </w:r>
      <w:r>
        <w:rPr>
          <w:rStyle w:val="InlineUI"/>
        </w:rPr>
        <w:t>IP Spaces:Configure</w:t>
      </w:r>
      <w:r>
        <w:t xml:space="preserve"> rights.</w:t>
      </w:r>
    </w:p>
    <w:p>
      <w:pPr>
        <w:pStyle w:val="BodyText"/>
      </w:pPr>
      <w:r>
        <w:rPr>
          <w:rStyle w:val="Strong"/>
        </w:rPr>
        <w:t>Procedure</w:t>
      </w:r>
    </w:p>
    <w:p>
      <w:pPr>
        <w:pStyle w:val="BodyText"/>
        <w:numPr>
          <w:numId w:val="184"/>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184"/>
        </w:numPr>
      </w:pPr>
      <w:r>
        <w:t xml:space="preserve">In the left pane, click </w:t>
      </w:r>
      <w:r>
        <w:rPr>
          <w:rStyle w:val="InlineUI"/>
        </w:rPr>
        <w:t>Provider Gateways</w:t>
      </w:r>
      <w:r>
        <w:t>.</w:t>
      </w:r>
    </w:p>
    <w:p>
      <w:pPr>
        <w:pStyle w:val="BodyText"/>
        <w:numPr>
          <w:numId w:val="184"/>
        </w:numPr>
      </w:pPr>
      <w:r>
        <w:t xml:space="preserve">Under Configure, click </w:t>
      </w:r>
      <w:r>
        <w:rPr>
          <w:rStyle w:val="InlineUI"/>
        </w:rPr>
        <w:t>IP Space Uplinks</w:t>
      </w:r>
      <w:r>
        <w:t>.</w:t>
      </w:r>
    </w:p>
    <w:p>
      <w:pPr>
        <w:pStyle w:val="BodyText"/>
        <w:numPr>
          <w:numId w:val="184"/>
        </w:numPr>
      </w:pPr>
      <w:r>
        <w:t xml:space="preserve">Click </w:t>
      </w:r>
      <w:r>
        <w:rPr>
          <w:rStyle w:val="InlineUI"/>
        </w:rPr>
        <w:t>New</w:t>
      </w:r>
      <w:r>
        <w:t>.</w:t>
      </w:r>
    </w:p>
    <w:p>
      <w:pPr>
        <w:pStyle w:val="BodyText"/>
        <w:numPr>
          <w:numId w:val="184"/>
        </w:numPr>
      </w:pPr>
      <w:r>
        <w:t xml:space="preserve">Enter the tenant facing name and optionally, a description for the IP space uplink, and click </w:t>
      </w:r>
      <w:r>
        <w:rPr>
          <w:rStyle w:val="InlineUI"/>
        </w:rPr>
        <w:t>Next</w:t>
      </w:r>
      <w:r>
        <w:t>.</w:t>
      </w:r>
    </w:p>
    <w:p>
      <w:pPr>
        <w:pStyle w:val="BodyText"/>
        <w:numPr>
          <w:numId w:val="184"/>
        </w:numPr>
      </w:pPr>
      <w:r>
        <w:t xml:space="preserve">Select an IP space to associate with the IP space uplink and click </w:t>
      </w:r>
      <w:r>
        <w:rPr>
          <w:rStyle w:val="InlineUI"/>
        </w:rPr>
        <w:t>Next</w:t>
      </w:r>
      <w:r>
        <w:t>.</w:t>
      </w:r>
    </w:p>
    <w:p>
      <w:pPr>
        <w:pStyle w:val="BodyText"/>
        <w:numPr>
          <w:numId w:val="184"/>
        </w:numPr>
      </w:pPr>
      <w:r>
        <w:t xml:space="preserve">(Optional) </w:t>
      </w:r>
      <w:r>
        <w:t>Select interfaces to map to the IP space uplink.</w:t>
      </w:r>
    </w:p>
    <w:p>
      <w:pPr>
        <w:pStyle w:val="BodyText"/>
        <w:ind w:left="480"/>
      </w:pPr>
      <w:r>
        <w:t>You can associate only some of the interfaces of the provider gateway to the uplink if you plan to create specific NAT rules to be applied only to the selected interfaces.</w:t>
      </w:r>
    </w:p>
    <w:p>
      <w:pPr>
        <w:pStyle w:val="BodyText"/>
        <w:ind w:left="480"/>
      </w:pPr>
      <w:r>
        <w:t>If necessary, you can edit the list of associated interfaces later.</w:t>
      </w:r>
    </w:p>
    <w:p>
      <w:pPr>
        <w:pStyle w:val="BodyText"/>
        <w:numPr>
          <w:numId w:val="184"/>
        </w:numPr>
      </w:pPr>
      <w:r>
        <w:t xml:space="preserve">Review your settings and click </w:t>
      </w:r>
      <w:r>
        <w:rPr>
          <w:rStyle w:val="InlineUI"/>
        </w:rPr>
        <w:t>Finish</w:t>
      </w:r>
      <w:r>
        <w:t>.</w:t>
      </w:r>
    </w:p>
    <w:p>
      <w:pPr>
        <w:pStyle w:val="Heading3"/>
      </w:pPr>
      <w:bookmarkStart w:id="236" w:name="_Toc256000613"/>
      <w:r>
        <w:t>Migrate a Provider Gateway to Using IP Spaces in Your VCF Automation</w:t>
      </w:r>
      <w:bookmarkEnd w:id="236"/>
    </w:p>
    <w:p>
      <w:pPr>
        <w:pStyle w:val="BodyText"/>
      </w:pPr>
      <w:r>
        <w:t>You can migrate provider gateways from using IP blocks to using IP spaces.</w:t>
      </w:r>
    </w:p>
    <w:p>
      <w:pPr>
        <w:pStyle w:val="BodyText"/>
      </w:pPr>
      <w:r>
        <w:t>When you prepare to migrate a provider gateway to using IP spaces, you must ensure that all existing IP blocks and static IP pools that are defined on the provider gateway are mapped to IP spaces. After setting up the IP spaces, you associate them to the gateway by creating an IP space uplink. To migrate IP prefixes, you must set up the IP prefixes sequences before starting the migration.</w:t>
      </w:r>
    </w:p>
    <w:p>
      <w:pPr>
        <w:pStyle w:val="BodyText"/>
      </w:pPr>
      <w:r>
        <w:t xml:space="preserve">When you start the migration, </w:t>
      </w:r>
      <w:r>
        <w:t>VCF Automation</w:t>
      </w:r>
      <w:r>
        <w:t xml:space="preserve"> generates a violation report demonstrating if there are any mapping gaps that can cause the migration to fail.</w:t>
      </w:r>
    </w:p>
    <w:p>
      <w:pPr>
        <w:pStyle w:val="BodyText"/>
      </w:pPr>
      <w:r>
        <w:t>One to one mappings of IP ranges are not strictly necessary for a successful migration. If a static IP pool was never used for allocating IP addresses, you can leave it out the IP space. However, the IP ranges that you configure as part of the preparation to migrate to IP spaces must match all IP addresses that are allocated from the provider gateway to its attached edge gateways, or the migration fails.</w:t>
      </w:r>
    </w:p>
    <w:p>
      <w:pPr>
        <w:pStyle w:val="BodyText"/>
        <w:pBdr>
          <w:top w:val="single" w:sz="8" w:space="2" w:color="D3D3D3"/>
        </w:pBdr>
      </w:pPr>
      <w:r>
        <w:rPr>
          <w:rStyle w:val="NoteLeadernote"/>
        </w:rPr>
        <w:t>Note</w:t>
        <w:tab/>
      </w:r>
      <w:r>
        <w:t xml:space="preserve">During the migration, </w:t>
      </w:r>
      <w:r>
        <w:t>VCF Automation</w:t>
      </w:r>
      <w:r>
        <w:t xml:space="preserve"> migrates only IP ranges that are mapped to the IP space uplinks on the provider gateway. This means that if any of the IP addresses on the edge gateway or the routed VDC networks associated with the provider gateway match with some private IP space within the organization, these edge gateway and networks IP addresses won't be migrated as part of the provider gateway migration.</w:t>
      </w:r>
    </w:p>
    <w:p>
      <w:pPr>
        <w:pStyle w:val="BodyText"/>
        <w:pBdr>
          <w:bottom w:val="single" w:sz="8" w:space="2" w:color="D3D3D3"/>
        </w:pBdr>
      </w:pPr>
      <w:r>
        <w:t>VCF Automation</w:t>
      </w:r>
      <w:r>
        <w:t xml:space="preserve"> will try to migrate such IP addresses or networks only when you attempt to edit or update them. When you do this, this IP address or prefix gets marked as in-use, which results in a block of attempted updates by any other network or service that uses the same IP address or prefix. In this case, all the services and networks that are utilizing those duplicate IP addresses would continue to work without interruption.</w:t>
      </w:r>
    </w:p>
    <w:p>
      <w:pPr>
        <w:pStyle w:val="BodyText"/>
      </w:pPr>
      <w:r>
        <w:rPr>
          <w:rStyle w:val="Strong"/>
        </w:rPr>
        <w:t>Prerequisites</w:t>
      </w:r>
    </w:p>
    <w:p>
      <w:pPr>
        <w:pStyle w:val="BodyText"/>
        <w:numPr>
          <w:numId w:val="185"/>
        </w:numPr>
      </w:pPr>
      <w:r>
        <w:t xml:space="preserve">Verify that your role includes the </w:t>
      </w:r>
      <w:r>
        <w:rPr>
          <w:rStyle w:val="InlineUI"/>
        </w:rPr>
        <w:t>Provider Network:Edit</w:t>
      </w:r>
      <w:r>
        <w:t xml:space="preserve"> and </w:t>
      </w:r>
      <w:r>
        <w:rPr>
          <w:rStyle w:val="InlineUI"/>
        </w:rPr>
        <w:t>IP Spaces: Manage System</w:t>
      </w:r>
      <w:r>
        <w:t xml:space="preserve"> rights.</w:t>
      </w:r>
    </w:p>
    <w:p>
      <w:pPr>
        <w:pStyle w:val="BodyText"/>
        <w:numPr>
          <w:numId w:val="185"/>
        </w:numPr>
      </w:pPr>
      <w:r>
        <w:t>Create one or more IP spaces with scopes that cover all the IP blocks and static IP pools defined on the provider gateway and allocated to its attached edge gateways. To create the correct mappings, check the gateway's IP allocations and use those to define the necessary ranges and subnets.</w:t>
      </w:r>
      <w:r>
        <w:t xml:space="preserve"> See </w:t>
      </w:r>
      <w:r>
        <w:t>Managing IP Spaces in your VCF Automation Provider Management Portal</w:t>
      </w:r>
      <w:r>
        <w:t>.</w:t>
      </w:r>
    </w:p>
    <w:p>
      <w:pPr>
        <w:pStyle w:val="BodyText"/>
      </w:pPr>
      <w:r>
        <w:rPr>
          <w:rStyle w:val="Strong"/>
        </w:rPr>
        <w:t>Procedure</w:t>
      </w:r>
    </w:p>
    <w:p>
      <w:pPr>
        <w:pStyle w:val="BodyText"/>
        <w:numPr>
          <w:numId w:val="186"/>
        </w:numPr>
      </w:pPr>
      <w:r>
        <w:t>Add an IP space uplink to the provider gateway that you want to migrate to IP spaces.</w:t>
      </w:r>
    </w:p>
    <w:p>
      <w:pPr>
        <w:pStyle w:val="BodyText"/>
        <w:numPr>
          <w:ilvl w:val="1"/>
          <w:numId w:val="186"/>
        </w:numPr>
      </w:pPr>
      <w:r>
        <w:t xml:space="preserve">From the top navigation bar, select </w:t>
      </w:r>
      <w:r>
        <w:rPr>
          <w:rStyle w:val="InlineUI"/>
        </w:rPr>
        <w:t>Resources</w:t>
      </w:r>
      <w:r>
        <w:t xml:space="preserve"> and click </w:t>
      </w:r>
      <w:r>
        <w:rPr>
          <w:rStyle w:val="InlineUI"/>
        </w:rPr>
        <w:t>Cloud Resources</w:t>
      </w:r>
      <w:r>
        <w:t>.</w:t>
      </w:r>
    </w:p>
    <w:p>
      <w:pPr>
        <w:pStyle w:val="BodyText"/>
        <w:numPr>
          <w:ilvl w:val="1"/>
          <w:numId w:val="186"/>
        </w:numPr>
      </w:pPr>
      <w:r>
        <w:t xml:space="preserve">In the left pane, click </w:t>
      </w:r>
      <w:r>
        <w:rPr>
          <w:rStyle w:val="InlineUI"/>
        </w:rPr>
        <w:t>Provider Gateways</w:t>
      </w:r>
      <w:r>
        <w:t>.</w:t>
      </w:r>
    </w:p>
    <w:p>
      <w:pPr>
        <w:pStyle w:val="BodyText"/>
        <w:numPr>
          <w:ilvl w:val="1"/>
          <w:numId w:val="186"/>
        </w:numPr>
      </w:pPr>
      <w:r>
        <w:t xml:space="preserve">Under Configure, click </w:t>
      </w:r>
      <w:r>
        <w:rPr>
          <w:rStyle w:val="InlineUI"/>
        </w:rPr>
        <w:t>IP Space Migration Prep</w:t>
      </w:r>
      <w:r>
        <w:t>.</w:t>
      </w:r>
    </w:p>
    <w:p>
      <w:pPr>
        <w:pStyle w:val="BodyText"/>
        <w:numPr>
          <w:ilvl w:val="1"/>
          <w:numId w:val="186"/>
        </w:numPr>
      </w:pPr>
      <w:r>
        <w:t xml:space="preserve">Click </w:t>
      </w:r>
      <w:r>
        <w:rPr>
          <w:rStyle w:val="InlineUI"/>
        </w:rPr>
        <w:t>New</w:t>
      </w:r>
      <w:r>
        <w:t>.</w:t>
      </w:r>
    </w:p>
    <w:p>
      <w:pPr>
        <w:pStyle w:val="BodyText"/>
        <w:numPr>
          <w:ilvl w:val="1"/>
          <w:numId w:val="186"/>
        </w:numPr>
      </w:pPr>
      <w:r>
        <w:t>Enter a tenant-facing name for the uplink.</w:t>
      </w:r>
    </w:p>
    <w:p>
      <w:pPr>
        <w:pStyle w:val="BodyText"/>
        <w:numPr>
          <w:ilvl w:val="1"/>
          <w:numId w:val="186"/>
        </w:numPr>
      </w:pPr>
      <w:r>
        <w:t xml:space="preserve">Select the IP space that you created for the uplink and click </w:t>
      </w:r>
      <w:r>
        <w:rPr>
          <w:rStyle w:val="InlineUI"/>
        </w:rPr>
        <w:t>Next</w:t>
      </w:r>
      <w:r>
        <w:t>.</w:t>
      </w:r>
    </w:p>
    <w:p>
      <w:pPr>
        <w:pStyle w:val="BodyText"/>
        <w:numPr>
          <w:ilvl w:val="1"/>
          <w:numId w:val="186"/>
        </w:numPr>
      </w:pPr>
      <w:r>
        <w:t xml:space="preserve">Click </w:t>
      </w:r>
      <w:r>
        <w:rPr>
          <w:rStyle w:val="InlineUI"/>
        </w:rPr>
        <w:t>Finish</w:t>
      </w:r>
      <w:r>
        <w:t>.</w:t>
      </w:r>
    </w:p>
    <w:p>
      <w:pPr>
        <w:pStyle w:val="BodyText"/>
        <w:numPr>
          <w:numId w:val="186"/>
        </w:numPr>
      </w:pPr>
      <w:r>
        <w:t xml:space="preserve">Click </w:t>
      </w:r>
      <w:r>
        <w:rPr>
          <w:rStyle w:val="InlineUI"/>
        </w:rPr>
        <w:t>Migrate to IP Spaces</w:t>
      </w:r>
      <w:r>
        <w:t xml:space="preserve"> and follow the prompts. Depending on the results of the static IP pools and network subnet violations checks, choose one of the options.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19"/>
        <w:gridCol w:w="7661"/>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No Violations</w:t>
            </w:r>
          </w:p>
        </w:tc>
        <w:tc>
          <w:tcPr>
            <w:tcBorders>
              <w:left w:val="nil"/>
              <w:right w:val="nil"/>
            </w:tcBorders>
          </w:tcPr>
          <w:p>
            <w:pPr>
              <w:pStyle w:val="TableBodyText"/>
            </w:pPr>
            <w:r>
              <w:t>Follow the prompts and finish the migration.</w:t>
            </w:r>
          </w:p>
        </w:tc>
      </w:tr>
      <w:tr>
        <w:tblPrEx>
          <w:tblInd w:w="480" w:type="dxa"/>
          <w:tblCellMar>
            <w:left w:w="108" w:type="dxa"/>
            <w:right w:w="108" w:type="dxa"/>
          </w:tblCellMar>
        </w:tblPrEx>
        <w:trPr>
          <w:cantSplit/>
        </w:trPr>
        <w:tc>
          <w:tcPr>
            <w:tcBorders>
              <w:left w:val="nil"/>
              <w:right w:val="nil"/>
            </w:tcBorders>
          </w:tcPr>
          <w:p>
            <w:pPr>
              <w:pStyle w:val="TableBodyText"/>
            </w:pPr>
            <w:r>
              <w:t>Static IP Pool Violations</w:t>
            </w:r>
          </w:p>
        </w:tc>
        <w:tc>
          <w:tcPr>
            <w:tcBorders>
              <w:left w:val="nil"/>
              <w:right w:val="nil"/>
            </w:tcBorders>
          </w:tcPr>
          <w:p>
            <w:pPr>
              <w:pStyle w:val="TableBodyText"/>
              <w:numPr>
                <w:numId w:val="187"/>
              </w:numPr>
            </w:pPr>
            <w:r>
              <w:t>Cancel the migration wizard.</w:t>
            </w:r>
          </w:p>
          <w:p>
            <w:pPr>
              <w:pStyle w:val="TableBodyText"/>
              <w:numPr>
                <w:numId w:val="187"/>
              </w:numPr>
            </w:pPr>
            <w:r>
              <w:t>Edit the IP space that you created for the provider gateway to include the all IP addresses and ranges that are allocated to the provider gateway and are listed in violation.</w:t>
            </w:r>
          </w:p>
          <w:p>
            <w:pPr>
              <w:pStyle w:val="TableBodyText"/>
              <w:numPr>
                <w:numId w:val="187"/>
              </w:numPr>
            </w:pPr>
            <w:r>
              <w:t>Attempt the migration again.</w:t>
            </w:r>
          </w:p>
        </w:tc>
      </w:tr>
      <w:tr>
        <w:tblPrEx>
          <w:tblInd w:w="480" w:type="dxa"/>
          <w:tblCellMar>
            <w:left w:w="108" w:type="dxa"/>
            <w:right w:w="108" w:type="dxa"/>
          </w:tblCellMar>
        </w:tblPrEx>
        <w:trPr>
          <w:cantSplit/>
        </w:trPr>
        <w:tc>
          <w:tcPr>
            <w:tcBorders>
              <w:left w:val="nil"/>
              <w:right w:val="nil"/>
            </w:tcBorders>
          </w:tcPr>
          <w:p>
            <w:pPr>
              <w:pStyle w:val="TableBodyText"/>
            </w:pPr>
            <w:r>
              <w:t>Network Subnet Violations</w:t>
            </w:r>
          </w:p>
        </w:tc>
        <w:tc>
          <w:tcPr>
            <w:tcBorders>
              <w:left w:val="nil"/>
              <w:right w:val="nil"/>
            </w:tcBorders>
          </w:tcPr>
          <w:p>
            <w:pPr>
              <w:pStyle w:val="TableBodyText"/>
              <w:numPr>
                <w:numId w:val="188"/>
              </w:numPr>
            </w:pPr>
            <w:r>
              <w:t>Cancel the migration wizard.</w:t>
            </w:r>
          </w:p>
          <w:p>
            <w:pPr>
              <w:pStyle w:val="TableBodyText"/>
              <w:numPr>
                <w:numId w:val="188"/>
              </w:numPr>
            </w:pPr>
            <w:r>
              <w:t>Edit the IP space that you created for the provider gateway to include all IP prefixes that are allocated to the provider gateway and are listed in violation.</w:t>
            </w:r>
          </w:p>
          <w:p>
            <w:pPr>
              <w:pStyle w:val="TableBodyText"/>
              <w:numPr>
                <w:numId w:val="188"/>
              </w:numPr>
            </w:pPr>
            <w:r>
              <w:t>Attempt the migration again.</w:t>
            </w:r>
          </w:p>
        </w:tc>
      </w:tr>
    </w:tbl>
    <w:p>
      <w:pPr>
        <w:pStyle w:val="SectionHeading4"/>
        <w:spacing w:before="120"/>
      </w:pPr>
      <w:bookmarkStart w:id="237" w:name="_Toc256000614"/>
      <w:r>
        <w:t xml:space="preserve">Example: </w:t>
      </w:r>
      <w:r>
        <w:t>Mapping IP Blocks and Static IP Pools to IP Spaces</w:t>
      </w:r>
      <w:bookmarkEnd w:id="237"/>
    </w:p>
    <w:p>
      <w:pPr>
        <w:pStyle w:val="BodyText"/>
      </w:pPr>
      <w:r>
        <w:t>The following is an example of how to map the following defined IP blocks and static IP pools on an existing provider gateway to IP spaces.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3"/>
        <w:gridCol w:w="5495"/>
        <w:gridCol w:w="283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IP Block</w:t>
            </w:r>
          </w:p>
        </w:tc>
        <w:tc>
          <w:tcPr>
            <w:tcBorders>
              <w:left w:val="nil"/>
              <w:right w:val="nil"/>
            </w:tcBorders>
            <w:shd w:val="clear" w:color="auto" w:fill="E1E1E1"/>
            <w:tcMar>
              <w:top w:w="60" w:type="dxa"/>
              <w:bottom w:w="60" w:type="dxa"/>
            </w:tcMar>
          </w:tcPr>
          <w:p>
            <w:pPr>
              <w:pStyle w:val="TableHeaderText"/>
            </w:pPr>
            <w:r>
              <w:t>Static IP Pools</w:t>
            </w:r>
          </w:p>
        </w:tc>
        <w:tc>
          <w:tcPr>
            <w:tcBorders>
              <w:left w:val="nil"/>
              <w:right w:val="nil"/>
            </w:tcBorders>
            <w:shd w:val="clear" w:color="auto" w:fill="E1E1E1"/>
            <w:tcMar>
              <w:top w:w="60" w:type="dxa"/>
              <w:bottom w:w="60" w:type="dxa"/>
            </w:tcMar>
          </w:tcPr>
          <w:p>
            <w:pPr>
              <w:pStyle w:val="TableHeaderText"/>
            </w:pPr>
            <w:r>
              <w:t>Local Usage of IPs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5.5.0.0/24</w:t>
            </w:r>
          </w:p>
        </w:tc>
        <w:tc>
          <w:tcPr>
            <w:tcBorders>
              <w:left w:val="nil"/>
              <w:right w:val="nil"/>
            </w:tcBorders>
          </w:tcPr>
          <w:p>
            <w:pPr>
              <w:pStyle w:val="TableBodyText"/>
            </w:pPr>
            <w:r>
              <w:t>5.5.0.1-5.5.0.10, 5.5.0.20-5.5.0.40, 5.5.0.100-5.5.0.200</w:t>
            </w:r>
          </w:p>
        </w:tc>
        <w:tc>
          <w:tcPr>
            <w:tcBorders>
              <w:left w:val="nil"/>
              <w:right w:val="nil"/>
            </w:tcBorders>
          </w:tcPr>
          <w:p>
            <w:pPr>
              <w:pStyle w:val="TableBodyText"/>
            </w:pPr>
            <w:r>
              <w:t>Internet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172.10.0.0/16</w:t>
            </w:r>
          </w:p>
        </w:tc>
        <w:tc>
          <w:tcPr>
            <w:tcBorders>
              <w:left w:val="nil"/>
              <w:right w:val="nil"/>
            </w:tcBorders>
          </w:tcPr>
          <w:p>
            <w:pPr>
              <w:pStyle w:val="TableBodyText"/>
            </w:pPr>
            <w:r>
              <w:t>172.10.10.1-172.10.10.100</w:t>
            </w:r>
          </w:p>
        </w:tc>
        <w:tc>
          <w:tcPr>
            <w:tcBorders>
              <w:left w:val="nil"/>
              <w:right w:val="nil"/>
            </w:tcBorders>
          </w:tcPr>
          <w:p>
            <w:pPr>
              <w:pStyle w:val="TableBodyText"/>
            </w:pPr>
            <w:r>
              <w:t>WAN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10.10.10.0/24</w:t>
            </w:r>
          </w:p>
        </w:tc>
        <w:tc>
          <w:tcPr>
            <w:tcBorders>
              <w:left w:val="nil"/>
              <w:right w:val="nil"/>
            </w:tcBorders>
          </w:tcPr>
          <w:p>
            <w:pPr>
              <w:pStyle w:val="TableBodyText"/>
            </w:pPr>
            <w:r>
              <w:t>10.10.10.2-10.10.10.3, 10.10.10.100</w:t>
            </w:r>
          </w:p>
        </w:tc>
        <w:tc>
          <w:tcPr>
            <w:tcBorders>
              <w:left w:val="nil"/>
              <w:right w:val="nil"/>
            </w:tcBorders>
          </w:tcPr>
          <w:p>
            <w:pPr>
              <w:pStyle w:val="TableBodyText"/>
            </w:pPr>
            <w:r>
              <w:t>Backup and other services</w:t>
            </w:r>
          </w:p>
        </w:tc>
      </w:tr>
    </w:tbl>
    <w:p>
      <w:pPr>
        <w:pStyle w:val="BodyText"/>
        <w:spacing w:before="240"/>
      </w:pPr>
      <w:r>
        <w:t>These three IP blocks logically map to three IP spaces to define as follows.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84"/>
        <w:gridCol w:w="2711"/>
        <w:gridCol w:w="962"/>
        <w:gridCol w:w="2064"/>
        <w:gridCol w:w="1491"/>
        <w:gridCol w:w="164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Name</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Type</w:t>
            </w:r>
          </w:p>
        </w:tc>
        <w:tc>
          <w:tcPr>
            <w:tcBorders>
              <w:left w:val="nil"/>
              <w:right w:val="nil"/>
            </w:tcBorders>
            <w:shd w:val="clear" w:color="auto" w:fill="E1E1E1"/>
            <w:tcMar>
              <w:top w:w="60" w:type="dxa"/>
              <w:bottom w:w="60" w:type="dxa"/>
            </w:tcMar>
          </w:tcPr>
          <w:p>
            <w:pPr>
              <w:pStyle w:val="TableHeaderText"/>
            </w:pPr>
            <w:r>
              <w:t>Range</w:t>
            </w:r>
          </w:p>
        </w:tc>
        <w:tc>
          <w:tcPr>
            <w:tcBorders>
              <w:left w:val="nil"/>
              <w:right w:val="nil"/>
            </w:tcBorders>
            <w:shd w:val="clear" w:color="auto" w:fill="E1E1E1"/>
            <w:tcMar>
              <w:top w:w="60" w:type="dxa"/>
              <w:bottom w:w="60" w:type="dxa"/>
            </w:tcMar>
          </w:tcPr>
          <w:p>
            <w:pPr>
              <w:pStyle w:val="TableHeaderText"/>
            </w:pPr>
            <w:r>
              <w:t>IP Prefix Sequence</w:t>
            </w:r>
          </w:p>
        </w:tc>
        <w:tc>
          <w:tcPr>
            <w:tcBorders>
              <w:left w:val="nil"/>
              <w:right w:val="nil"/>
            </w:tcBorders>
            <w:shd w:val="clear" w:color="auto" w:fill="E1E1E1"/>
            <w:tcMar>
              <w:top w:w="60" w:type="dxa"/>
              <w:bottom w:w="60" w:type="dxa"/>
            </w:tcMar>
          </w:tcPr>
          <w:p>
            <w:pPr>
              <w:pStyle w:val="TableHeaderText"/>
            </w:pPr>
            <w:r>
              <w:t>Internal IP Scope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Internet</w:t>
            </w:r>
          </w:p>
        </w:tc>
        <w:tc>
          <w:tcPr>
            <w:tcBorders>
              <w:left w:val="nil"/>
              <w:right w:val="nil"/>
            </w:tcBorders>
          </w:tcPr>
          <w:p>
            <w:pPr>
              <w:pStyle w:val="TableBodyText"/>
            </w:pPr>
            <w:r>
              <w:t>IP addresses to be used for accessing the internet</w:t>
            </w:r>
          </w:p>
        </w:tc>
        <w:tc>
          <w:tcPr>
            <w:tcBorders>
              <w:left w:val="nil"/>
              <w:right w:val="nil"/>
            </w:tcBorders>
          </w:tcPr>
          <w:p>
            <w:pPr>
              <w:pStyle w:val="TableBodyText"/>
            </w:pPr>
            <w:r>
              <w:t>Public</w:t>
            </w:r>
          </w:p>
        </w:tc>
        <w:tc>
          <w:tcPr>
            <w:tcBorders>
              <w:left w:val="nil"/>
              <w:right w:val="nil"/>
            </w:tcBorders>
          </w:tcPr>
          <w:p>
            <w:pPr>
              <w:pStyle w:val="TableBodyText"/>
            </w:pPr>
            <w:r>
              <w:t>5.5.0.1-5.5.0.10, 5.5.0.20-5.5.0.40</w:t>
            </w:r>
          </w:p>
        </w:tc>
        <w:tc>
          <w:tcPr>
            <w:tcBorders>
              <w:left w:val="nil"/>
              <w:right w:val="nil"/>
            </w:tcBorders>
          </w:tcPr>
          <w:p>
            <w:pPr>
              <w:pStyle w:val="TableBodyText"/>
            </w:pPr>
            <w:r>
              <w:t>-</w:t>
            </w:r>
          </w:p>
        </w:tc>
        <w:tc>
          <w:tcPr>
            <w:tcBorders>
              <w:left w:val="nil"/>
              <w:right w:val="nil"/>
            </w:tcBorders>
          </w:tcPr>
          <w:p>
            <w:pPr>
              <w:pStyle w:val="TableBodyText"/>
            </w:pPr>
            <w:r>
              <w:t>5.5.0.0/24</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WAN</w:t>
            </w:r>
          </w:p>
        </w:tc>
        <w:tc>
          <w:tcPr>
            <w:tcBorders>
              <w:left w:val="nil"/>
              <w:right w:val="nil"/>
            </w:tcBorders>
          </w:tcPr>
          <w:p>
            <w:pPr>
              <w:pStyle w:val="TableBodyText"/>
            </w:pPr>
            <w:r>
              <w:t>IP addresses to be used for accessing your corporate WAN</w:t>
            </w:r>
          </w:p>
        </w:tc>
        <w:tc>
          <w:tcPr>
            <w:tcBorders>
              <w:left w:val="nil"/>
              <w:right w:val="nil"/>
            </w:tcBorders>
          </w:tcPr>
          <w:p>
            <w:pPr>
              <w:pStyle w:val="TableBodyText"/>
            </w:pPr>
            <w:r>
              <w:t>Private</w:t>
            </w:r>
          </w:p>
        </w:tc>
        <w:tc>
          <w:tcPr>
            <w:tcBorders>
              <w:left w:val="nil"/>
              <w:right w:val="nil"/>
            </w:tcBorders>
          </w:tcPr>
          <w:p>
            <w:pPr>
              <w:pStyle w:val="TableBodyText"/>
            </w:pPr>
            <w:r>
              <w:t>172.10.10.1-172.10.10.100</w:t>
            </w:r>
          </w:p>
        </w:tc>
        <w:tc>
          <w:tcPr>
            <w:tcBorders>
              <w:left w:val="nil"/>
              <w:right w:val="nil"/>
            </w:tcBorders>
          </w:tcPr>
          <w:p>
            <w:pPr>
              <w:pStyle w:val="TableBodyText"/>
            </w:pPr>
            <w:r>
              <w:t>-</w:t>
            </w:r>
          </w:p>
        </w:tc>
        <w:tc>
          <w:tcPr>
            <w:tcBorders>
              <w:left w:val="nil"/>
              <w:right w:val="nil"/>
            </w:tcBorders>
          </w:tcPr>
          <w:p>
            <w:pPr>
              <w:pStyle w:val="TableBodyText"/>
            </w:pPr>
            <w:r>
              <w:t>172.10.0.0/24</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Services</w:t>
            </w:r>
          </w:p>
        </w:tc>
        <w:tc>
          <w:tcPr>
            <w:tcBorders>
              <w:left w:val="nil"/>
              <w:right w:val="nil"/>
            </w:tcBorders>
          </w:tcPr>
          <w:p>
            <w:pPr>
              <w:pStyle w:val="TableBodyText"/>
            </w:pPr>
            <w:r>
              <w:t>IP addresses to be used for service communication</w:t>
            </w:r>
          </w:p>
        </w:tc>
        <w:tc>
          <w:tcPr>
            <w:tcBorders>
              <w:left w:val="nil"/>
              <w:right w:val="nil"/>
            </w:tcBorders>
          </w:tcPr>
          <w:p>
            <w:pPr>
              <w:pStyle w:val="TableBodyText"/>
            </w:pPr>
            <w:r>
              <w:t>Shared</w:t>
            </w:r>
          </w:p>
        </w:tc>
        <w:tc>
          <w:tcPr>
            <w:tcBorders>
              <w:left w:val="nil"/>
              <w:right w:val="nil"/>
            </w:tcBorders>
          </w:tcPr>
          <w:p>
            <w:pPr>
              <w:pStyle w:val="TableBodyText"/>
            </w:pPr>
            <w:r>
              <w:t>10.10.10.2-10.10.10.3</w:t>
            </w:r>
          </w:p>
        </w:tc>
        <w:tc>
          <w:tcPr>
            <w:tcBorders>
              <w:left w:val="nil"/>
              <w:right w:val="nil"/>
            </w:tcBorders>
          </w:tcPr>
          <w:p>
            <w:pPr>
              <w:pStyle w:val="TableBodyText"/>
            </w:pPr>
            <w:r>
              <w:t>-</w:t>
            </w:r>
          </w:p>
        </w:tc>
        <w:tc>
          <w:tcPr>
            <w:tcBorders>
              <w:left w:val="nil"/>
              <w:right w:val="nil"/>
            </w:tcBorders>
          </w:tcPr>
          <w:p>
            <w:pPr>
              <w:pStyle w:val="TableBodyText"/>
            </w:pPr>
            <w:r>
              <w:t>10.10.10.0/29</w:t>
            </w:r>
          </w:p>
        </w:tc>
      </w:tr>
    </w:tbl>
    <w:p>
      <w:pPr>
        <w:pStyle w:val="BodyText"/>
        <w:numPr>
          <w:numId w:val="189"/>
        </w:numPr>
        <w:pBdr>
          <w:top w:val="single" w:sz="8" w:space="2" w:color="D3D3D3"/>
        </w:pBdr>
        <w:spacing w:before="240"/>
      </w:pPr>
      <w:r>
        <w:t>For the Internet IP space, the Static IP pool range 5.5.0.100-5.5.0.200 was not used for any IP allocations, so the provider left it out of the new IP space range. There are no networks using this IP Space so no IP prefix sequence was defined. To not include this range in the IP space, the provider must first remove it from the IP block definition.</w:t>
      </w:r>
    </w:p>
    <w:p>
      <w:pPr>
        <w:pStyle w:val="BodyText"/>
        <w:numPr>
          <w:numId w:val="189"/>
        </w:numPr>
      </w:pPr>
      <w:r>
        <w:t>For the WAN IP space, the scope was changed to be more narrow than what was defined in the IP block.</w:t>
      </w:r>
    </w:p>
    <w:p>
      <w:pPr>
        <w:pStyle w:val="BodyText"/>
        <w:numPr>
          <w:numId w:val="189"/>
        </w:numPr>
        <w:pBdr>
          <w:bottom w:val="single" w:sz="8" w:space="2" w:color="D3D3D3"/>
        </w:pBdr>
      </w:pPr>
      <w:r>
        <w:t>For the services IP Space, only one of the Static Pools ranges were used to define the IP space range and the scope was reduced.</w:t>
      </w:r>
    </w:p>
    <w:p>
      <w:pPr>
        <w:pStyle w:val="Heading3"/>
      </w:pPr>
      <w:bookmarkStart w:id="238" w:name="_Toc256000615"/>
      <w:r>
        <w:t>Autoconfigure BGP on a Provider Gateway in the VCF Automation Provider Management Portal</w:t>
      </w:r>
      <w:bookmarkEnd w:id="238"/>
    </w:p>
    <w:p>
      <w:pPr>
        <w:pStyle w:val="BodyText"/>
      </w:pPr>
      <w:r>
        <w:t>You can autoconfigure BGP on your provider gateway.</w:t>
      </w:r>
    </w:p>
    <w:p>
      <w:pPr>
        <w:pStyle w:val="BodyText"/>
      </w:pPr>
      <w:r>
        <w:t>Autoconfiguring BGP on a provider gateway generates a BGP neighbor, prefix list and route map based on the IP space uplink that you select.</w:t>
      </w:r>
    </w:p>
    <w:p>
      <w:pPr>
        <w:pStyle w:val="BodyText"/>
        <w:pBdr>
          <w:top w:val="single" w:sz="8" w:space="2" w:color="D3D3D3"/>
          <w:bottom w:val="single" w:sz="8" w:space="2" w:color="D3D3D3"/>
        </w:pBdr>
      </w:pPr>
      <w:r>
        <w:rPr>
          <w:rStyle w:val="NoteLeaderimportant"/>
        </w:rPr>
        <w:t>Important</w:t>
        <w:tab/>
      </w:r>
      <w:r>
        <w:t>If you choose to run autoconfigure again for the same IP space uplink, this resets the created BGP components to their default behavior.</w:t>
      </w:r>
    </w:p>
    <w:p>
      <w:pPr>
        <w:pStyle w:val="BodyText"/>
      </w:pPr>
      <w:r>
        <w:rPr>
          <w:rStyle w:val="Strong"/>
        </w:rPr>
        <w:t>Prerequisites</w:t>
      </w:r>
    </w:p>
    <w:p>
      <w:pPr>
        <w:pStyle w:val="BodyText"/>
        <w:numPr>
          <w:numId w:val="190"/>
        </w:numPr>
      </w:pPr>
      <w:r>
        <w:t>Verify that your provider gateway uses IP spaces.</w:t>
      </w:r>
    </w:p>
    <w:p>
      <w:pPr>
        <w:pStyle w:val="BodyText"/>
        <w:numPr>
          <w:numId w:val="190"/>
        </w:numPr>
      </w:pPr>
      <w:r>
        <w:t xml:space="preserve">Verify that you have the </w:t>
      </w:r>
      <w:r>
        <w:rPr>
          <w:rStyle w:val="InlineUI"/>
        </w:rPr>
        <w:t>System IP Spaces: View</w:t>
      </w:r>
      <w:r>
        <w:t xml:space="preserve"> and </w:t>
      </w:r>
      <w:r>
        <w:rPr>
          <w:rStyle w:val="InlineUI"/>
        </w:rPr>
        <w:t>Provider Gateway Routing: Manage</w:t>
      </w:r>
      <w:r>
        <w:t xml:space="preserve"> rights assigned to you.</w:t>
      </w:r>
    </w:p>
    <w:p>
      <w:pPr>
        <w:pStyle w:val="BodyText"/>
        <w:numPr>
          <w:numId w:val="190"/>
        </w:numPr>
      </w:pPr>
      <w:r>
        <w:t>Verify that your provider gateway is private.</w:t>
      </w:r>
    </w:p>
    <w:p>
      <w:pPr>
        <w:pStyle w:val="BodyText"/>
        <w:numPr>
          <w:numId w:val="190"/>
        </w:numPr>
      </w:pPr>
      <w:r>
        <w:t xml:space="preserve">Verify that you associated at least one IP space to the provider gateway. See </w:t>
      </w:r>
      <w:r>
        <w:t>Add an IP Space Uplink To a Provider Gateway in Your VCF Automation</w:t>
      </w:r>
      <w:r>
        <w:t>.</w:t>
      </w:r>
    </w:p>
    <w:p>
      <w:pPr>
        <w:pStyle w:val="BodyText"/>
      </w:pPr>
      <w:r>
        <w:rPr>
          <w:rStyle w:val="Strong"/>
        </w:rPr>
        <w:t>Procedure</w:t>
      </w:r>
    </w:p>
    <w:p>
      <w:pPr>
        <w:pStyle w:val="BodyText"/>
        <w:numPr>
          <w:numId w:val="191"/>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191"/>
        </w:numPr>
      </w:pPr>
      <w:r>
        <w:t xml:space="preserve">In the left pane, click </w:t>
      </w:r>
      <w:r>
        <w:rPr>
          <w:rStyle w:val="InlineUI"/>
        </w:rPr>
        <w:t>Provider Gateways</w:t>
      </w:r>
      <w:r>
        <w:t>.</w:t>
      </w:r>
    </w:p>
    <w:p>
      <w:pPr>
        <w:pStyle w:val="BodyText"/>
        <w:numPr>
          <w:numId w:val="191"/>
        </w:numPr>
      </w:pPr>
      <w:r>
        <w:t>Click the provider gateway.</w:t>
      </w:r>
    </w:p>
    <w:p>
      <w:pPr>
        <w:pStyle w:val="BodyText"/>
        <w:numPr>
          <w:numId w:val="191"/>
        </w:numPr>
      </w:pPr>
      <w:r>
        <w:t xml:space="preserve">On the right of the provider gateway name, click </w:t>
      </w:r>
      <w:r>
        <w:rPr>
          <w:rStyle w:val="InlineUI"/>
        </w:rPr>
        <w:t>Autoconfigure</w:t>
      </w:r>
      <w:r>
        <w:rPr>
          <w:rStyle w:val="InlineUI"/>
        </w:rPr>
        <w:t xml:space="preserve"> &gt; </w:t>
      </w:r>
      <w:r>
        <w:rPr>
          <w:rStyle w:val="InlineUI"/>
        </w:rPr>
        <w:t>BGP</w:t>
      </w:r>
      <w:r>
        <w:t>.</w:t>
      </w:r>
    </w:p>
    <w:p>
      <w:pPr>
        <w:pStyle w:val="BodyText"/>
        <w:numPr>
          <w:numId w:val="191"/>
        </w:numPr>
      </w:pPr>
      <w:r>
        <w:t xml:space="preserve">(Optional) </w:t>
      </w:r>
      <w:r>
        <w:t>Enter the name of a BGP permission group to use for the autoconfiguration.</w:t>
      </w:r>
    </w:p>
    <w:p>
      <w:pPr>
        <w:pStyle w:val="BodyText"/>
        <w:ind w:left="480"/>
      </w:pPr>
      <w:r>
        <w:t>If you don't enter a name, no BGP permission group is created as part of the configuration.</w:t>
      </w:r>
    </w:p>
    <w:p>
      <w:pPr>
        <w:pStyle w:val="BodyText"/>
        <w:numPr>
          <w:numId w:val="191"/>
        </w:numPr>
      </w:pPr>
      <w:r>
        <w:t>From the drop-down list, select an IP space uplink.</w:t>
      </w:r>
    </w:p>
    <w:p>
      <w:pPr>
        <w:pStyle w:val="BodyText"/>
        <w:numPr>
          <w:numId w:val="191"/>
        </w:numPr>
      </w:pPr>
      <w:r>
        <w:t xml:space="preserve">(Optional) </w:t>
      </w:r>
      <w:r>
        <w:t>To configure a BGP neighbor, enter an IPv4 or IPv6 address for the BGP neighbor.</w:t>
      </w:r>
    </w:p>
    <w:p>
      <w:pPr>
        <w:pStyle w:val="BodyText"/>
        <w:numPr>
          <w:numId w:val="191"/>
        </w:numPr>
      </w:pPr>
      <w:r>
        <w:t>If you entered and IP address for the BGP neighbor, enter a remote autonomous system (AS) ID number either in ASPLAIN or in ASDOT format.</w:t>
      </w:r>
    </w:p>
    <w:p>
      <w:pPr>
        <w:pStyle w:val="BodyText"/>
        <w:numPr>
          <w:numId w:val="191"/>
        </w:numPr>
      </w:pPr>
      <w:r>
        <w:t xml:space="preserve">Click </w:t>
      </w:r>
      <w:r>
        <w:rPr>
          <w:rStyle w:val="InlineUI"/>
        </w:rPr>
        <w:t>Autoconfigure</w:t>
      </w:r>
      <w:r>
        <w:t>.</w:t>
      </w:r>
    </w:p>
    <w:p>
      <w:pPr>
        <w:pStyle w:val="Heading3"/>
      </w:pPr>
      <w:bookmarkStart w:id="239" w:name="B6c29625431b64fb39563c421ab92d47e"/>
      <w:bookmarkStart w:id="240" w:name="_Toc256000616"/>
      <w:r>
        <w:t>Autoconfigure Default NAT and Firewall Rules on a Provider Gateway in Your VCF Automation</w:t>
      </w:r>
      <w:bookmarkEnd w:id="240"/>
      <w:bookmarkEnd w:id="239"/>
    </w:p>
    <w:p>
      <w:pPr>
        <w:pStyle w:val="BodyText"/>
      </w:pPr>
      <w:r>
        <w:t xml:space="preserve">If you are using IP spaces, you can generate default SNAT, NO SNAT, and firewall rules on provider gateways in your </w:t>
      </w:r>
      <w:r>
        <w:t>VCF Automation</w:t>
      </w:r>
      <w:r>
        <w:t xml:space="preserve"> environment.</w:t>
      </w:r>
    </w:p>
    <w:p>
      <w:pPr>
        <w:pStyle w:val="BodyText"/>
      </w:pPr>
      <w:r>
        <w:t>VCF Automation</w:t>
      </w:r>
      <w:r>
        <w:t xml:space="preserve"> autoconfigures the SNAT, NO SNAT, and firewall rules depending on the topology of the relevant IP spaces and their external and internal scopes.</w:t>
      </w:r>
    </w:p>
    <w:p>
      <w:pPr>
        <w:pStyle w:val="BodyText"/>
      </w:pPr>
      <w:r>
        <w:t>Rerunning autoconfiguration deletes all previously created NAT and firewall rules and recreates them. This includes the rules that were modified by users. All existing IP uplinks are taken into account during the reautoconfiguration</w:t>
      </w:r>
    </w:p>
    <w:p>
      <w:pPr>
        <w:pStyle w:val="BodyText"/>
      </w:pPr>
      <w:r>
        <w:t>Rules are applied in specific order.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61"/>
        <w:gridCol w:w="87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Rule Type</w:t>
            </w:r>
          </w:p>
        </w:tc>
        <w:tc>
          <w:tcPr>
            <w:tcBorders>
              <w:left w:val="nil"/>
              <w:right w:val="nil"/>
            </w:tcBorders>
            <w:shd w:val="clear" w:color="auto" w:fill="E1E1E1"/>
            <w:tcMar>
              <w:top w:w="60" w:type="dxa"/>
              <w:bottom w:w="60" w:type="dxa"/>
            </w:tcMar>
          </w:tcPr>
          <w:p>
            <w:pPr>
              <w:pStyle w:val="TableHeaderText"/>
            </w:pPr>
            <w:r>
              <w:t>Priority Order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NAT rules</w:t>
            </w:r>
          </w:p>
        </w:tc>
        <w:tc>
          <w:tcPr>
            <w:tcBorders>
              <w:left w:val="nil"/>
              <w:right w:val="nil"/>
            </w:tcBorders>
          </w:tcPr>
          <w:p>
            <w:pPr>
              <w:pStyle w:val="TableBodyText"/>
              <w:numPr>
                <w:numId w:val="192"/>
              </w:numPr>
            </w:pPr>
            <w:r>
              <w:t>Default NO SNAT rules are defined with a priority of 0, meaning the highest priority. The exception to this would be for an IP space where the external scope is the default route (i.e. 0.0.0.0/0). The NO SNAT rule associated with the default route has a priority of 1000.</w:t>
            </w:r>
          </w:p>
          <w:p>
            <w:pPr>
              <w:pStyle w:val="TableBodyText"/>
              <w:numPr>
                <w:numId w:val="192"/>
              </w:numPr>
            </w:pPr>
            <w:r>
              <w:t>Default SNAT rules have a priority of 100, again, with the exception of the SNAT rule associated with the default route. The SNAT rule associated with the default route has a priority of 1001.</w:t>
            </w:r>
          </w:p>
          <w:p>
            <w:pPr>
              <w:pStyle w:val="TableBodyText"/>
              <w:numPr>
                <w:numId w:val="192"/>
              </w:numPr>
            </w:pPr>
            <w:r>
              <w:t>User-created NAT rules have a priority of 50 by default.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Firewall rules</w:t>
            </w:r>
          </w:p>
        </w:tc>
        <w:tc>
          <w:tcPr>
            <w:tcBorders>
              <w:left w:val="nil"/>
              <w:right w:val="nil"/>
            </w:tcBorders>
          </w:tcPr>
          <w:p>
            <w:pPr>
              <w:pStyle w:val="TableBodyText"/>
            </w:pPr>
            <w:r>
              <w:t xml:space="preserve">The order in which firewall rules are applied differs depending on your </w:t>
            </w:r>
            <w:r>
              <w:t>VCF Automation</w:t>
            </w:r>
            <w:r>
              <w:t xml:space="preserve"> version.</w:t>
            </w:r>
          </w:p>
          <w:p>
            <w:pPr>
              <w:pStyle w:val="TableBodyText"/>
            </w:pPr>
            <w:r>
              <w:t>VCF Automation</w:t>
            </w:r>
            <w:r>
              <w:t xml:space="preserve"> applies the rules in the following order.</w:t>
            </w:r>
          </w:p>
          <w:p>
            <w:pPr>
              <w:pStyle w:val="TableBodyText"/>
              <w:numPr>
                <w:numId w:val="193"/>
              </w:numPr>
            </w:pPr>
            <w:r>
              <w:t>Firewall rules for associated default SNAT rules.</w:t>
            </w:r>
          </w:p>
          <w:p>
            <w:pPr>
              <w:pStyle w:val="TableBodyText"/>
              <w:numPr>
                <w:numId w:val="193"/>
              </w:numPr>
            </w:pPr>
            <w:r>
              <w:t>Firewall rules for associated default NO SNAT rules.</w:t>
            </w:r>
          </w:p>
          <w:p>
            <w:pPr>
              <w:pStyle w:val="TableBodyText"/>
              <w:numPr>
                <w:numId w:val="193"/>
              </w:numPr>
            </w:pPr>
            <w:r>
              <w:t>Existing firewall rules.</w:t>
            </w:r>
          </w:p>
        </w:tc>
      </w:tr>
    </w:tbl>
    <w:p>
      <w:pPr>
        <w:pStyle w:val="ditaDT"/>
        <w:spacing w:before="240"/>
      </w:pPr>
      <w:r>
        <w:t>Default SNAT rule</w:t>
      </w:r>
    </w:p>
    <w:p>
      <w:pPr>
        <w:pStyle w:val="ditaDD"/>
      </w:pPr>
      <w:r>
        <w:t>This rule indicates that all traffic can access the external scope of a specific IP space by using NAT. The autoconfigured source is any IP address or CIDR, and the autoconfigured destination is the external scope of the IP space.</w:t>
      </w:r>
    </w:p>
    <w:p>
      <w:pPr>
        <w:pStyle w:val="ditaDT"/>
      </w:pPr>
      <w:r>
        <w:t>Default NO SNAT Rule</w:t>
      </w:r>
    </w:p>
    <w:p>
      <w:pPr>
        <w:pStyle w:val="ditaDD"/>
      </w:pPr>
      <w:r>
        <w:t>A NO SNAT rule allows traffic to flow from the IP space internal scope to its external scope without NAT rules being applied.</w:t>
      </w:r>
    </w:p>
    <w:p>
      <w:pPr>
        <w:pStyle w:val="ditaDT"/>
      </w:pPr>
      <w:r>
        <w:t>Associated Firewall Rule</w:t>
      </w:r>
    </w:p>
    <w:p>
      <w:pPr>
        <w:pStyle w:val="ditaDD"/>
      </w:pPr>
      <w:r>
        <w:t>An associated firewall rule is created for each default SNAT and NO SNAT rule.</w:t>
      </w:r>
    </w:p>
    <w:p>
      <w:pPr>
        <w:pStyle w:val="BodyText"/>
      </w:pPr>
      <w:r>
        <w:rPr>
          <w:rStyle w:val="Strong"/>
        </w:rPr>
        <w:t>Prerequisites</w:t>
      </w:r>
    </w:p>
    <w:p>
      <w:pPr>
        <w:pStyle w:val="BodyText"/>
        <w:numPr>
          <w:numId w:val="194"/>
        </w:numPr>
      </w:pPr>
      <w:r>
        <w:t xml:space="preserve">Verify that you are a </w:t>
      </w:r>
      <w:r>
        <w:rPr>
          <w:rStyle w:val="InlineUI"/>
        </w:rPr>
        <w:t>system administrator</w:t>
      </w:r>
      <w:r>
        <w:t xml:space="preserve"> or that your role includes the </w:t>
      </w:r>
      <w:r>
        <w:rPr>
          <w:rStyle w:val="InlineUI"/>
        </w:rPr>
        <w:t>IP Spaces Default Gateway Services: Manage</w:t>
      </w:r>
      <w:r>
        <w:t xml:space="preserve"> right.</w:t>
      </w:r>
    </w:p>
    <w:p>
      <w:pPr>
        <w:pStyle w:val="BodyText"/>
        <w:numPr>
          <w:numId w:val="194"/>
        </w:numPr>
      </w:pPr>
      <w:r>
        <w:t xml:space="preserve">Verify that the provider gateway is backed by an </w:t>
      </w:r>
      <w:r>
        <w:t>NSX</w:t>
      </w:r>
      <w:r>
        <w:t xml:space="preserve"> tier-0 VRF gateway configured with active-standby high availability mode.</w:t>
      </w:r>
    </w:p>
    <w:p>
      <w:pPr>
        <w:pStyle w:val="BodyText"/>
        <w:numPr>
          <w:numId w:val="194"/>
        </w:numPr>
      </w:pPr>
      <w:r>
        <w:t>Verify that the provider gateway is dedicated to a single tenant.</w:t>
      </w:r>
    </w:p>
    <w:p>
      <w:pPr>
        <w:pStyle w:val="BodyText"/>
        <w:numPr>
          <w:numId w:val="194"/>
        </w:numPr>
      </w:pPr>
      <w:r>
        <w:t xml:space="preserve">Verify that you associated at least one IP space to the provider gateway. See </w:t>
      </w:r>
      <w:r>
        <w:t>Add an IP Space Uplink To a Provider Gateway in Your VCF Automation</w:t>
      </w:r>
      <w:r>
        <w:t>.</w:t>
      </w:r>
    </w:p>
    <w:p>
      <w:pPr>
        <w:pStyle w:val="BodyText"/>
        <w:numPr>
          <w:numId w:val="194"/>
        </w:numPr>
      </w:pPr>
      <w:r>
        <w:t>Verify that you configured the internal and external scopes for the IP spaces associated with the provider gateway.</w:t>
      </w:r>
    </w:p>
    <w:p>
      <w:pPr>
        <w:pStyle w:val="BodyText"/>
        <w:numPr>
          <w:numId w:val="194"/>
        </w:numPr>
      </w:pPr>
      <w:r>
        <w:t xml:space="preserve">Verify that you configured the network topology for the IP spaces for which you want to autoconfigure NAT and firewall rules. See </w:t>
      </w:r>
      <w:r>
        <w:t>Configure the Network Topology For an IP Space in Your VCF Automation</w:t>
      </w:r>
      <w:r>
        <w:t>.</w:t>
      </w:r>
    </w:p>
    <w:p>
      <w:pPr>
        <w:pStyle w:val="BodyText"/>
      </w:pPr>
      <w:r>
        <w:rPr>
          <w:rStyle w:val="Strong"/>
        </w:rPr>
        <w:t>Procedure</w:t>
      </w:r>
    </w:p>
    <w:p>
      <w:pPr>
        <w:pStyle w:val="BodyText"/>
        <w:numPr>
          <w:numId w:val="195"/>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195"/>
        </w:numPr>
      </w:pPr>
      <w:r>
        <w:t xml:space="preserve">In the left pane, click </w:t>
      </w:r>
      <w:r>
        <w:rPr>
          <w:rStyle w:val="InlineUI"/>
        </w:rPr>
        <w:t>Provider Gateways</w:t>
      </w:r>
      <w:r>
        <w:t>.</w:t>
      </w:r>
    </w:p>
    <w:p>
      <w:pPr>
        <w:pStyle w:val="BodyText"/>
        <w:numPr>
          <w:numId w:val="195"/>
        </w:numPr>
      </w:pPr>
      <w:r>
        <w:t xml:space="preserve">On the right of the provider gateway name, click </w:t>
      </w:r>
      <w:r>
        <w:rPr>
          <w:rStyle w:val="InlineUI"/>
        </w:rPr>
        <w:t>Autoconfigure</w:t>
      </w:r>
      <w:r>
        <w:rPr>
          <w:rStyle w:val="InlineUI"/>
        </w:rPr>
        <w:t xml:space="preserve"> &gt; </w:t>
      </w:r>
      <w:r>
        <w:rPr>
          <w:rStyle w:val="InlineUI"/>
        </w:rPr>
        <w:t>NAT and Firewall</w:t>
      </w:r>
      <w:r>
        <w:t>.</w:t>
      </w:r>
    </w:p>
    <w:p>
      <w:pPr>
        <w:pStyle w:val="BodyText"/>
        <w:numPr>
          <w:numId w:val="195"/>
        </w:numPr>
      </w:pPr>
      <w:r>
        <w:t xml:space="preserve">Click </w:t>
      </w:r>
      <w:r>
        <w:rPr>
          <w:rStyle w:val="InlineUI"/>
        </w:rPr>
        <w:t>Autoconfigure</w:t>
      </w:r>
      <w:r>
        <w:t>.</w:t>
      </w:r>
    </w:p>
    <w:p>
      <w:pPr>
        <w:pStyle w:val="Heading3"/>
      </w:pPr>
      <w:bookmarkStart w:id="241" w:name="B9fca52448abc4648aba3d87bfe0dbd0e"/>
      <w:bookmarkStart w:id="242" w:name="_Toc256000617"/>
      <w:r>
        <w:t>Configure Route Advertisement Topology Intentions on a Provider Gateway in the VCF Automation Provider Management Portal</w:t>
      </w:r>
      <w:bookmarkEnd w:id="242"/>
      <w:bookmarkEnd w:id="241"/>
    </w:p>
    <w:p>
      <w:pPr>
        <w:pStyle w:val="BodyText"/>
      </w:pPr>
      <w:r>
        <w:t xml:space="preserve">As a </w:t>
      </w:r>
      <w:r>
        <w:rPr>
          <w:rStyle w:val="InlineUI"/>
        </w:rPr>
        <w:t>system administrator</w:t>
      </w:r>
      <w:r>
        <w:t xml:space="preserve">, you can use the topology intentions feature to instruct </w:t>
      </w:r>
      <w:r>
        <w:t>VCF Automation</w:t>
      </w:r>
      <w:r>
        <w:t xml:space="preserve"> how to handle route advertisement within the network stack for each provider gateway.</w:t>
      </w:r>
    </w:p>
    <w:p>
      <w:pPr>
        <w:pStyle w:val="BodyText"/>
      </w:pPr>
      <w:r>
        <w:t>You configure your topology intentions on the provider gateway, and you can edit them later, if necessary.</w:t>
      </w:r>
    </w:p>
    <w:p>
      <w:pPr>
        <w:pStyle w:val="BodyText"/>
      </w:pPr>
      <w:r>
        <w:t>Changing the provider gateway's topology intention settings does not affect any existing configuration components. However, if the topology intentions configuration includes specific restriction, for example, if you want only the IP spaces associated with an IP space uplink to be advertised, this setting will be enforced across the existing configuration.</w:t>
      </w:r>
    </w:p>
    <w:p>
      <w:pPr>
        <w:pStyle w:val="BodyText"/>
      </w:pPr>
      <w:r>
        <w:t>To indicate your topology intent, you configure two types of settings - route advertisement intentions and NAT and firewall intentions.</w:t>
      </w:r>
    </w:p>
    <w:p>
      <w:pPr>
        <w:pStyle w:val="ditaDT"/>
      </w:pPr>
      <w:r>
        <w:t>Route Advertisement Intents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31"/>
        <w:gridCol w:w="782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Intentions</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Advertisement Strict</w:t>
            </w:r>
          </w:p>
        </w:tc>
        <w:tc>
          <w:tcPr>
            <w:tcBorders>
              <w:left w:val="nil"/>
              <w:right w:val="nil"/>
            </w:tcBorders>
          </w:tcPr>
          <w:p>
            <w:pPr>
              <w:pStyle w:val="TableBodyText"/>
            </w:pPr>
            <w:r>
              <w:t>This is the only available option for public provider gateways.</w:t>
            </w:r>
          </w:p>
          <w:p>
            <w:pPr>
              <w:pStyle w:val="TableBodyText"/>
            </w:pPr>
            <w:r>
              <w:t>In this topology configuration, every new routed network that is connected to an edge gateway which is backed by the provider gateway is automatically advertised if the network's subnet is a prefix from an IP space that is configured with an uplink on the provider gateway. You can turn off route advertisement for such networks manually, if necessary.</w:t>
            </w:r>
          </w:p>
          <w:p>
            <w:pPr>
              <w:pStyle w:val="TableBodyText"/>
            </w:pPr>
            <w:r>
              <w:t>For all other network, route advertisement is turned off and cannot be turned 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Advertisement Flexible</w:t>
            </w:r>
          </w:p>
        </w:tc>
        <w:tc>
          <w:tcPr>
            <w:tcBorders>
              <w:left w:val="nil"/>
              <w:right w:val="nil"/>
            </w:tcBorders>
          </w:tcPr>
          <w:p>
            <w:pPr>
              <w:pStyle w:val="TableBodyText"/>
            </w:pPr>
            <w:r>
              <w:t>Available to private provider gateways.</w:t>
            </w:r>
          </w:p>
          <w:p>
            <w:pPr>
              <w:pStyle w:val="TableBodyText"/>
            </w:pPr>
            <w:r>
              <w:t>In this topology configuration, only routed networks with IP spaces that are associated with an uplink are advertised by default. This can be changed on an individual network level later, if necessary.</w:t>
            </w:r>
          </w:p>
          <w:p>
            <w:pPr>
              <w:pStyle w:val="TableBodyText"/>
            </w:pPr>
            <w:r>
              <w:t>All other networks are not advertised by default but can be configured to be advertised after creation.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All Networks Advertised</w:t>
            </w:r>
          </w:p>
        </w:tc>
        <w:tc>
          <w:tcPr>
            <w:tcBorders>
              <w:left w:val="nil"/>
              <w:right w:val="nil"/>
            </w:tcBorders>
          </w:tcPr>
          <w:p>
            <w:pPr>
              <w:pStyle w:val="TableBodyText"/>
            </w:pPr>
            <w:r>
              <w:t>Available to private provider gateways.</w:t>
            </w:r>
          </w:p>
          <w:p>
            <w:pPr>
              <w:pStyle w:val="TableBodyText"/>
            </w:pPr>
            <w:r>
              <w:t>In this topology, all networks are advertised by default from the edge gateway. This can be changed on an individual network level later, if necessary.</w:t>
            </w:r>
          </w:p>
        </w:tc>
      </w:tr>
    </w:tbl>
    <w:p>
      <w:pPr>
        <w:pStyle w:val="BodyText"/>
        <w:spacing w:before="240"/>
      </w:pPr>
    </w:p>
    <w:p>
      <w:pPr>
        <w:pStyle w:val="BodyText"/>
      </w:pPr>
      <w:r>
        <w:rPr>
          <w:rStyle w:val="Strong"/>
        </w:rPr>
        <w:t>Prerequisites</w:t>
      </w:r>
    </w:p>
    <w:p>
      <w:pPr>
        <w:pStyle w:val="BodyText"/>
        <w:numPr>
          <w:numId w:val="196"/>
        </w:numPr>
      </w:pPr>
      <w:r>
        <w:t>Verify that your provider gateway is private, i.e. that it is dedicated to a single organization. If a provider gateway is public, you can view it's topology configuration but you cannot edit it.</w:t>
      </w:r>
    </w:p>
    <w:p>
      <w:pPr>
        <w:pStyle w:val="BodyText"/>
        <w:numPr>
          <w:numId w:val="196"/>
        </w:numPr>
      </w:pPr>
      <w:r>
        <w:t>Verify that your role includes the</w:t>
      </w:r>
      <w:r>
        <w:rPr>
          <w:rStyle w:val="InlineUI"/>
        </w:rPr>
        <w:t>Provider Network:Edit</w:t>
      </w:r>
      <w:r>
        <w:t xml:space="preserve"> right.</w:t>
      </w:r>
    </w:p>
    <w:p>
      <w:pPr>
        <w:pStyle w:val="BodyText"/>
      </w:pPr>
      <w:r>
        <w:rPr>
          <w:rStyle w:val="Strong"/>
        </w:rPr>
        <w:t>Procedure</w:t>
      </w:r>
    </w:p>
    <w:p>
      <w:pPr>
        <w:pStyle w:val="BodyText"/>
        <w:numPr>
          <w:numId w:val="197"/>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197"/>
        </w:numPr>
      </w:pPr>
      <w:r>
        <w:t xml:space="preserve">From the secondary left panel, select </w:t>
      </w:r>
      <w:r>
        <w:rPr>
          <w:rStyle w:val="InlineUI"/>
        </w:rPr>
        <w:t>Provider Gateways</w:t>
      </w:r>
      <w:r>
        <w:t>.</w:t>
      </w:r>
    </w:p>
    <w:p>
      <w:pPr>
        <w:pStyle w:val="BodyText"/>
        <w:numPr>
          <w:numId w:val="197"/>
        </w:numPr>
      </w:pPr>
      <w:r>
        <w:t>Click the provider gateway.</w:t>
      </w:r>
    </w:p>
    <w:p>
      <w:pPr>
        <w:pStyle w:val="BodyText"/>
        <w:numPr>
          <w:numId w:val="197"/>
        </w:numPr>
      </w:pPr>
      <w:r>
        <w:t xml:space="preserve">Under Topology Intentions, click </w:t>
      </w:r>
      <w:r>
        <w:rPr>
          <w:rStyle w:val="InlineUI"/>
        </w:rPr>
        <w:t>Route Advertisement</w:t>
      </w:r>
      <w:r>
        <w:t>.</w:t>
      </w:r>
    </w:p>
    <w:p>
      <w:pPr>
        <w:pStyle w:val="BodyText"/>
        <w:numPr>
          <w:numId w:val="197"/>
        </w:numPr>
      </w:pPr>
      <w:r>
        <w:t xml:space="preserve">Click </w:t>
      </w:r>
      <w:r>
        <w:rPr>
          <w:rStyle w:val="InlineUI"/>
        </w:rPr>
        <w:t>Edit</w:t>
      </w:r>
      <w:r>
        <w:t>.</w:t>
      </w:r>
    </w:p>
    <w:p>
      <w:pPr>
        <w:pStyle w:val="BodyText"/>
        <w:numPr>
          <w:numId w:val="197"/>
        </w:numPr>
      </w:pPr>
      <w:r>
        <w:t xml:space="preserve">Select one of the available options and click </w:t>
      </w:r>
      <w:r>
        <w:rPr>
          <w:rStyle w:val="InlineUI"/>
        </w:rPr>
        <w:t>Save</w:t>
      </w:r>
      <w:r>
        <w:t>.</w:t>
      </w:r>
    </w:p>
    <w:p>
      <w:pPr>
        <w:pStyle w:val="Heading3"/>
      </w:pPr>
      <w:bookmarkStart w:id="243" w:name="_Toc256000618"/>
      <w:r>
        <w:t>Configure NAT and Firewall Service Intentions on a Provider Gateway in the VCF Automation Provider Management Portal</w:t>
      </w:r>
      <w:bookmarkEnd w:id="243"/>
    </w:p>
    <w:p>
      <w:pPr>
        <w:pStyle w:val="BodyText"/>
      </w:pPr>
      <w:r>
        <w:t xml:space="preserve">As a </w:t>
      </w:r>
      <w:r>
        <w:rPr>
          <w:rStyle w:val="InlineUI"/>
        </w:rPr>
        <w:t>system administrator</w:t>
      </w:r>
      <w:r>
        <w:t xml:space="preserve">, you can use the topology intentions feature to instruct </w:t>
      </w:r>
      <w:r>
        <w:t>VCF Automation</w:t>
      </w:r>
      <w:r>
        <w:t xml:space="preserve"> how to handle services configuration within the network stack for each provider gateway.</w:t>
      </w:r>
    </w:p>
    <w:p>
      <w:pPr>
        <w:pStyle w:val="BodyText"/>
      </w:pPr>
      <w:r>
        <w:t>You configure your topology intentions on the provider gateway, and you can edit them later, if necessary.</w:t>
      </w:r>
    </w:p>
    <w:p>
      <w:pPr>
        <w:pStyle w:val="BodyText"/>
      </w:pPr>
      <w:r>
        <w:t>Changing the provider gateway's topology intention settings does not affect any existing configuration components. However, if the topology intentions configuration includes specific restriction, for example, if you want only the IP spaces associated with an IP space uplink to be advertised, this setting will be enforced across the existing configuration.</w:t>
      </w:r>
    </w:p>
    <w:p>
      <w:pPr>
        <w:pStyle w:val="BodyText"/>
      </w:pPr>
      <w:r>
        <w:t>To indicate your topology intent, you configure two types of settings - route advertisement intentions and NAT and firewall intentions.</w:t>
      </w:r>
    </w:p>
    <w:p>
      <w:pPr>
        <w:pStyle w:val="ditaDT"/>
      </w:pPr>
      <w:r>
        <w:t>NAT and Firewall Service Intentions</w:t>
      </w:r>
    </w:p>
    <w:p>
      <w:pPr>
        <w:pStyle w:val="ditaDD"/>
      </w:pPr>
      <w:r>
        <w:t>NAT and firewall service intentions indicate whether these services can be configured on edge gateways, on provider gateways, or both.</w:t>
      </w:r>
    </w:p>
    <w:p>
      <w:pPr>
        <w:pStyle w:val="ditaDD"/>
      </w:pPr>
      <w:r>
        <w:t>By default, NAT and firewall are configurable only on edge gateways.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48"/>
        <w:gridCol w:w="721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Intention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Provider Gateways</w:t>
            </w:r>
          </w:p>
        </w:tc>
        <w:tc>
          <w:tcPr>
            <w:tcBorders>
              <w:left w:val="nil"/>
              <w:right w:val="nil"/>
            </w:tcBorders>
          </w:tcPr>
          <w:p>
            <w:pPr>
              <w:pStyle w:val="TableBodyText"/>
            </w:pPr>
            <w:r>
              <w:t>NAT and firewall are managed only on the provider gateways.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Edge Gateways</w:t>
            </w:r>
          </w:p>
        </w:tc>
        <w:tc>
          <w:tcPr>
            <w:tcBorders>
              <w:left w:val="nil"/>
              <w:right w:val="nil"/>
            </w:tcBorders>
          </w:tcPr>
          <w:p>
            <w:pPr>
              <w:pStyle w:val="TableBodyText"/>
            </w:pPr>
            <w:r>
              <w:t>This is the only available option for public provider gateways.</w:t>
            </w:r>
          </w:p>
          <w:p>
            <w:pPr>
              <w:pStyle w:val="TableBodyText"/>
            </w:pPr>
            <w:r>
              <w:t>NAT and firewall rules are managed only on edge gateways.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Provider and Edge Gateways</w:t>
            </w:r>
          </w:p>
        </w:tc>
        <w:tc>
          <w:tcPr>
            <w:tcBorders>
              <w:left w:val="nil"/>
              <w:right w:val="nil"/>
            </w:tcBorders>
          </w:tcPr>
          <w:p>
            <w:pPr>
              <w:pStyle w:val="TableBodyText"/>
            </w:pPr>
            <w:r>
              <w:t>NAT and firewall rules are configured both on provider gateways and edge gateways.</w:t>
            </w:r>
          </w:p>
        </w:tc>
      </w:tr>
    </w:tbl>
    <w:p>
      <w:pPr>
        <w:pStyle w:val="BodyText"/>
        <w:spacing w:before="240"/>
      </w:pPr>
      <w:r>
        <w:rPr>
          <w:rStyle w:val="Strong"/>
        </w:rPr>
        <w:t>Prerequisites</w:t>
      </w:r>
    </w:p>
    <w:p>
      <w:pPr>
        <w:pStyle w:val="BodyText"/>
        <w:numPr>
          <w:numId w:val="198"/>
        </w:numPr>
      </w:pPr>
      <w:r>
        <w:t>Verify that your provider gateway is private, i.e. that it is dedicated to a single organization. If a provider gateway is public, you can view it's topology configuration but you cannot edit it.</w:t>
      </w:r>
    </w:p>
    <w:p>
      <w:pPr>
        <w:pStyle w:val="BodyText"/>
        <w:numPr>
          <w:numId w:val="198"/>
        </w:numPr>
      </w:pPr>
      <w:r>
        <w:t>Verify that your role includes the</w:t>
      </w:r>
      <w:r>
        <w:rPr>
          <w:rStyle w:val="InlineUI"/>
        </w:rPr>
        <w:t>Provider Network:Edit</w:t>
      </w:r>
      <w:r>
        <w:t xml:space="preserve"> right.</w:t>
      </w:r>
    </w:p>
    <w:p>
      <w:pPr>
        <w:pStyle w:val="BodyText"/>
      </w:pPr>
      <w:r>
        <w:rPr>
          <w:rStyle w:val="Strong"/>
        </w:rPr>
        <w:t>Procedure</w:t>
      </w:r>
    </w:p>
    <w:p>
      <w:pPr>
        <w:pStyle w:val="BodyText"/>
        <w:numPr>
          <w:numId w:val="199"/>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199"/>
        </w:numPr>
      </w:pPr>
      <w:r>
        <w:t xml:space="preserve">From the secondary left panel, select </w:t>
      </w:r>
      <w:r>
        <w:rPr>
          <w:rStyle w:val="InlineUI"/>
        </w:rPr>
        <w:t>Provider Gateways</w:t>
      </w:r>
      <w:r>
        <w:t>.</w:t>
      </w:r>
    </w:p>
    <w:p>
      <w:pPr>
        <w:pStyle w:val="BodyText"/>
        <w:numPr>
          <w:numId w:val="199"/>
        </w:numPr>
      </w:pPr>
      <w:r>
        <w:t>Click the provider gateway.</w:t>
      </w:r>
    </w:p>
    <w:p>
      <w:pPr>
        <w:pStyle w:val="BodyText"/>
        <w:numPr>
          <w:numId w:val="199"/>
        </w:numPr>
      </w:pPr>
      <w:r>
        <w:t xml:space="preserve">Under Topology Intentions, click </w:t>
      </w:r>
      <w:r>
        <w:rPr>
          <w:rStyle w:val="InlineUI"/>
        </w:rPr>
        <w:t>NAT and Firewall</w:t>
      </w:r>
      <w:r>
        <w:t>.</w:t>
      </w:r>
    </w:p>
    <w:p>
      <w:pPr>
        <w:pStyle w:val="BodyText"/>
        <w:numPr>
          <w:numId w:val="199"/>
        </w:numPr>
      </w:pPr>
      <w:r>
        <w:t xml:space="preserve">Click </w:t>
      </w:r>
      <w:r>
        <w:rPr>
          <w:rStyle w:val="InlineUI"/>
        </w:rPr>
        <w:t>Edit</w:t>
      </w:r>
      <w:r>
        <w:t>.</w:t>
      </w:r>
    </w:p>
    <w:p>
      <w:pPr>
        <w:pStyle w:val="BodyText"/>
        <w:numPr>
          <w:numId w:val="199"/>
        </w:numPr>
      </w:pPr>
      <w:r>
        <w:t xml:space="preserve">Select an option and click </w:t>
      </w:r>
      <w:r>
        <w:rPr>
          <w:rStyle w:val="InlineUI"/>
        </w:rPr>
        <w:t>Save</w:t>
      </w:r>
      <w:r>
        <w:t>.</w:t>
      </w:r>
    </w:p>
    <w:p>
      <w:pPr>
        <w:pStyle w:val="Heading3"/>
      </w:pPr>
      <w:bookmarkStart w:id="244" w:name="Bd780d7278de84c8d8c22d469545fa319"/>
      <w:bookmarkStart w:id="245" w:name="_Toc256000619"/>
      <w:r>
        <w:t>Configure Firewall Rules on a Provider Gateway in the VCF Automation Provider Management Portal VMware Cloud Director Tenant Portal</w:t>
      </w:r>
      <w:bookmarkEnd w:id="245"/>
      <w:bookmarkEnd w:id="244"/>
    </w:p>
    <w:p>
      <w:pPr>
        <w:pStyle w:val="BodyText"/>
      </w:pPr>
      <w:r>
        <w:t>You can configure firewall rules on your provider gateway that uses IP spaces.</w:t>
      </w:r>
    </w:p>
    <w:p>
      <w:pPr>
        <w:pStyle w:val="BodyText"/>
      </w:pPr>
      <w:r>
        <w:rPr>
          <w:rStyle w:val="Strong"/>
        </w:rPr>
        <w:t>Prerequisites</w:t>
      </w:r>
    </w:p>
    <w:p>
      <w:pPr>
        <w:pStyle w:val="BodyText"/>
        <w:numPr>
          <w:numId w:val="200"/>
        </w:numPr>
      </w:pPr>
      <w:r>
        <w:t>Verify that the provider gateway is using IP spaces.</w:t>
      </w:r>
    </w:p>
    <w:p>
      <w:pPr>
        <w:pStyle w:val="BodyText"/>
        <w:numPr>
          <w:numId w:val="200"/>
        </w:numPr>
      </w:pPr>
      <w:r>
        <w:t>Verify that the provider gateway is private, i.e. that it is dedicated to a single organization.</w:t>
      </w:r>
    </w:p>
    <w:p>
      <w:pPr>
        <w:pStyle w:val="BodyText"/>
        <w:numPr>
          <w:numId w:val="200"/>
        </w:numPr>
      </w:pPr>
      <w:r>
        <w:t xml:space="preserve">Verify that the </w:t>
      </w:r>
      <w:r>
        <w:rPr>
          <w:rStyle w:val="InlineUI"/>
        </w:rPr>
        <w:t>NAT and Firewall Service Intentions</w:t>
      </w:r>
      <w:r>
        <w:t xml:space="preserve"> of the provider gateway is set to </w:t>
      </w:r>
      <w:r>
        <w:rPr>
          <w:rStyle w:val="InlineUI"/>
        </w:rPr>
        <w:t>Provider Gateways</w:t>
      </w:r>
      <w:r>
        <w:t xml:space="preserve"> or to </w:t>
      </w:r>
      <w:r>
        <w:rPr>
          <w:rStyle w:val="InlineUI"/>
        </w:rPr>
        <w:t>Provider and Edge Gateways</w:t>
      </w:r>
      <w:r>
        <w:t>.</w:t>
      </w:r>
    </w:p>
    <w:p>
      <w:pPr>
        <w:pStyle w:val="BodyText"/>
        <w:numPr>
          <w:numId w:val="200"/>
        </w:numPr>
      </w:pPr>
      <w:r>
        <w:t xml:space="preserve">Verify that your role includes the </w:t>
      </w:r>
      <w:r>
        <w:rPr>
          <w:rStyle w:val="InlineUI"/>
        </w:rPr>
        <w:t>Provider Gateway Firewall: View</w:t>
      </w:r>
      <w:r>
        <w:t xml:space="preserve"> and </w:t>
      </w:r>
      <w:r>
        <w:rPr>
          <w:rStyle w:val="InlineUI"/>
        </w:rPr>
        <w:t>Provider Gateway Firewall: Manage</w:t>
      </w:r>
      <w:r>
        <w:t xml:space="preserve"> rights.</w:t>
      </w:r>
    </w:p>
    <w:p>
      <w:pPr>
        <w:pStyle w:val="BodyText"/>
        <w:numPr>
          <w:numId w:val="200"/>
        </w:numPr>
      </w:pPr>
      <w:r>
        <w:t xml:space="preserve">Verify that the backing </w:t>
      </w:r>
      <w:r>
        <w:t>NSX</w:t>
      </w:r>
      <w:r>
        <w:t xml:space="preserve"> tier-0 router is in active-standby mode. Otherwise, you won't be able to set the </w:t>
      </w:r>
      <w:r>
        <w:rPr>
          <w:rStyle w:val="InlineUI"/>
        </w:rPr>
        <w:t>NAT and Firewall Service Intentions</w:t>
      </w:r>
      <w:r>
        <w:t xml:space="preserve"> of the provider gateway to </w:t>
      </w:r>
      <w:r>
        <w:rPr>
          <w:rStyle w:val="InlineUI"/>
        </w:rPr>
        <w:t>Provider Gateways</w:t>
      </w:r>
      <w:r>
        <w:t xml:space="preserve"> or to </w:t>
      </w:r>
      <w:r>
        <w:rPr>
          <w:rStyle w:val="InlineUI"/>
        </w:rPr>
        <w:t>Provider and Edge Gateways</w:t>
      </w:r>
      <w:r>
        <w:t>.</w:t>
      </w:r>
    </w:p>
    <w:p>
      <w:pPr>
        <w:pStyle w:val="BodyText"/>
      </w:pPr>
      <w:r>
        <w:rPr>
          <w:rStyle w:val="Strong"/>
        </w:rPr>
        <w:t>Procedure</w:t>
      </w:r>
    </w:p>
    <w:p>
      <w:pPr>
        <w:pStyle w:val="BodyText"/>
        <w:numPr>
          <w:numId w:val="201"/>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01"/>
        </w:numPr>
      </w:pPr>
      <w:r>
        <w:t xml:space="preserve">From the secondary left panel, select </w:t>
      </w:r>
      <w:r>
        <w:rPr>
          <w:rStyle w:val="InlineUI"/>
        </w:rPr>
        <w:t>Provider Gateways</w:t>
      </w:r>
      <w:r>
        <w:t>.</w:t>
      </w:r>
    </w:p>
    <w:p>
      <w:pPr>
        <w:pStyle w:val="BodyText"/>
        <w:numPr>
          <w:numId w:val="201"/>
        </w:numPr>
      </w:pPr>
      <w:r>
        <w:t xml:space="preserve">In the top navigation bar, click </w:t>
      </w:r>
      <w:r>
        <w:rPr>
          <w:rStyle w:val="InlineUI"/>
        </w:rPr>
        <w:t>Networking</w:t>
      </w:r>
      <w:r>
        <w:t xml:space="preserve"> and click the </w:t>
      </w:r>
      <w:r>
        <w:rPr>
          <w:rStyle w:val="InlineUI"/>
        </w:rPr>
        <w:t>Provider Gateways</w:t>
      </w:r>
      <w:r>
        <w:t xml:space="preserve"> tab.</w:t>
      </w:r>
    </w:p>
    <w:p>
      <w:pPr>
        <w:pStyle w:val="BodyText"/>
        <w:numPr>
          <w:numId w:val="201"/>
        </w:numPr>
      </w:pPr>
      <w:r>
        <w:t>Click the provider gateway.</w:t>
      </w:r>
    </w:p>
    <w:p>
      <w:pPr>
        <w:pStyle w:val="BodyText"/>
        <w:numPr>
          <w:numId w:val="201"/>
        </w:numPr>
      </w:pPr>
      <w:r>
        <w:t xml:space="preserve">Under Services, click </w:t>
      </w:r>
      <w:r>
        <w:rPr>
          <w:rStyle w:val="InlineUI"/>
        </w:rPr>
        <w:t>Firewall</w:t>
      </w:r>
      <w:r>
        <w:t>.</w:t>
      </w:r>
    </w:p>
    <w:p>
      <w:pPr>
        <w:pStyle w:val="BodyText"/>
        <w:numPr>
          <w:numId w:val="201"/>
        </w:numPr>
      </w:pPr>
      <w:r>
        <w:t xml:space="preserve">To create a new firewall rule, click </w:t>
      </w:r>
      <w:r>
        <w:rPr>
          <w:rStyle w:val="InlineUI"/>
        </w:rPr>
        <w:t>New</w:t>
      </w:r>
      <w:r>
        <w:t>.</w:t>
      </w:r>
    </w:p>
    <w:p>
      <w:pPr>
        <w:pStyle w:val="BodyText"/>
        <w:numPr>
          <w:numId w:val="201"/>
        </w:numPr>
      </w:pPr>
      <w:r>
        <w:t>Configure the firewall rule.</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6"/>
        <w:gridCol w:w="8084"/>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Enter a name for the rule.</w:t>
            </w:r>
          </w:p>
        </w:tc>
      </w:tr>
      <w:tr>
        <w:tblPrEx>
          <w:tblInd w:w="480" w:type="dxa"/>
          <w:tblCellMar>
            <w:left w:w="108" w:type="dxa"/>
            <w:right w:w="108" w:type="dxa"/>
          </w:tblCellMar>
        </w:tblPrEx>
        <w:trPr>
          <w:cantSplit/>
        </w:trPr>
        <w:tc>
          <w:tcPr>
            <w:tcBorders>
              <w:left w:val="nil"/>
              <w:right w:val="nil"/>
            </w:tcBorders>
          </w:tcPr>
          <w:p>
            <w:pPr>
              <w:pStyle w:val="TableBodyText"/>
            </w:pPr>
            <w:r>
              <w:t>State</w:t>
            </w:r>
          </w:p>
        </w:tc>
        <w:tc>
          <w:tcPr>
            <w:tcBorders>
              <w:left w:val="nil"/>
              <w:right w:val="nil"/>
            </w:tcBorders>
          </w:tcPr>
          <w:p>
            <w:pPr>
              <w:pStyle w:val="TableBodyText"/>
            </w:pPr>
            <w:r>
              <w:t xml:space="preserve">To enable the rule upon creation, turn on the </w:t>
            </w:r>
            <w:r>
              <w:rPr>
                <w:rStyle w:val="InlineUI"/>
              </w:rPr>
              <w:t>State</w:t>
            </w:r>
            <w:r>
              <w:t xml:space="preserve"> toggle.</w:t>
            </w:r>
          </w:p>
        </w:tc>
      </w:tr>
      <w:tr>
        <w:tblPrEx>
          <w:tblInd w:w="480" w:type="dxa"/>
          <w:tblCellMar>
            <w:left w:w="108" w:type="dxa"/>
            <w:right w:w="108" w:type="dxa"/>
          </w:tblCellMar>
        </w:tblPrEx>
        <w:trPr>
          <w:cantSplit/>
        </w:trPr>
        <w:tc>
          <w:tcPr>
            <w:tcBorders>
              <w:left w:val="nil"/>
              <w:right w:val="nil"/>
            </w:tcBorders>
          </w:tcPr>
          <w:p>
            <w:pPr>
              <w:pStyle w:val="TableBodyText"/>
            </w:pPr>
            <w:r>
              <w:t>Applications</w:t>
            </w:r>
          </w:p>
        </w:tc>
        <w:tc>
          <w:tcPr>
            <w:tcBorders>
              <w:left w:val="nil"/>
              <w:right w:val="nil"/>
            </w:tcBorders>
          </w:tcPr>
          <w:p>
            <w:pPr>
              <w:pStyle w:val="TableBodyText"/>
            </w:pPr>
            <w:r>
              <w:t>(Optional) Choose one of the options.</w:t>
            </w:r>
          </w:p>
          <w:p>
            <w:pPr>
              <w:pStyle w:val="TableBodyText"/>
              <w:numPr>
                <w:numId w:val="202"/>
              </w:numPr>
            </w:pPr>
            <w:r>
              <w:t xml:space="preserve">To apply the rule to specific applications, turn on the </w:t>
            </w:r>
            <w:r>
              <w:rPr>
                <w:rStyle w:val="InlineUI"/>
              </w:rPr>
              <w:t>Applications</w:t>
            </w:r>
            <w:r>
              <w:t xml:space="preserve"> toggle, select the one or more applications from the list, and click </w:t>
            </w:r>
            <w:r>
              <w:rPr>
                <w:rStyle w:val="InlineUI"/>
              </w:rPr>
              <w:t>Save</w:t>
            </w:r>
            <w:r>
              <w:t>.</w:t>
            </w:r>
          </w:p>
          <w:p>
            <w:pPr>
              <w:pStyle w:val="TableBodyText"/>
              <w:numPr>
                <w:numId w:val="202"/>
              </w:numPr>
            </w:pPr>
            <w:r>
              <w:t xml:space="preserve">To select specific ports to which the rule applies, click </w:t>
            </w:r>
            <w:r>
              <w:rPr>
                <w:rStyle w:val="InlineUI"/>
              </w:rPr>
              <w:t>Raw Port-Protocols</w:t>
            </w:r>
            <w:r>
              <w:t>, select a protocol type, and enter source and destination ports or port ranges, separated by commas. You can add up to 15 port-protocol rows per rule.</w:t>
            </w:r>
          </w:p>
        </w:tc>
      </w:tr>
      <w:tr>
        <w:tblPrEx>
          <w:tblInd w:w="480" w:type="dxa"/>
          <w:tblCellMar>
            <w:left w:w="108" w:type="dxa"/>
            <w:right w:w="108" w:type="dxa"/>
          </w:tblCellMar>
        </w:tblPrEx>
        <w:trPr>
          <w:cantSplit/>
        </w:trPr>
        <w:tc>
          <w:tcPr>
            <w:tcBorders>
              <w:left w:val="nil"/>
              <w:right w:val="nil"/>
            </w:tcBorders>
          </w:tcPr>
          <w:p>
            <w:pPr>
              <w:pStyle w:val="TableBodyText"/>
            </w:pPr>
            <w:r>
              <w:t>Source</w:t>
            </w:r>
          </w:p>
        </w:tc>
        <w:tc>
          <w:tcPr>
            <w:tcBorders>
              <w:left w:val="nil"/>
              <w:right w:val="nil"/>
            </w:tcBorders>
          </w:tcPr>
          <w:p>
            <w:pPr>
              <w:pStyle w:val="TableBodyText"/>
              <w:numPr>
                <w:numId w:val="203"/>
              </w:numPr>
            </w:pPr>
            <w:r>
              <w:t>Choose one of the following options.</w:t>
            </w:r>
          </w:p>
          <w:p>
            <w:pPr>
              <w:pStyle w:val="TableBodyText"/>
              <w:numPr>
                <w:ilvl w:val="1"/>
                <w:numId w:val="203"/>
              </w:numPr>
            </w:pPr>
            <w:r>
              <w:t xml:space="preserve">To allow or deny traffic from any source address, toggle on </w:t>
            </w:r>
            <w:r>
              <w:rPr>
                <w:rStyle w:val="InlineUI"/>
              </w:rPr>
              <w:t>Any Source</w:t>
            </w:r>
            <w:r>
              <w:t>.</w:t>
            </w:r>
          </w:p>
          <w:p>
            <w:pPr>
              <w:pStyle w:val="TableBodyText"/>
              <w:numPr>
                <w:ilvl w:val="1"/>
                <w:numId w:val="203"/>
              </w:numPr>
            </w:pPr>
            <w:r>
              <w:t xml:space="preserve">To allow or deny traffic from specific firewall groups, , click </w:t>
            </w:r>
            <w:r>
              <w:rPr>
                <w:rStyle w:val="InlineUI"/>
              </w:rPr>
              <w:t>Firewall Groups</w:t>
            </w:r>
            <w:r>
              <w:t xml:space="preserve"> and select the firewall groups from the list.</w:t>
            </w:r>
          </w:p>
          <w:p>
            <w:pPr>
              <w:pStyle w:val="TableBodyText"/>
              <w:numPr>
                <w:ilvl w:val="1"/>
                <w:numId w:val="203"/>
              </w:numPr>
            </w:pPr>
            <w:r>
              <w:t xml:space="preserve">To enter IP addresses, CIDR blocks, or IP ranges manually, click </w:t>
            </w:r>
            <w:r>
              <w:rPr>
                <w:rStyle w:val="InlineUI"/>
              </w:rPr>
              <w:t>Firewall IP Addresses</w:t>
            </w:r>
            <w:r>
              <w:t xml:space="preserve">, then click </w:t>
            </w:r>
            <w:r>
              <w:rPr>
                <w:rStyle w:val="InlineUI"/>
              </w:rPr>
              <w:t>Add</w:t>
            </w:r>
            <w:r>
              <w:t xml:space="preserve"> and enter the individual IP addresses, CIDR blocks, or ranges.</w:t>
            </w:r>
          </w:p>
          <w:p>
            <w:pPr>
              <w:pStyle w:val="TableBodyText"/>
              <w:numPr>
                <w:numId w:val="203"/>
              </w:numPr>
            </w:pPr>
            <w:r>
              <w:t xml:space="preserve">Click </w:t>
            </w:r>
            <w:r>
              <w:rPr>
                <w:rStyle w:val="InlineUI"/>
              </w:rPr>
              <w:t>Keep</w:t>
            </w:r>
            <w:r>
              <w:t>.</w:t>
            </w:r>
          </w:p>
        </w:tc>
      </w:tr>
      <w:tr>
        <w:tblPrEx>
          <w:tblInd w:w="480" w:type="dxa"/>
          <w:tblCellMar>
            <w:left w:w="108" w:type="dxa"/>
            <w:right w:w="108" w:type="dxa"/>
          </w:tblCellMar>
        </w:tblPrEx>
        <w:trPr>
          <w:cantSplit/>
        </w:trPr>
        <w:tc>
          <w:tcPr>
            <w:tcBorders>
              <w:left w:val="nil"/>
              <w:right w:val="nil"/>
            </w:tcBorders>
          </w:tcPr>
          <w:p>
            <w:pPr>
              <w:pStyle w:val="TableBodyText"/>
            </w:pPr>
            <w:r>
              <w:t>Destination</w:t>
            </w:r>
          </w:p>
        </w:tc>
        <w:tc>
          <w:tcPr>
            <w:tcBorders>
              <w:left w:val="nil"/>
              <w:right w:val="nil"/>
            </w:tcBorders>
          </w:tcPr>
          <w:p>
            <w:pPr>
              <w:pStyle w:val="TableBodyText"/>
              <w:numPr>
                <w:numId w:val="204"/>
              </w:numPr>
            </w:pPr>
            <w:r>
              <w:t>Choose one of the following options.</w:t>
            </w:r>
          </w:p>
          <w:p>
            <w:pPr>
              <w:pStyle w:val="TableBodyText"/>
              <w:numPr>
                <w:ilvl w:val="1"/>
                <w:numId w:val="204"/>
              </w:numPr>
            </w:pPr>
            <w:r>
              <w:t xml:space="preserve">To allow or deny traffic to any destination address, toggle on </w:t>
            </w:r>
            <w:r>
              <w:rPr>
                <w:rStyle w:val="InlineUI"/>
              </w:rPr>
              <w:t>Any Destination</w:t>
            </w:r>
            <w:r>
              <w:t>.</w:t>
            </w:r>
          </w:p>
          <w:p>
            <w:pPr>
              <w:pStyle w:val="TableBodyText"/>
              <w:numPr>
                <w:ilvl w:val="1"/>
                <w:numId w:val="204"/>
              </w:numPr>
            </w:pPr>
            <w:r>
              <w:t xml:space="preserve">To allow or deny traffic to specific firewall groups, click </w:t>
            </w:r>
            <w:r>
              <w:rPr>
                <w:rStyle w:val="InlineUI"/>
              </w:rPr>
              <w:t>Firewall Groups</w:t>
            </w:r>
            <w:r>
              <w:t xml:space="preserve"> and select the firewall groups from the list.</w:t>
            </w:r>
          </w:p>
          <w:p>
            <w:pPr>
              <w:pStyle w:val="TableBodyText"/>
              <w:numPr>
                <w:ilvl w:val="1"/>
                <w:numId w:val="204"/>
              </w:numPr>
            </w:pPr>
            <w:r>
              <w:t xml:space="preserve">To enter IP addresses, CIDR blocks, or IP ranges manually, click </w:t>
            </w:r>
            <w:r>
              <w:rPr>
                <w:rStyle w:val="InlineUI"/>
              </w:rPr>
              <w:t>Firewall IP Addresses</w:t>
            </w:r>
            <w:r>
              <w:t xml:space="preserve">, then click </w:t>
            </w:r>
            <w:r>
              <w:rPr>
                <w:rStyle w:val="InlineUI"/>
              </w:rPr>
              <w:t>Add</w:t>
            </w:r>
            <w:r>
              <w:t xml:space="preserve"> and enter the individual IP addresses, CIDR blocks, or ranges.</w:t>
            </w:r>
          </w:p>
          <w:p>
            <w:pPr>
              <w:pStyle w:val="TableBodyText"/>
              <w:numPr>
                <w:numId w:val="204"/>
              </w:numPr>
            </w:pPr>
            <w:r>
              <w:t xml:space="preserve">Click </w:t>
            </w:r>
            <w:r>
              <w:rPr>
                <w:rStyle w:val="InlineUI"/>
              </w:rPr>
              <w:t>Keep</w:t>
            </w:r>
            <w:r>
              <w:t>.</w:t>
            </w:r>
          </w:p>
        </w:tc>
      </w:tr>
      <w:tr>
        <w:tblPrEx>
          <w:tblInd w:w="480" w:type="dxa"/>
          <w:tblCellMar>
            <w:left w:w="108" w:type="dxa"/>
            <w:right w:w="108" w:type="dxa"/>
          </w:tblCellMar>
        </w:tblPrEx>
        <w:trPr>
          <w:cantSplit/>
        </w:trPr>
        <w:tc>
          <w:tcPr>
            <w:tcBorders>
              <w:left w:val="nil"/>
              <w:right w:val="nil"/>
            </w:tcBorders>
          </w:tcPr>
          <w:p>
            <w:pPr>
              <w:pStyle w:val="TableBodyText"/>
            </w:pPr>
            <w:r>
              <w:t>Action</w:t>
            </w:r>
          </w:p>
        </w:tc>
        <w:tc>
          <w:tcPr>
            <w:tcBorders>
              <w:left w:val="nil"/>
              <w:right w:val="nil"/>
            </w:tcBorders>
          </w:tcPr>
          <w:p>
            <w:pPr>
              <w:pStyle w:val="TableBodyText"/>
            </w:pPr>
            <w:r>
              <w:t>Select an option.</w:t>
            </w:r>
          </w:p>
          <w:p>
            <w:pPr>
              <w:pStyle w:val="TableBodyText"/>
              <w:numPr>
                <w:numId w:val="205"/>
              </w:numPr>
            </w:pPr>
            <w:r>
              <w:t xml:space="preserve">To allow traffic from or to the specified sources, destinations, and services, select </w:t>
            </w:r>
            <w:r>
              <w:rPr>
                <w:rStyle w:val="InlineUI"/>
              </w:rPr>
              <w:t>Allow</w:t>
            </w:r>
            <w:r>
              <w:t>.</w:t>
            </w:r>
          </w:p>
          <w:p>
            <w:pPr>
              <w:pStyle w:val="TableBodyText"/>
              <w:numPr>
                <w:numId w:val="205"/>
              </w:numPr>
            </w:pPr>
            <w:r>
              <w:t xml:space="preserve">To block traffic from or to the specified sources, destinations, and services, without notifying the blocked client select </w:t>
            </w:r>
            <w:r>
              <w:rPr>
                <w:rStyle w:val="InlineUI"/>
              </w:rPr>
              <w:t>Drop</w:t>
            </w:r>
            <w:r>
              <w:t>.</w:t>
            </w:r>
          </w:p>
          <w:p>
            <w:pPr>
              <w:pStyle w:val="TableBodyText"/>
              <w:numPr>
                <w:numId w:val="205"/>
              </w:numPr>
            </w:pPr>
            <w:r>
              <w:t xml:space="preserve">To block traffic from or to the specified sources, destinations, and services, and to notify the blocked client that traffic was rejected, select </w:t>
            </w:r>
            <w:r>
              <w:rPr>
                <w:rStyle w:val="InlineUI"/>
              </w:rPr>
              <w:t>Reject</w:t>
            </w:r>
            <w:r>
              <w:t>.</w:t>
            </w:r>
          </w:p>
        </w:tc>
      </w:tr>
      <w:tr>
        <w:tblPrEx>
          <w:tblInd w:w="480" w:type="dxa"/>
          <w:tblCellMar>
            <w:left w:w="108" w:type="dxa"/>
            <w:right w:w="108" w:type="dxa"/>
          </w:tblCellMar>
        </w:tblPrEx>
        <w:trPr>
          <w:cantSplit/>
        </w:trPr>
        <w:tc>
          <w:tcPr>
            <w:tcBorders>
              <w:left w:val="nil"/>
              <w:right w:val="nil"/>
            </w:tcBorders>
          </w:tcPr>
          <w:p>
            <w:pPr>
              <w:pStyle w:val="TableBodyText"/>
            </w:pPr>
            <w:r>
              <w:t>IP Protocol</w:t>
            </w:r>
          </w:p>
        </w:tc>
        <w:tc>
          <w:tcPr>
            <w:tcBorders>
              <w:left w:val="nil"/>
              <w:right w:val="nil"/>
            </w:tcBorders>
          </w:tcPr>
          <w:p>
            <w:pPr>
              <w:pStyle w:val="TableBodyText"/>
            </w:pPr>
            <w:r>
              <w:t>Select whether to apply the rule to IPv4, IPv6 traffic, or both.</w:t>
            </w:r>
          </w:p>
        </w:tc>
      </w:tr>
      <w:tr>
        <w:tblPrEx>
          <w:tblInd w:w="480" w:type="dxa"/>
          <w:tblCellMar>
            <w:left w:w="108" w:type="dxa"/>
            <w:right w:w="108" w:type="dxa"/>
          </w:tblCellMar>
        </w:tblPrEx>
        <w:trPr>
          <w:cantSplit/>
        </w:trPr>
        <w:tc>
          <w:tcPr>
            <w:tcBorders>
              <w:left w:val="nil"/>
              <w:right w:val="nil"/>
            </w:tcBorders>
          </w:tcPr>
          <w:p>
            <w:pPr>
              <w:pStyle w:val="TableBodyText"/>
            </w:pPr>
            <w:r>
              <w:t>Applied To</w:t>
            </w:r>
          </w:p>
        </w:tc>
        <w:tc>
          <w:tcPr>
            <w:tcBorders>
              <w:left w:val="nil"/>
              <w:right w:val="nil"/>
            </w:tcBorders>
          </w:tcPr>
          <w:p>
            <w:pPr>
              <w:pStyle w:val="TableBodyText"/>
            </w:pPr>
            <w:r>
              <w:t>(Optional) From the drop-down menu, select an IP space uplink to which to apply the rule.</w:t>
            </w:r>
          </w:p>
        </w:tc>
      </w:tr>
      <w:tr>
        <w:tblPrEx>
          <w:tblInd w:w="480" w:type="dxa"/>
          <w:tblCellMar>
            <w:left w:w="108" w:type="dxa"/>
            <w:right w:w="108" w:type="dxa"/>
          </w:tblCellMar>
        </w:tblPrEx>
        <w:trPr>
          <w:cantSplit/>
        </w:trPr>
        <w:tc>
          <w:tcPr>
            <w:tcBorders>
              <w:left w:val="nil"/>
              <w:right w:val="nil"/>
            </w:tcBorders>
          </w:tcPr>
          <w:p>
            <w:pPr>
              <w:pStyle w:val="TableBodyText"/>
            </w:pPr>
            <w:r>
              <w:t>Logging</w:t>
            </w:r>
          </w:p>
        </w:tc>
        <w:tc>
          <w:tcPr>
            <w:tcBorders>
              <w:left w:val="nil"/>
              <w:right w:val="nil"/>
            </w:tcBorders>
          </w:tcPr>
          <w:p>
            <w:pPr>
              <w:pStyle w:val="TableBodyText"/>
            </w:pPr>
            <w:r>
              <w:t xml:space="preserve">To have the address translation performed by this rule logged, turn on the </w:t>
            </w:r>
            <w:r>
              <w:rPr>
                <w:rStyle w:val="InlineUI"/>
              </w:rPr>
              <w:t>Logging</w:t>
            </w:r>
            <w:r>
              <w:t xml:space="preserve"> toggle.</w:t>
            </w:r>
          </w:p>
          <w:p>
            <w:pPr>
              <w:pStyle w:val="TableBodyText"/>
            </w:pPr>
            <w:r>
              <w:t xml:space="preserve">After you create the rule, in the Logging ID text box, you can see the unique </w:t>
            </w:r>
            <w:r>
              <w:t>NSX</w:t>
            </w:r>
            <w:r>
              <w:t xml:space="preserve"> firewall rule ID that the system generates upon the rule creation.</w:t>
            </w:r>
          </w:p>
        </w:tc>
      </w:tr>
      <w:tr>
        <w:tblPrEx>
          <w:tblInd w:w="480" w:type="dxa"/>
          <w:tblCellMar>
            <w:left w:w="108" w:type="dxa"/>
            <w:right w:w="108" w:type="dxa"/>
          </w:tblCellMar>
        </w:tblPrEx>
        <w:trPr>
          <w:cantSplit/>
        </w:trPr>
        <w:tc>
          <w:tcPr>
            <w:tcBorders>
              <w:left w:val="nil"/>
              <w:right w:val="nil"/>
            </w:tcBorders>
          </w:tcPr>
          <w:p>
            <w:pPr>
              <w:pStyle w:val="TableBodyText"/>
            </w:pPr>
            <w:r>
              <w:t>Comment</w:t>
            </w:r>
          </w:p>
        </w:tc>
        <w:tc>
          <w:tcPr>
            <w:tcBorders>
              <w:left w:val="nil"/>
              <w:right w:val="nil"/>
            </w:tcBorders>
          </w:tcPr>
          <w:p>
            <w:pPr>
              <w:pStyle w:val="TableBodyText"/>
            </w:pPr>
            <w:r>
              <w:t>(Optional) Add a comment to the firewall rule.</w:t>
            </w:r>
          </w:p>
        </w:tc>
      </w:tr>
    </w:tbl>
    <w:p>
      <w:pPr>
        <w:pStyle w:val="BodyText"/>
        <w:numPr>
          <w:numId w:val="201"/>
        </w:numPr>
        <w:spacing w:before="240"/>
      </w:pPr>
      <w:r>
        <w:t xml:space="preserve">Click </w:t>
      </w:r>
      <w:r>
        <w:rPr>
          <w:rStyle w:val="InlineUI"/>
        </w:rPr>
        <w:t>Save</w:t>
      </w:r>
      <w:r>
        <w:t>.</w:t>
      </w:r>
    </w:p>
    <w:p>
      <w:pPr>
        <w:pStyle w:val="BodyText"/>
        <w:numPr>
          <w:numId w:val="201"/>
        </w:numPr>
      </w:pPr>
      <w:r>
        <w:t xml:space="preserve">To change the position of the firewall rule, select the rule, click </w:t>
      </w:r>
      <w:r>
        <w:rPr>
          <w:rStyle w:val="InlineUI"/>
        </w:rPr>
        <w:t>Move to</w:t>
      </w:r>
      <w:r>
        <w:t>, and, from the drop-down menu, select a new position.</w:t>
      </w:r>
    </w:p>
    <w:p>
      <w:pPr>
        <w:pStyle w:val="BodyText"/>
        <w:numPr>
          <w:numId w:val="201"/>
        </w:numPr>
      </w:pPr>
      <w:r>
        <w:t>To configure additional rules, repeat these steps.</w:t>
      </w:r>
    </w:p>
    <w:p>
      <w:pPr>
        <w:pStyle w:val="BodyText"/>
      </w:pPr>
      <w:r>
        <w:rPr>
          <w:rStyle w:val="Strong"/>
        </w:rPr>
        <w:t>Results</w:t>
      </w:r>
    </w:p>
    <w:p>
      <w:pPr>
        <w:pStyle w:val="BodyText"/>
      </w:pPr>
      <w:r>
        <w:t>After a firewall rule is created, it appears in the Firewall Rules list. You can move up, move down, edit, or delete the rule as needed.</w:t>
      </w:r>
    </w:p>
    <w:p>
      <w:pPr>
        <w:pStyle w:val="Heading3"/>
      </w:pPr>
      <w:bookmarkStart w:id="246" w:name="_Toc256000620"/>
      <w:r>
        <w:t>View the Provider Gateway Firewall Logs in the VCF Automation Provider Management Portal VMware Cloud Director Tenant Portal</w:t>
      </w:r>
      <w:bookmarkEnd w:id="246"/>
    </w:p>
    <w:p>
      <w:pPr>
        <w:pStyle w:val="BodyText"/>
      </w:pPr>
      <w:r>
        <w:t>When you configure a provider gateway firewall rule, you can verify that the firewall rule runs correctly or monitor if anyone is trying to breach the firewall by examining the firewall logs.</w:t>
      </w:r>
    </w:p>
    <w:p>
      <w:pPr>
        <w:pStyle w:val="BodyText"/>
      </w:pPr>
      <w:r>
        <w:rPr>
          <w:rStyle w:val="Strong"/>
        </w:rPr>
        <w:t>Prerequisites</w:t>
      </w:r>
    </w:p>
    <w:p>
      <w:pPr>
        <w:pStyle w:val="BodyText"/>
        <w:numPr>
          <w:numId w:val="206"/>
        </w:numPr>
      </w:pPr>
      <w:r>
        <w:t>Configure a Log Provider in</w:t>
      </w:r>
    </w:p>
    <w:p>
      <w:pPr>
        <w:pStyle w:val="BodyText"/>
        <w:numPr>
          <w:numId w:val="20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Bd780d7278de84c8d8c22d469545fa319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Firewall Rules on a Provider Gateway in the VCF Automation Provider Management Portal VMware Cloud Director Tenant Portal</w:t>
      </w:r>
      <w:r>
        <w:fldChar w:fldCharType="end"/>
      </w:r>
    </w:p>
    <w:p>
      <w:pPr>
        <w:pStyle w:val="BodyText"/>
        <w:numPr>
          <w:numId w:val="207"/>
        </w:numPr>
      </w:pPr>
      <w:r>
        <w:t xml:space="preserve">Verify with your service provider that they configured a log provider in </w:t>
      </w:r>
      <w:r>
        <w:t>VCF Automation</w:t>
      </w:r>
      <w:r>
        <w:t xml:space="preserve">. If a log provider is not configured, the </w:t>
      </w:r>
      <w:r>
        <w:rPr>
          <w:rStyle w:val="InlineUI"/>
        </w:rPr>
        <w:t>Logs</w:t>
      </w:r>
      <w:r>
        <w:t xml:space="preserve"> tab is not visible.</w:t>
      </w:r>
    </w:p>
    <w:p>
      <w:pPr>
        <w:pStyle w:val="BodyText"/>
        <w:numPr>
          <w:numId w:val="20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Bd780d7278de84c8d8c22d469545fa319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Firewall Rules on a Provider Gateway in the VCF Automation Provider Management Portal VMware Cloud Director Tenant Portal</w:t>
      </w:r>
      <w:r>
        <w:fldChar w:fldCharType="end"/>
      </w:r>
    </w:p>
    <w:p>
      <w:pPr>
        <w:pStyle w:val="BodyText"/>
      </w:pPr>
      <w:r>
        <w:rPr>
          <w:rStyle w:val="Strong"/>
        </w:rPr>
        <w:t>Procedure</w:t>
      </w:r>
    </w:p>
    <w:p>
      <w:pPr>
        <w:pStyle w:val="BodyText"/>
        <w:numPr>
          <w:numId w:val="208"/>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08"/>
        </w:numPr>
      </w:pPr>
      <w:r>
        <w:t xml:space="preserve">From the secondary left panel, select </w:t>
      </w:r>
      <w:r>
        <w:rPr>
          <w:rStyle w:val="InlineUI"/>
        </w:rPr>
        <w:t>Provider Gateways</w:t>
      </w:r>
      <w:r>
        <w:t>.</w:t>
      </w:r>
    </w:p>
    <w:p>
      <w:pPr>
        <w:pStyle w:val="BodyText"/>
        <w:numPr>
          <w:numId w:val="208"/>
        </w:numPr>
      </w:pPr>
      <w:r>
        <w:t xml:space="preserve">In the top navigation bar, click </w:t>
      </w:r>
      <w:r>
        <w:rPr>
          <w:rStyle w:val="InlineUI"/>
        </w:rPr>
        <w:t>Networking</w:t>
      </w:r>
      <w:r>
        <w:t xml:space="preserve"> and click the </w:t>
      </w:r>
      <w:r>
        <w:rPr>
          <w:rStyle w:val="InlineUI"/>
        </w:rPr>
        <w:t>Provider Gateways</w:t>
      </w:r>
      <w:r>
        <w:t xml:space="preserve"> tab.</w:t>
      </w:r>
    </w:p>
    <w:p>
      <w:pPr>
        <w:pStyle w:val="BodyText"/>
        <w:numPr>
          <w:numId w:val="208"/>
        </w:numPr>
      </w:pPr>
      <w:r>
        <w:t>Click the provider gateway.</w:t>
      </w:r>
    </w:p>
    <w:p>
      <w:pPr>
        <w:pStyle w:val="BodyText"/>
        <w:numPr>
          <w:numId w:val="208"/>
        </w:numPr>
      </w:pPr>
      <w:r>
        <w:t xml:space="preserve">On the page-level left navigation, under Services, select </w:t>
      </w:r>
      <w:r>
        <w:rPr>
          <w:rStyle w:val="InlineUI"/>
        </w:rPr>
        <w:t>Firewall</w:t>
      </w:r>
      <w:r>
        <w:t>.</w:t>
      </w:r>
    </w:p>
    <w:p>
      <w:pPr>
        <w:pStyle w:val="BodyText"/>
        <w:numPr>
          <w:numId w:val="208"/>
        </w:numPr>
      </w:pPr>
      <w:r>
        <w:t xml:space="preserve">On the </w:t>
      </w:r>
      <w:r>
        <w:rPr>
          <w:rStyle w:val="InlineUI"/>
        </w:rPr>
        <w:t>Firewall</w:t>
      </w:r>
      <w:r>
        <w:t xml:space="preserve"> page, select the </w:t>
      </w:r>
      <w:r>
        <w:rPr>
          <w:rStyle w:val="InlineUI"/>
        </w:rPr>
        <w:t>Logs</w:t>
      </w:r>
      <w:r>
        <w:t xml:space="preserve"> tab.</w:t>
      </w:r>
    </w:p>
    <w:p>
      <w:pPr>
        <w:pStyle w:val="BodyText"/>
        <w:numPr>
          <w:numId w:val="208"/>
        </w:numPr>
      </w:pPr>
      <w:r>
        <w:t xml:space="preserve">If you want to refresh the logs information, click </w:t>
      </w:r>
      <w:r>
        <w:rPr>
          <w:rStyle w:val="InlineUI"/>
        </w:rPr>
        <w:t>Refresh</w:t>
      </w:r>
      <w:r>
        <w:t>.</w:t>
      </w:r>
    </w:p>
    <w:p>
      <w:pPr>
        <w:pStyle w:val="BodyText"/>
      </w:pPr>
      <w:r>
        <w:rPr>
          <w:rStyle w:val="Strong"/>
        </w:rPr>
        <w:t>What to do next</w:t>
      </w:r>
    </w:p>
    <w:p>
      <w:pPr>
        <w:pStyle w:val="BodyText"/>
      </w:pPr>
      <w:r>
        <w:t>Export the logs in CSV format.</w:t>
      </w:r>
    </w:p>
    <w:p>
      <w:pPr>
        <w:pStyle w:val="Heading3"/>
      </w:pPr>
      <w:bookmarkStart w:id="247" w:name="_Toc256000621"/>
      <w:r>
        <w:t>Configure NAT Rules on a Provider Gateway in the VCF Automation Provider Management Portal VMware Cloud Director Tenant Portal</w:t>
      </w:r>
      <w:bookmarkEnd w:id="247"/>
    </w:p>
    <w:p>
      <w:pPr>
        <w:pStyle w:val="BodyText"/>
      </w:pPr>
      <w:r>
        <w:t>You can configure NAT rules on your provider gateway that uses IP spaces.</w:t>
      </w:r>
    </w:p>
    <w:p>
      <w:pPr>
        <w:pStyle w:val="BodyText"/>
      </w:pPr>
      <w:r>
        <w:rPr>
          <w:rStyle w:val="Strong"/>
        </w:rPr>
        <w:t>Prerequisites</w:t>
      </w:r>
    </w:p>
    <w:p>
      <w:pPr>
        <w:pStyle w:val="BodyText"/>
        <w:numPr>
          <w:numId w:val="209"/>
        </w:numPr>
      </w:pPr>
      <w:r>
        <w:t xml:space="preserve">Verify that you are a </w:t>
      </w:r>
      <w:r>
        <w:rPr>
          <w:rStyle w:val="InlineUI"/>
        </w:rPr>
        <w:t>system administrator</w:t>
      </w:r>
      <w:r>
        <w:t xml:space="preserve"> or that your role includes the </w:t>
      </w:r>
      <w:r>
        <w:rPr>
          <w:rStyle w:val="InlineUI"/>
        </w:rPr>
        <w:t>Provider Gateway NAT: View</w:t>
      </w:r>
      <w:r>
        <w:t xml:space="preserve"> and the </w:t>
      </w:r>
      <w:r>
        <w:rPr>
          <w:rStyle w:val="InlineUI"/>
        </w:rPr>
        <w:t>Provider Gateway NAT: Manage</w:t>
      </w:r>
      <w:r>
        <w:t xml:space="preserve"> rights.</w:t>
      </w:r>
    </w:p>
    <w:p>
      <w:pPr>
        <w:pStyle w:val="BodyText"/>
        <w:numPr>
          <w:numId w:val="209"/>
        </w:numPr>
      </w:pPr>
      <w:r>
        <w:t>Verify that the provider gateway is using IP spaces.</w:t>
      </w:r>
    </w:p>
    <w:p>
      <w:pPr>
        <w:pStyle w:val="BodyText"/>
        <w:numPr>
          <w:numId w:val="209"/>
        </w:numPr>
      </w:pPr>
      <w:r>
        <w:t>Verify that the provider gateway is private, which means that it is dedicated to a single organization.</w:t>
      </w:r>
    </w:p>
    <w:p>
      <w:pPr>
        <w:pStyle w:val="BodyText"/>
        <w:numPr>
          <w:numId w:val="209"/>
        </w:numPr>
      </w:pPr>
      <w:r>
        <w:t xml:space="preserve">Verify that the backing </w:t>
      </w:r>
      <w:r>
        <w:t>NSX</w:t>
      </w:r>
      <w:r>
        <w:t xml:space="preserve"> tier-0 router is in active-standby mode. Otherwise, you won't be able to set the </w:t>
      </w:r>
      <w:r>
        <w:rPr>
          <w:rStyle w:val="InlineUI"/>
        </w:rPr>
        <w:t>NAT and Firewall Service Intentions</w:t>
      </w:r>
      <w:r>
        <w:t xml:space="preserve"> of the provider gateway to </w:t>
      </w:r>
      <w:r>
        <w:rPr>
          <w:rStyle w:val="InlineUI"/>
        </w:rPr>
        <w:t>Provider Gateways</w:t>
      </w:r>
      <w:r>
        <w:t xml:space="preserve"> or to </w:t>
      </w:r>
      <w:r>
        <w:rPr>
          <w:rStyle w:val="InlineUI"/>
        </w:rPr>
        <w:t>Provider and Edge Gateways</w:t>
      </w:r>
      <w:r>
        <w:t>.</w:t>
      </w:r>
    </w:p>
    <w:p>
      <w:pPr>
        <w:pStyle w:val="BodyText"/>
        <w:numPr>
          <w:numId w:val="209"/>
        </w:numPr>
      </w:pPr>
      <w:r>
        <w:t xml:space="preserve">Verify that you configured the NAT and firewall topology intention for the provider gateway to </w:t>
      </w:r>
      <w:r>
        <w:rPr>
          <w:rStyle w:val="InlineUI"/>
        </w:rPr>
        <w:t>Provider Gateways</w:t>
      </w:r>
      <w:r>
        <w:t xml:space="preserve"> or to </w:t>
      </w:r>
      <w:r>
        <w:rPr>
          <w:rStyle w:val="InlineUI"/>
        </w:rPr>
        <w:t>Provider and Edge Gateways</w:t>
      </w:r>
      <w:r>
        <w:t xml:space="preserve">. See </w:t>
      </w:r>
      <w:r>
        <w:t>Configure Route Advertisement Topology Intentions on a Provider Gateway in the VCF Automation Provider Management Portal</w:t>
      </w:r>
      <w:r>
        <w:t>.</w:t>
      </w:r>
    </w:p>
    <w:p>
      <w:pPr>
        <w:pStyle w:val="BodyText"/>
      </w:pPr>
      <w:r>
        <w:rPr>
          <w:rStyle w:val="Strong"/>
        </w:rPr>
        <w:t>Procedure</w:t>
      </w:r>
    </w:p>
    <w:p>
      <w:pPr>
        <w:pStyle w:val="BodyText"/>
        <w:numPr>
          <w:numId w:val="210"/>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10"/>
        </w:numPr>
      </w:pPr>
      <w:r>
        <w:t xml:space="preserve">From the secondary left panel, select </w:t>
      </w:r>
      <w:r>
        <w:rPr>
          <w:rStyle w:val="InlineUI"/>
        </w:rPr>
        <w:t>Provider Gateways</w:t>
      </w:r>
      <w:r>
        <w:t>.</w:t>
      </w:r>
    </w:p>
    <w:p>
      <w:pPr>
        <w:pStyle w:val="BodyText"/>
        <w:numPr>
          <w:numId w:val="210"/>
        </w:numPr>
      </w:pPr>
      <w:r>
        <w:t xml:space="preserve">In the top navigation bar, click </w:t>
      </w:r>
      <w:r>
        <w:rPr>
          <w:rStyle w:val="InlineUI"/>
        </w:rPr>
        <w:t>Networking</w:t>
      </w:r>
      <w:r>
        <w:t xml:space="preserve"> and click the </w:t>
      </w:r>
      <w:r>
        <w:rPr>
          <w:rStyle w:val="InlineUI"/>
        </w:rPr>
        <w:t>Provider Gateways</w:t>
      </w:r>
      <w:r>
        <w:t xml:space="preserve"> tab.</w:t>
      </w:r>
    </w:p>
    <w:p>
      <w:pPr>
        <w:pStyle w:val="BodyText"/>
        <w:numPr>
          <w:numId w:val="210"/>
        </w:numPr>
      </w:pPr>
      <w:r>
        <w:t>Click the provider gateway.</w:t>
      </w:r>
    </w:p>
    <w:p>
      <w:pPr>
        <w:pStyle w:val="BodyText"/>
        <w:numPr>
          <w:numId w:val="210"/>
        </w:numPr>
      </w:pPr>
      <w:r>
        <w:t xml:space="preserve">Under Services, click </w:t>
      </w:r>
      <w:r>
        <w:rPr>
          <w:rStyle w:val="InlineUI"/>
        </w:rPr>
        <w:t>NAT</w:t>
      </w:r>
      <w:r>
        <w:t>.</w:t>
      </w:r>
    </w:p>
    <w:p>
      <w:pPr>
        <w:pStyle w:val="BodyText"/>
        <w:numPr>
          <w:numId w:val="210"/>
        </w:numPr>
      </w:pPr>
      <w:r>
        <w:t xml:space="preserve">To add a NAT rule, click </w:t>
      </w:r>
      <w:r>
        <w:rPr>
          <w:rStyle w:val="InlineUI"/>
        </w:rPr>
        <w:t>New</w:t>
      </w:r>
      <w:r>
        <w:t>.</w:t>
      </w:r>
    </w:p>
    <w:p>
      <w:pPr>
        <w:pStyle w:val="BodyText"/>
        <w:numPr>
          <w:numId w:val="210"/>
        </w:numPr>
      </w:pPr>
      <w:r>
        <w:t>Enter a name and, optionally, a description for the rule.</w:t>
      </w:r>
    </w:p>
    <w:p>
      <w:pPr>
        <w:pStyle w:val="BodyText"/>
        <w:numPr>
          <w:numId w:val="210"/>
        </w:numPr>
      </w:pPr>
      <w:r>
        <w:t>From the drop-down menu, select a NAT action and enter the required info.</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8"/>
        <w:gridCol w:w="3263"/>
        <w:gridCol w:w="481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Action</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Settings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SNAT</w:t>
            </w:r>
          </w:p>
        </w:tc>
        <w:tc>
          <w:tcPr>
            <w:tcBorders>
              <w:left w:val="nil"/>
              <w:right w:val="nil"/>
            </w:tcBorders>
          </w:tcPr>
          <w:p>
            <w:pPr>
              <w:pStyle w:val="TableBodyText"/>
            </w:pPr>
            <w:r>
              <w:t>Translates a source IP address of outbound packets so that packets appear as originating from a different network.</w:t>
            </w:r>
          </w:p>
        </w:tc>
        <w:tc>
          <w:tcPr>
            <w:tcBorders>
              <w:left w:val="nil"/>
              <w:right w:val="nil"/>
            </w:tcBorders>
          </w:tcPr>
          <w:p>
            <w:pPr>
              <w:pStyle w:val="TableBodyText"/>
              <w:numPr>
                <w:numId w:val="211"/>
              </w:numPr>
            </w:pPr>
            <w:r>
              <w:t>Enter an external IP address or a CIDR notation.</w:t>
            </w:r>
          </w:p>
          <w:p>
            <w:pPr>
              <w:pStyle w:val="TableBodyText"/>
              <w:numPr>
                <w:numId w:val="211"/>
              </w:numPr>
            </w:pPr>
            <w:r>
              <w:t>(Optional) Enter an internal IP address or a CIDR notation.</w:t>
            </w:r>
          </w:p>
          <w:p>
            <w:pPr>
              <w:pStyle w:val="TableBodyText"/>
              <w:numPr>
                <w:numId w:val="211"/>
              </w:numPr>
            </w:pPr>
            <w:r>
              <w:t>Enter a destination IP address or CIDR notation.</w:t>
            </w:r>
          </w:p>
          <w:p>
            <w:pPr>
              <w:pStyle w:val="TableBodyText"/>
              <w:ind w:left="480"/>
            </w:pPr>
            <w:r>
              <w:t>This field is only applicable for SNAT and NO SNAT rules. If you want the rule to apply only for traffic to a specific domain, enter an IP address for this domain or an IP address list. If you leave this text box blank, the rule applies to all destinations outside of the local subnet.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NO SNAT</w:t>
            </w:r>
          </w:p>
        </w:tc>
        <w:tc>
          <w:tcPr>
            <w:tcBorders>
              <w:left w:val="nil"/>
              <w:right w:val="nil"/>
            </w:tcBorders>
          </w:tcPr>
          <w:p>
            <w:pPr>
              <w:pStyle w:val="TableBodyText"/>
            </w:pPr>
            <w:r>
              <w:t>Turn off source NAT.</w:t>
            </w:r>
          </w:p>
        </w:tc>
        <w:tc>
          <w:tcPr>
            <w:tcBorders>
              <w:left w:val="nil"/>
              <w:right w:val="nil"/>
            </w:tcBorders>
          </w:tcPr>
          <w:p>
            <w:pPr>
              <w:pStyle w:val="TableBodyText"/>
              <w:numPr>
                <w:numId w:val="212"/>
              </w:numPr>
            </w:pPr>
            <w:r>
              <w:t>Enter an external IP address or a CIDR notation.</w:t>
            </w:r>
          </w:p>
          <w:p>
            <w:pPr>
              <w:pStyle w:val="TableBodyText"/>
              <w:numPr>
                <w:numId w:val="212"/>
              </w:numPr>
            </w:pPr>
            <w:r>
              <w:t>(Optional) Enter a destination IP address or CIDR notation.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DNAT</w:t>
            </w:r>
          </w:p>
        </w:tc>
        <w:tc>
          <w:tcPr>
            <w:tcBorders>
              <w:left w:val="nil"/>
              <w:right w:val="nil"/>
            </w:tcBorders>
          </w:tcPr>
          <w:p>
            <w:pPr>
              <w:pStyle w:val="TableBodyText"/>
            </w:pPr>
            <w:r>
              <w:t>Translates the destination IP address of inbound packets so that packets are delivered to a target address into another network.</w:t>
            </w:r>
          </w:p>
        </w:tc>
        <w:tc>
          <w:tcPr>
            <w:tcBorders>
              <w:left w:val="nil"/>
              <w:right w:val="nil"/>
            </w:tcBorders>
          </w:tcPr>
          <w:p>
            <w:pPr>
              <w:pStyle w:val="TableBodyText"/>
              <w:numPr>
                <w:numId w:val="213"/>
              </w:numPr>
            </w:pPr>
            <w:r>
              <w:t>Enter an internal IP address or a CIDR notation.</w:t>
            </w:r>
          </w:p>
          <w:p>
            <w:pPr>
              <w:pStyle w:val="TableBodyText"/>
              <w:numPr>
                <w:numId w:val="213"/>
              </w:numPr>
            </w:pPr>
            <w:r>
              <w:t>(Optional) Enter an external port.</w:t>
            </w:r>
          </w:p>
          <w:p>
            <w:pPr>
              <w:pStyle w:val="TableBodyText"/>
              <w:numPr>
                <w:numId w:val="213"/>
              </w:numPr>
            </w:pPr>
            <w:r>
              <w:t>Enter an internal IP address or a CIDR notation.</w:t>
            </w:r>
          </w:p>
          <w:p>
            <w:pPr>
              <w:pStyle w:val="TableBodyText"/>
              <w:numPr>
                <w:numId w:val="213"/>
              </w:numPr>
            </w:pPr>
            <w:r>
              <w:t>From the drop-down menu, select a specific application port profile to which to apply the rule.</w:t>
            </w:r>
          </w:p>
          <w:p>
            <w:pPr>
              <w:pStyle w:val="TableBodyText"/>
              <w:ind w:left="480"/>
            </w:pPr>
            <w:r>
              <w:t>The application port profile includes a port and a protocol that the incoming traffic uses on the edge gateway to connect to the internal network.</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NO DNAT</w:t>
            </w:r>
          </w:p>
        </w:tc>
        <w:tc>
          <w:tcPr>
            <w:tcBorders>
              <w:left w:val="nil"/>
              <w:right w:val="nil"/>
            </w:tcBorders>
          </w:tcPr>
          <w:p>
            <w:pPr>
              <w:pStyle w:val="TableBodyText"/>
            </w:pPr>
            <w:r>
              <w:t>Turn off destination NAT.</w:t>
            </w:r>
          </w:p>
        </w:tc>
        <w:tc>
          <w:tcPr>
            <w:tcBorders>
              <w:left w:val="nil"/>
              <w:right w:val="nil"/>
            </w:tcBorders>
          </w:tcPr>
          <w:p>
            <w:pPr>
              <w:pStyle w:val="TableBodyText"/>
              <w:numPr>
                <w:numId w:val="214"/>
              </w:numPr>
            </w:pPr>
            <w:r>
              <w:t>Enter an external IP address or a CIDR notation.</w:t>
            </w:r>
          </w:p>
          <w:p>
            <w:pPr>
              <w:pStyle w:val="TableBodyText"/>
              <w:numPr>
                <w:numId w:val="214"/>
              </w:numPr>
            </w:pPr>
            <w:r>
              <w:t>(Optional) Enter an external port.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Reflexive</w:t>
            </w:r>
          </w:p>
        </w:tc>
        <w:tc>
          <w:tcPr>
            <w:tcBorders>
              <w:left w:val="nil"/>
              <w:right w:val="nil"/>
            </w:tcBorders>
          </w:tcPr>
          <w:p>
            <w:pPr>
              <w:pStyle w:val="TableBodyText"/>
            </w:pPr>
            <w:r>
              <w:t>Translates addresses passing through a routing device. Inbound packets undergo destination address rewriting, and outbound packets undergo source address rewriting.</w:t>
            </w:r>
          </w:p>
        </w:tc>
        <w:tc>
          <w:tcPr>
            <w:tcBorders>
              <w:left w:val="nil"/>
              <w:right w:val="nil"/>
            </w:tcBorders>
          </w:tcPr>
          <w:p>
            <w:pPr>
              <w:pStyle w:val="TableBodyText"/>
              <w:numPr>
                <w:numId w:val="215"/>
              </w:numPr>
            </w:pPr>
            <w:r>
              <w:t>Enter an external IP address or a CIDR notation.</w:t>
            </w:r>
          </w:p>
          <w:p>
            <w:pPr>
              <w:pStyle w:val="TableBodyText"/>
              <w:numPr>
                <w:numId w:val="215"/>
              </w:numPr>
            </w:pPr>
            <w:r>
              <w:t>Enter an internal IP address or a CIDR notation.</w:t>
            </w:r>
          </w:p>
        </w:tc>
      </w:tr>
    </w:tbl>
    <w:p>
      <w:pPr>
        <w:pStyle w:val="BodyText"/>
        <w:numPr>
          <w:numId w:val="210"/>
        </w:numPr>
        <w:spacing w:before="240"/>
      </w:pPr>
      <w:r>
        <w:t xml:space="preserve">(Optional) </w:t>
      </w:r>
      <w:r>
        <w:t xml:space="preserve">Click </w:t>
      </w:r>
      <w:r>
        <w:rPr>
          <w:rStyle w:val="InlineUI"/>
        </w:rPr>
        <w:t>Advanced Settings</w:t>
      </w:r>
      <w:r>
        <w:t>.</w:t>
      </w:r>
    </w:p>
    <w:p>
      <w:pPr>
        <w:pStyle w:val="BodyText"/>
        <w:numPr>
          <w:ilvl w:val="1"/>
          <w:numId w:val="210"/>
        </w:numPr>
      </w:pPr>
      <w:r>
        <w:t xml:space="preserve">To disable the rule upon creation, toggle off the </w:t>
      </w:r>
      <w:r>
        <w:rPr>
          <w:rStyle w:val="InlineUI"/>
        </w:rPr>
        <w:t>State</w:t>
      </w:r>
      <w:r>
        <w:t xml:space="preserve"> option.</w:t>
      </w:r>
    </w:p>
    <w:p>
      <w:pPr>
        <w:pStyle w:val="BodyText"/>
        <w:ind w:left="960"/>
      </w:pPr>
      <w:r>
        <w:t>This option is enabled by default.</w:t>
      </w:r>
    </w:p>
    <w:p>
      <w:pPr>
        <w:pStyle w:val="BodyText"/>
        <w:numPr>
          <w:ilvl w:val="1"/>
          <w:numId w:val="210"/>
        </w:numPr>
      </w:pPr>
      <w:r>
        <w:t xml:space="preserve">To enable logging, toggle on the </w:t>
      </w:r>
      <w:r>
        <w:rPr>
          <w:rStyle w:val="InlineUI"/>
        </w:rPr>
        <w:t>Logging</w:t>
      </w:r>
      <w:r>
        <w:t xml:space="preserve"> option.</w:t>
      </w:r>
    </w:p>
    <w:p>
      <w:pPr>
        <w:pStyle w:val="BodyText"/>
        <w:numPr>
          <w:ilvl w:val="1"/>
          <w:numId w:val="210"/>
        </w:numPr>
      </w:pPr>
      <w:r>
        <w:t>Enter a number to indicate the rule priority.</w:t>
      </w:r>
    </w:p>
    <w:p>
      <w:pPr>
        <w:pStyle w:val="BodyText"/>
        <w:ind w:left="960"/>
      </w:pPr>
      <w:r>
        <w:t>If multiple NAT rules exist for the same IP address, the rule with the highest priority is applied to it. A lower value means a higher precedence for this rule.</w:t>
      </w:r>
    </w:p>
    <w:p>
      <w:pPr>
        <w:pStyle w:val="BodyText"/>
        <w:numPr>
          <w:ilvl w:val="1"/>
          <w:numId w:val="210"/>
        </w:numPr>
      </w:pPr>
      <w:r>
        <w:t>From the drop-down menu, select how to expose the traffic that is subject to the NAT rule to the provider gateway firewall.</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5"/>
        <w:gridCol w:w="7205"/>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rPr>
                <w:rStyle w:val="InlineUI"/>
              </w:rPr>
              <w:t>Match Internal Address</w:t>
            </w:r>
          </w:p>
        </w:tc>
        <w:tc>
          <w:tcPr>
            <w:tcBorders>
              <w:left w:val="nil"/>
              <w:right w:val="nil"/>
            </w:tcBorders>
          </w:tcPr>
          <w:p>
            <w:pPr>
              <w:pStyle w:val="TableBodyText"/>
            </w:pPr>
            <w:r>
              <w:t>Apply the firewall to the internal address of the NAT rule. For SNAT, the internal address is the original source address before NAT is done. For DNAT, the internal address is the translated destination address after NAT is done.</w:t>
            </w:r>
          </w:p>
        </w:tc>
      </w:tr>
      <w:tr>
        <w:tblPrEx>
          <w:tblInd w:w="960" w:type="dxa"/>
          <w:tblCellMar>
            <w:left w:w="108" w:type="dxa"/>
            <w:right w:w="108" w:type="dxa"/>
          </w:tblCellMar>
        </w:tblPrEx>
        <w:trPr>
          <w:cantSplit/>
        </w:trPr>
        <w:tc>
          <w:tcPr>
            <w:tcBorders>
              <w:left w:val="nil"/>
              <w:right w:val="nil"/>
            </w:tcBorders>
          </w:tcPr>
          <w:p>
            <w:pPr>
              <w:pStyle w:val="TableBodyText"/>
            </w:pPr>
            <w:r>
              <w:t>Match External Address</w:t>
            </w:r>
          </w:p>
        </w:tc>
        <w:tc>
          <w:tcPr>
            <w:tcBorders>
              <w:left w:val="nil"/>
              <w:right w:val="nil"/>
            </w:tcBorders>
          </w:tcPr>
          <w:p>
            <w:pPr>
              <w:pStyle w:val="TableBodyText"/>
            </w:pPr>
            <w:r>
              <w:t>Apply the firewall to the external address of the NAT rule. For SNAT, the external address is the translated source address after NAT is done. For DNAT, the external address is the original destination address before NAT is done.</w:t>
            </w:r>
          </w:p>
        </w:tc>
      </w:tr>
      <w:tr>
        <w:tblPrEx>
          <w:tblInd w:w="960" w:type="dxa"/>
          <w:tblCellMar>
            <w:left w:w="108" w:type="dxa"/>
            <w:right w:w="108" w:type="dxa"/>
          </w:tblCellMar>
        </w:tblPrEx>
        <w:trPr>
          <w:cantSplit/>
        </w:trPr>
        <w:tc>
          <w:tcPr>
            <w:tcBorders>
              <w:left w:val="nil"/>
              <w:right w:val="nil"/>
            </w:tcBorders>
          </w:tcPr>
          <w:p>
            <w:pPr>
              <w:pStyle w:val="TableBodyText"/>
            </w:pPr>
            <w:r>
              <w:t>Bypass</w:t>
            </w:r>
          </w:p>
        </w:tc>
        <w:tc>
          <w:tcPr>
            <w:tcBorders>
              <w:left w:val="nil"/>
              <w:right w:val="nil"/>
            </w:tcBorders>
          </w:tcPr>
          <w:p>
            <w:pPr>
              <w:pStyle w:val="TableBodyText"/>
            </w:pPr>
            <w:r>
              <w:t>Bypass the firewall.</w:t>
            </w:r>
          </w:p>
        </w:tc>
      </w:tr>
    </w:tbl>
    <w:p>
      <w:pPr>
        <w:pStyle w:val="BodyText"/>
        <w:numPr>
          <w:ilvl w:val="1"/>
          <w:numId w:val="210"/>
        </w:numPr>
        <w:spacing w:before="240"/>
      </w:pPr>
      <w:r>
        <w:t>From the drop-down menu, select an IP space uplink to which to apply the rule.</w:t>
      </w:r>
    </w:p>
    <w:p>
      <w:pPr>
        <w:pStyle w:val="BodyText"/>
        <w:pBdr>
          <w:top w:val="single" w:sz="8" w:space="2" w:color="D3D3D3"/>
          <w:bottom w:val="single" w:sz="8" w:space="2" w:color="D3D3D3"/>
        </w:pBdr>
        <w:ind w:left="960"/>
      </w:pPr>
      <w:r>
        <w:rPr>
          <w:rStyle w:val="NoteLeadernote"/>
        </w:rPr>
        <w:t>Note</w:t>
        <w:tab/>
      </w:r>
      <w:r>
        <w:t>If you haven't associated any of the provider gateway interfaces to the IP space uplink that you select, the NAT rule applies to all of the provider gateway interfaces.</w:t>
      </w:r>
    </w:p>
    <w:p>
      <w:pPr>
        <w:pStyle w:val="BodyText"/>
        <w:numPr>
          <w:numId w:val="210"/>
        </w:numPr>
      </w:pPr>
      <w:r>
        <w:t xml:space="preserve">Click </w:t>
      </w:r>
      <w:r>
        <w:rPr>
          <w:rStyle w:val="InlineUI"/>
        </w:rPr>
        <w:t>Save</w:t>
      </w:r>
      <w:r>
        <w:t>.</w:t>
      </w:r>
    </w:p>
    <w:p>
      <w:pPr>
        <w:pStyle w:val="Heading3"/>
      </w:pPr>
      <w:bookmarkStart w:id="248" w:name="_Toc256000622"/>
      <w:r>
        <w:t>Configure BGP on a Provider Gateway That Uses IP Spaces in the VCF Automation Provider Management Portal</w:t>
      </w:r>
      <w:bookmarkEnd w:id="248"/>
    </w:p>
    <w:p>
      <w:pPr>
        <w:pStyle w:val="BodyText"/>
      </w:pPr>
      <w:r>
        <w:t>If you are using IP spaces on a provider gateway, you can configure a Border Gateway Protocol (BGP) connection on the provider gateway.</w:t>
      </w:r>
    </w:p>
    <w:p>
      <w:pPr>
        <w:pStyle w:val="BodyText"/>
      </w:pPr>
      <w:r>
        <w:t>The set of capabilities that you can configure includes BGP route maps and BGP communities, which means that you can specify additional configuration for route redistribution. You can configure route maps with IP prefixes and community lists that are defined on the provider gateway.</w:t>
      </w:r>
    </w:p>
    <w:p>
      <w:pPr>
        <w:pStyle w:val="BodyText"/>
      </w:pPr>
      <w:r>
        <w:t xml:space="preserve">In a provider gateway that is backed by a VRF gateway, graceful restart settings are read-only. You can edit these settings on the parent tier-0 in </w:t>
      </w:r>
      <w:r>
        <w:t>NSX</w:t>
      </w:r>
      <w:r>
        <w:t>.</w:t>
      </w:r>
    </w:p>
    <w:p>
      <w:pPr>
        <w:pStyle w:val="BodyText"/>
      </w:pPr>
      <w:r>
        <w:t xml:space="preserve">If you are using </w:t>
      </w:r>
      <w:r>
        <w:t>NSX</w:t>
      </w:r>
      <w:r>
        <w:t xml:space="preserve"> 4.1 or a newer version, you can edit the the local AS number on an provider gateway that is backed by a VRF gateway. In earlier versions, the local AS number setting is read-only and can be configured by a </w:t>
      </w:r>
      <w:r>
        <w:rPr>
          <w:rStyle w:val="InlineUI"/>
        </w:rPr>
        <w:t xml:space="preserve">system administrator </w:t>
      </w:r>
      <w:r>
        <w:t xml:space="preserve"> on the parent tier-0 in </w:t>
      </w:r>
      <w:r>
        <w:t>NSX</w:t>
      </w:r>
      <w:r>
        <w:t>.</w:t>
      </w:r>
    </w:p>
    <w:p>
      <w:pPr>
        <w:pStyle w:val="BodyText"/>
      </w:pPr>
      <w:r>
        <w:rPr>
          <w:rStyle w:val="Strong"/>
        </w:rPr>
        <w:t>Prerequisites</w:t>
      </w:r>
    </w:p>
    <w:p>
      <w:pPr>
        <w:pStyle w:val="BodyText"/>
        <w:numPr>
          <w:numId w:val="216"/>
        </w:numPr>
      </w:pPr>
      <w:r>
        <w:t>Verify that your provider gateway uses IP spaces.</w:t>
      </w:r>
    </w:p>
    <w:p>
      <w:pPr>
        <w:pStyle w:val="BodyText"/>
        <w:numPr>
          <w:numId w:val="216"/>
        </w:numPr>
      </w:pPr>
      <w:r>
        <w:t xml:space="preserve">Verify that you have the </w:t>
      </w:r>
      <w:r>
        <w:rPr>
          <w:rStyle w:val="InlineUI"/>
        </w:rPr>
        <w:t>Provider Gateway Routing: View</w:t>
      </w:r>
      <w:r>
        <w:t xml:space="preserve"> and </w:t>
      </w:r>
      <w:r>
        <w:rPr>
          <w:rStyle w:val="InlineUI"/>
        </w:rPr>
        <w:t>Provider Gateway Routing: Manage</w:t>
      </w:r>
      <w:r>
        <w:t xml:space="preserve"> rights assigned to you.</w:t>
      </w:r>
    </w:p>
    <w:p>
      <w:pPr>
        <w:pStyle w:val="BodyText"/>
        <w:numPr>
          <w:numId w:val="216"/>
        </w:numPr>
      </w:pPr>
      <w:r>
        <w:t>Verify that your provider gateway is private.</w:t>
      </w:r>
    </w:p>
    <w:p>
      <w:pPr>
        <w:pStyle w:val="BodyText"/>
      </w:pPr>
      <w:r>
        <w:rPr>
          <w:rStyle w:val="Strong"/>
        </w:rPr>
        <w:t>Procedure</w:t>
      </w:r>
    </w:p>
    <w:p>
      <w:pPr>
        <w:pStyle w:val="BodyText"/>
        <w:numPr>
          <w:numId w:val="217"/>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17"/>
        </w:numPr>
      </w:pPr>
      <w:r>
        <w:t xml:space="preserve">In the left pane, click </w:t>
      </w:r>
      <w:r>
        <w:rPr>
          <w:rStyle w:val="InlineUI"/>
        </w:rPr>
        <w:t>Provider Gateways</w:t>
      </w:r>
      <w:r>
        <w:t>.</w:t>
      </w:r>
    </w:p>
    <w:p>
      <w:pPr>
        <w:pStyle w:val="BodyText"/>
        <w:numPr>
          <w:numId w:val="217"/>
        </w:numPr>
      </w:pPr>
      <w:r>
        <w:t xml:space="preserve">Click </w:t>
      </w:r>
      <w:r>
        <w:rPr>
          <w:rStyle w:val="InlineUI"/>
        </w:rPr>
        <w:t>BGP</w:t>
      </w:r>
      <w:r>
        <w:t xml:space="preserve"> and, under </w:t>
      </w:r>
      <w:r>
        <w:rPr>
          <w:rStyle w:val="InlineUI"/>
        </w:rPr>
        <w:t>Configuration</w:t>
      </w:r>
      <w:r>
        <w:t xml:space="preserve">, click </w:t>
      </w:r>
      <w:r>
        <w:rPr>
          <w:rStyle w:val="InlineUI"/>
        </w:rPr>
        <w:t>Edit</w:t>
      </w:r>
      <w:r>
        <w:t>.</w:t>
      </w:r>
    </w:p>
    <w:p>
      <w:pPr>
        <w:pStyle w:val="BodyText"/>
        <w:numPr>
          <w:numId w:val="217"/>
        </w:numPr>
      </w:pPr>
      <w:r>
        <w:t xml:space="preserve">Toggle on the </w:t>
      </w:r>
      <w:r>
        <w:rPr>
          <w:rStyle w:val="InlineUI"/>
        </w:rPr>
        <w:t>Status</w:t>
      </w:r>
      <w:r>
        <w:t xml:space="preserve"> option to enable BGP.</w:t>
      </w:r>
    </w:p>
    <w:p>
      <w:pPr>
        <w:pStyle w:val="BodyText"/>
        <w:numPr>
          <w:numId w:val="217"/>
        </w:numPr>
      </w:pPr>
      <w:r>
        <w:t>Enter an autonomous system (AS) ID number to use for the local AS feature of the protocol.</w:t>
      </w:r>
    </w:p>
    <w:p>
      <w:pPr>
        <w:pStyle w:val="BodyText"/>
        <w:ind w:left="480"/>
      </w:pPr>
      <w:r>
        <w:t>VCF Automation</w:t>
      </w:r>
      <w:r>
        <w:t xml:space="preserve"> assigns the local AS number to the provider gateway. The provider gateway advertises this ID when it connects with its BGP neighbors in other autonomous systems.</w:t>
      </w:r>
    </w:p>
    <w:p>
      <w:pPr>
        <w:pStyle w:val="BodyText"/>
        <w:numPr>
          <w:numId w:val="217"/>
        </w:numPr>
      </w:pPr>
      <w:r>
        <w:t xml:space="preserve">From the drop-down menu, select a </w:t>
      </w:r>
      <w:r>
        <w:rPr>
          <w:rStyle w:val="InlineUI"/>
        </w:rPr>
        <w:t>Graceful Restart Mode</w:t>
      </w:r>
      <w:r>
        <w:t xml:space="preserve"> option.</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93"/>
        <w:gridCol w:w="7887"/>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Helper and graceful restart</w:t>
            </w:r>
          </w:p>
        </w:tc>
        <w:tc>
          <w:tcPr>
            <w:tcBorders>
              <w:left w:val="nil"/>
              <w:right w:val="nil"/>
            </w:tcBorders>
          </w:tcPr>
          <w:p>
            <w:pPr>
              <w:pStyle w:val="TableBodyText"/>
            </w:pPr>
            <w:r>
              <w:t>It is not a best practice to enable the graceful restart capability on the provider gateway because the BGP peerings from all gateways are always active.</w:t>
            </w:r>
          </w:p>
          <w:p>
            <w:pPr>
              <w:pStyle w:val="TableBodyText"/>
            </w:pPr>
            <w:r>
              <w:t>In case of a failover, the graceful restart capability increases the time a remote neighbor takes to select an alternate tier-0 gateway. This delays BFD-based convergence.</w:t>
            </w:r>
          </w:p>
          <w:p>
            <w:pPr>
              <w:pStyle w:val="TableBodyText"/>
              <w:pBdr>
                <w:top w:val="single" w:sz="8" w:space="2" w:color="D3D3D3"/>
                <w:bottom w:val="single" w:sz="8" w:space="2" w:color="D3D3D3"/>
              </w:pBdr>
            </w:pPr>
            <w:r>
              <w:rPr>
                <w:rStyle w:val="NoteLeadernote"/>
              </w:rPr>
              <w:t>Note</w:t>
              <w:tab/>
            </w:r>
            <w:r>
              <w:t>The provider gateway configuration applies to all BGP neighbors unless the neighbor-specific configuration overrides it.</w:t>
            </w:r>
          </w:p>
        </w:tc>
      </w:tr>
      <w:tr>
        <w:tblPrEx>
          <w:tblInd w:w="480" w:type="dxa"/>
          <w:tblCellMar>
            <w:left w:w="108" w:type="dxa"/>
            <w:right w:w="108" w:type="dxa"/>
          </w:tblCellMar>
        </w:tblPrEx>
        <w:trPr>
          <w:cantSplit/>
        </w:trPr>
        <w:tc>
          <w:tcPr>
            <w:tcBorders>
              <w:left w:val="nil"/>
              <w:right w:val="nil"/>
            </w:tcBorders>
          </w:tcPr>
          <w:p>
            <w:pPr>
              <w:pStyle w:val="TableBodyText"/>
            </w:pPr>
            <w:r>
              <w:t>Helper only</w:t>
            </w:r>
          </w:p>
        </w:tc>
        <w:tc>
          <w:tcPr>
            <w:tcBorders>
              <w:left w:val="nil"/>
              <w:right w:val="nil"/>
            </w:tcBorders>
          </w:tcPr>
          <w:p>
            <w:pPr>
              <w:pStyle w:val="TableBodyText"/>
            </w:pPr>
            <w:r>
              <w:t>Useful for reducing or eliminating the disruption of traffic associated with routes learned from a neighbor that is capable of graceful restart. The neighbor must be able to preserve its forwarding table while it undergoes a restart.</w:t>
            </w:r>
          </w:p>
        </w:tc>
      </w:tr>
      <w:tr>
        <w:tblPrEx>
          <w:tblInd w:w="480" w:type="dxa"/>
          <w:tblCellMar>
            <w:left w:w="108" w:type="dxa"/>
            <w:right w:w="108" w:type="dxa"/>
          </w:tblCellMar>
        </w:tblPrEx>
        <w:trPr>
          <w:cantSplit/>
        </w:trPr>
        <w:tc>
          <w:tcPr>
            <w:tcBorders>
              <w:left w:val="nil"/>
              <w:right w:val="nil"/>
            </w:tcBorders>
          </w:tcPr>
          <w:p>
            <w:pPr>
              <w:pStyle w:val="TableBodyText"/>
            </w:pPr>
            <w:r>
              <w:t>Disable</w:t>
            </w:r>
          </w:p>
        </w:tc>
        <w:tc>
          <w:tcPr>
            <w:tcBorders>
              <w:left w:val="nil"/>
              <w:right w:val="nil"/>
            </w:tcBorders>
          </w:tcPr>
          <w:p>
            <w:pPr>
              <w:pStyle w:val="TableBodyText"/>
            </w:pPr>
            <w:r>
              <w:t>Deactivate graceful restart mode on the edge gateway.</w:t>
            </w:r>
          </w:p>
        </w:tc>
      </w:tr>
    </w:tbl>
    <w:p>
      <w:pPr>
        <w:pStyle w:val="BodyText"/>
        <w:numPr>
          <w:numId w:val="217"/>
        </w:numPr>
        <w:spacing w:before="240"/>
      </w:pPr>
      <w:r>
        <w:t xml:space="preserve">(Optional) </w:t>
      </w:r>
      <w:r>
        <w:t>Change the default value for the graceful restart timer.</w:t>
      </w:r>
    </w:p>
    <w:p>
      <w:pPr>
        <w:pStyle w:val="BodyText"/>
        <w:numPr>
          <w:numId w:val="217"/>
        </w:numPr>
      </w:pPr>
      <w:r>
        <w:t xml:space="preserve">(Optional) </w:t>
      </w:r>
      <w:r>
        <w:t>Change the default value for the stale route timer.</w:t>
      </w:r>
    </w:p>
    <w:p>
      <w:pPr>
        <w:pStyle w:val="BodyText"/>
        <w:numPr>
          <w:numId w:val="217"/>
        </w:numPr>
      </w:pPr>
      <w:r>
        <w:t xml:space="preserve">Toggle on the </w:t>
      </w:r>
      <w:r>
        <w:rPr>
          <w:rStyle w:val="InlineUI"/>
        </w:rPr>
        <w:t>ECMP</w:t>
      </w:r>
      <w:r>
        <w:t xml:space="preserve"> option to enable ECMP.</w:t>
      </w:r>
    </w:p>
    <w:p>
      <w:pPr>
        <w:pStyle w:val="BodyText"/>
        <w:numPr>
          <w:numId w:val="217"/>
        </w:numPr>
      </w:pPr>
      <w:r>
        <w:t xml:space="preserve">Click </w:t>
      </w:r>
      <w:r>
        <w:rPr>
          <w:rStyle w:val="InlineUI"/>
        </w:rPr>
        <w:t>Save</w:t>
      </w:r>
      <w:r>
        <w:t>.</w:t>
      </w:r>
    </w:p>
    <w:p>
      <w:pPr>
        <w:pStyle w:val="Heading4"/>
      </w:pPr>
      <w:bookmarkStart w:id="249" w:name="_Toc256000623"/>
      <w:r>
        <w:t>Add a BGP Neighbor On Your Provider Gateway in the VCF Automation Provider Management Portal VMware Cloud Director Tenant Portal</w:t>
      </w:r>
      <w:bookmarkEnd w:id="249"/>
    </w:p>
    <w:p>
      <w:pPr>
        <w:pStyle w:val="BodyText"/>
      </w:pPr>
      <w:r>
        <w:t>You can configure individual settings for the BGP routing neighbors when you add them on the provider gateway.</w:t>
      </w:r>
    </w:p>
    <w:p>
      <w:pPr>
        <w:pStyle w:val="BodyText"/>
      </w:pPr>
      <w:r>
        <w:rPr>
          <w:rStyle w:val="Strong"/>
        </w:rPr>
        <w:t>Prerequisites</w:t>
      </w:r>
    </w:p>
    <w:p>
      <w:pPr>
        <w:pStyle w:val="BodyText"/>
        <w:numPr>
          <w:numId w:val="218"/>
        </w:numPr>
      </w:pPr>
      <w:r>
        <w:t>Verify that you configured the global BGP settings for the provider gateway.</w:t>
      </w:r>
    </w:p>
    <w:p>
      <w:pPr>
        <w:pStyle w:val="BodyText"/>
        <w:numPr>
          <w:numId w:val="218"/>
        </w:numPr>
      </w:pPr>
      <w:r>
        <w:t xml:space="preserve">Verify that you have the </w:t>
      </w:r>
      <w:r>
        <w:rPr>
          <w:rStyle w:val="InlineUI"/>
        </w:rPr>
        <w:t>Provider Gateway Routing: View</w:t>
      </w:r>
      <w:r>
        <w:t xml:space="preserve"> and </w:t>
      </w:r>
      <w:r>
        <w:rPr>
          <w:rStyle w:val="InlineUI"/>
        </w:rPr>
        <w:t>Provider Gateway Routing: Manage</w:t>
      </w:r>
      <w:r>
        <w:t xml:space="preserve"> rights assigned to you.</w:t>
      </w:r>
    </w:p>
    <w:p>
      <w:pPr>
        <w:pStyle w:val="BodyText"/>
        <w:numPr>
          <w:numId w:val="219"/>
        </w:numPr>
      </w:pPr>
      <w:r>
        <w:t>Verify that you have the</w:t>
      </w:r>
      <w:r>
        <w:rPr>
          <w:rStyle w:val="InlineUI"/>
        </w:rPr>
        <w:t>Limited Provider Gateway BGP: View</w:t>
      </w:r>
      <w:r>
        <w:t xml:space="preserve"> and</w:t>
      </w:r>
      <w:r>
        <w:rPr>
          <w:rStyle w:val="InlineUI"/>
        </w:rPr>
        <w:t>Limited Provider Gateway BGP: Manage</w:t>
      </w:r>
      <w:r>
        <w:t xml:space="preserve"> rights assigned to you.</w:t>
      </w:r>
    </w:p>
    <w:p>
      <w:pPr>
        <w:pStyle w:val="BodyText"/>
        <w:numPr>
          <w:numId w:val="219"/>
        </w:numPr>
      </w:pPr>
      <w:r>
        <w:t xml:space="preserve">Verify that your organization is assigned the </w:t>
      </w:r>
      <w:r>
        <w:rPr>
          <w:rStyle w:val="InlineUI"/>
        </w:rPr>
        <w:t>BGP Neighbors: Manage</w:t>
      </w:r>
      <w:r>
        <w:t xml:space="preserve"> permission.</w:t>
      </w:r>
    </w:p>
    <w:p>
      <w:pPr>
        <w:pStyle w:val="BodyText"/>
      </w:pPr>
      <w:r>
        <w:rPr>
          <w:rStyle w:val="Strong"/>
        </w:rPr>
        <w:t>Procedure</w:t>
      </w:r>
    </w:p>
    <w:p>
      <w:pPr>
        <w:pStyle w:val="BodyText"/>
        <w:numPr>
          <w:numId w:val="220"/>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20"/>
        </w:numPr>
      </w:pPr>
      <w:r>
        <w:t xml:space="preserve">In the top navigation bar, click </w:t>
      </w:r>
      <w:r>
        <w:rPr>
          <w:rStyle w:val="InlineUI"/>
        </w:rPr>
        <w:t>Networking</w:t>
      </w:r>
      <w:r>
        <w:t xml:space="preserve"> and click the </w:t>
      </w:r>
      <w:r>
        <w:rPr>
          <w:rStyle w:val="InlineUI"/>
        </w:rPr>
        <w:t>Provider Gateways</w:t>
      </w:r>
      <w:r>
        <w:t xml:space="preserve"> tab.</w:t>
      </w:r>
    </w:p>
    <w:p>
      <w:pPr>
        <w:pStyle w:val="BodyText"/>
        <w:numPr>
          <w:numId w:val="220"/>
        </w:numPr>
      </w:pPr>
      <w:r>
        <w:t xml:space="preserve">From the secondary left panel, select </w:t>
      </w:r>
      <w:r>
        <w:rPr>
          <w:rStyle w:val="InlineUI"/>
        </w:rPr>
        <w:t>Provider Gateways</w:t>
      </w:r>
      <w:r>
        <w:t>.</w:t>
      </w:r>
    </w:p>
    <w:p>
      <w:pPr>
        <w:pStyle w:val="BodyText"/>
        <w:numPr>
          <w:numId w:val="220"/>
        </w:numPr>
      </w:pPr>
      <w:r>
        <w:t>Click the provider gateway.</w:t>
      </w:r>
    </w:p>
    <w:p>
      <w:pPr>
        <w:pStyle w:val="BodyText"/>
        <w:numPr>
          <w:numId w:val="220"/>
        </w:numPr>
      </w:pPr>
      <w:r>
        <w:t xml:space="preserve">Click </w:t>
      </w:r>
      <w:r>
        <w:rPr>
          <w:rStyle w:val="InlineUI"/>
        </w:rPr>
        <w:t>BGP</w:t>
      </w:r>
      <w:r>
        <w:t xml:space="preserve"> and click </w:t>
      </w:r>
      <w:r>
        <w:rPr>
          <w:rStyle w:val="InlineUI"/>
        </w:rPr>
        <w:t>Neighbors</w:t>
      </w:r>
      <w:r>
        <w:t>.</w:t>
      </w:r>
    </w:p>
    <w:p>
      <w:pPr>
        <w:pStyle w:val="BodyText"/>
        <w:numPr>
          <w:numId w:val="220"/>
        </w:numPr>
      </w:pPr>
      <w:r>
        <w:t xml:space="preserve">Click </w:t>
      </w:r>
      <w:r>
        <w:rPr>
          <w:rStyle w:val="InlineUI"/>
        </w:rPr>
        <w:t>New</w:t>
      </w:r>
      <w:r>
        <w:t>.</w:t>
      </w:r>
    </w:p>
    <w:p>
      <w:pPr>
        <w:pStyle w:val="BodyText"/>
        <w:numPr>
          <w:numId w:val="220"/>
        </w:numPr>
      </w:pPr>
      <w:r>
        <w:t>Enter the general settings for the new BGP neighbor.</w:t>
      </w:r>
    </w:p>
    <w:p>
      <w:pPr>
        <w:pStyle w:val="BodyText"/>
        <w:numPr>
          <w:ilvl w:val="1"/>
          <w:numId w:val="220"/>
        </w:numPr>
      </w:pPr>
      <w:r>
        <w:t>Enter an IPv4 or IPv6 address for the new BGP neighbor.</w:t>
      </w:r>
    </w:p>
    <w:p>
      <w:pPr>
        <w:pStyle w:val="BodyText"/>
        <w:numPr>
          <w:ilvl w:val="1"/>
          <w:numId w:val="220"/>
        </w:numPr>
      </w:pPr>
      <w:r>
        <w:t>Enter a remote Autonomous System (AS) number in ASPLAIN format.</w:t>
      </w:r>
    </w:p>
    <w:p>
      <w:pPr>
        <w:pStyle w:val="BodyText"/>
        <w:numPr>
          <w:ilvl w:val="1"/>
          <w:numId w:val="220"/>
        </w:numPr>
      </w:pPr>
      <w:r>
        <w:t>Enter a time interval between sending keep-alive messages to a BGP peer.</w:t>
      </w:r>
    </w:p>
    <w:p>
      <w:pPr>
        <w:pStyle w:val="BodyText"/>
        <w:numPr>
          <w:ilvl w:val="1"/>
          <w:numId w:val="220"/>
        </w:numPr>
      </w:pPr>
      <w:r>
        <w:t>Enter a time interval before declaring a BGP peer dead.</w:t>
      </w:r>
    </w:p>
    <w:p>
      <w:pPr>
        <w:pStyle w:val="BodyText"/>
        <w:numPr>
          <w:ilvl w:val="1"/>
          <w:numId w:val="220"/>
        </w:numPr>
      </w:pPr>
      <w:r>
        <w:t xml:space="preserve">From the drop-down menu, select a </w:t>
      </w:r>
      <w:r>
        <w:rPr>
          <w:rStyle w:val="InlineUI"/>
        </w:rPr>
        <w:t xml:space="preserve">Graceful Restart Mode </w:t>
      </w:r>
      <w:r>
        <w:t>option for this neighbor.</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03"/>
        <w:gridCol w:w="7097"/>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Disable</w:t>
            </w:r>
          </w:p>
        </w:tc>
        <w:tc>
          <w:tcPr>
            <w:tcBorders>
              <w:left w:val="nil"/>
              <w:right w:val="nil"/>
            </w:tcBorders>
          </w:tcPr>
          <w:p>
            <w:pPr>
              <w:pStyle w:val="TableBodyText"/>
            </w:pPr>
            <w:r>
              <w:t>Overrides the global provider gateway settings and deactivates graceful restart mode for this neighbor.</w:t>
            </w:r>
          </w:p>
        </w:tc>
      </w:tr>
      <w:tr>
        <w:tblPrEx>
          <w:tblInd w:w="960" w:type="dxa"/>
          <w:tblCellMar>
            <w:left w:w="108" w:type="dxa"/>
            <w:right w:w="108" w:type="dxa"/>
          </w:tblCellMar>
        </w:tblPrEx>
        <w:trPr>
          <w:cantSplit/>
        </w:trPr>
        <w:tc>
          <w:tcPr>
            <w:tcBorders>
              <w:left w:val="nil"/>
              <w:right w:val="nil"/>
            </w:tcBorders>
          </w:tcPr>
          <w:p>
            <w:pPr>
              <w:pStyle w:val="TableBodyText"/>
            </w:pPr>
            <w:r>
              <w:t>Helper only</w:t>
            </w:r>
          </w:p>
        </w:tc>
        <w:tc>
          <w:tcPr>
            <w:tcBorders>
              <w:left w:val="nil"/>
              <w:right w:val="nil"/>
            </w:tcBorders>
          </w:tcPr>
          <w:p>
            <w:pPr>
              <w:pStyle w:val="TableBodyText"/>
            </w:pPr>
            <w:r>
              <w:t xml:space="preserve">Overrides the global provider gateway settings and configures graceful restart mode as </w:t>
            </w:r>
            <w:r>
              <w:rPr>
                <w:rStyle w:val="InlineUI"/>
              </w:rPr>
              <w:t>Helper only</w:t>
            </w:r>
            <w:r>
              <w:t xml:space="preserve"> for this neighbor.</w:t>
            </w:r>
          </w:p>
        </w:tc>
      </w:tr>
      <w:tr>
        <w:tblPrEx>
          <w:tblInd w:w="960" w:type="dxa"/>
          <w:tblCellMar>
            <w:left w:w="108" w:type="dxa"/>
            <w:right w:w="108" w:type="dxa"/>
          </w:tblCellMar>
        </w:tblPrEx>
        <w:trPr>
          <w:cantSplit/>
        </w:trPr>
        <w:tc>
          <w:tcPr>
            <w:tcBorders>
              <w:left w:val="nil"/>
              <w:right w:val="nil"/>
            </w:tcBorders>
          </w:tcPr>
          <w:p>
            <w:pPr>
              <w:pStyle w:val="TableBodyText"/>
            </w:pPr>
            <w:r>
              <w:t>Graceful restart and Helper</w:t>
            </w:r>
          </w:p>
        </w:tc>
        <w:tc>
          <w:tcPr>
            <w:tcBorders>
              <w:left w:val="nil"/>
              <w:right w:val="nil"/>
            </w:tcBorders>
          </w:tcPr>
          <w:p>
            <w:pPr>
              <w:pStyle w:val="TableBodyText"/>
            </w:pPr>
            <w:r>
              <w:t xml:space="preserve">Overrides the global provider gateway settings and configures graceful restart mode as </w:t>
            </w:r>
            <w:r>
              <w:rPr>
                <w:rStyle w:val="InlineUI"/>
              </w:rPr>
              <w:t>Graceful restart and Helper</w:t>
            </w:r>
            <w:r>
              <w:t xml:space="preserve"> for this neighbor.</w:t>
            </w:r>
          </w:p>
        </w:tc>
      </w:tr>
    </w:tbl>
    <w:p>
      <w:pPr>
        <w:pStyle w:val="BodyText"/>
        <w:numPr>
          <w:ilvl w:val="1"/>
          <w:numId w:val="220"/>
        </w:numPr>
        <w:spacing w:before="240"/>
      </w:pPr>
      <w:r>
        <w:t xml:space="preserve">Turn on the </w:t>
      </w:r>
      <w:r>
        <w:rPr>
          <w:rStyle w:val="InlineUI"/>
        </w:rPr>
        <w:t>AllowAS-in</w:t>
      </w:r>
      <w:r>
        <w:t xml:space="preserve"> toggle to enable receiving routes with the same AS.</w:t>
      </w:r>
    </w:p>
    <w:p>
      <w:pPr>
        <w:pStyle w:val="BodyText"/>
        <w:numPr>
          <w:ilvl w:val="1"/>
          <w:numId w:val="220"/>
        </w:numPr>
      </w:pPr>
      <w:r>
        <w:t>If the BGP neighbor requires authentication, enter the password for the BGP neighbor.</w:t>
      </w:r>
    </w:p>
    <w:p>
      <w:pPr>
        <w:pStyle w:val="BodyText"/>
        <w:numPr>
          <w:numId w:val="220"/>
        </w:numPr>
      </w:pPr>
      <w:r>
        <w:t>Configure the Bidirectional Forwarding Detection (BFD) settings for the new BGP neighbor.</w:t>
      </w:r>
    </w:p>
    <w:p>
      <w:pPr>
        <w:pStyle w:val="BodyText"/>
        <w:numPr>
          <w:ilvl w:val="1"/>
          <w:numId w:val="220"/>
        </w:numPr>
      </w:pPr>
      <w:r>
        <w:t xml:space="preserve">(Optional) </w:t>
      </w:r>
      <w:r>
        <w:t xml:space="preserve">Toggle on the </w:t>
      </w:r>
      <w:r>
        <w:rPr>
          <w:rStyle w:val="InlineUI"/>
        </w:rPr>
        <w:t>BFD</w:t>
      </w:r>
      <w:r>
        <w:t xml:space="preserve"> option to enable BFD for failure detection.</w:t>
      </w:r>
    </w:p>
    <w:p>
      <w:pPr>
        <w:pStyle w:val="BodyText"/>
        <w:numPr>
          <w:ilvl w:val="1"/>
          <w:numId w:val="220"/>
        </w:numPr>
      </w:pPr>
      <w:r>
        <w:t>In the BDF interval text box, define the time interval for sending heartbeat packets.</w:t>
      </w:r>
    </w:p>
    <w:p>
      <w:pPr>
        <w:pStyle w:val="BodyText"/>
        <w:numPr>
          <w:ilvl w:val="1"/>
          <w:numId w:val="220"/>
        </w:numPr>
      </w:pPr>
      <w:r>
        <w:t xml:space="preserve">In the </w:t>
      </w:r>
      <w:r>
        <w:rPr>
          <w:rStyle w:val="InlineUI"/>
        </w:rPr>
        <w:t>Dead Multiple</w:t>
      </w:r>
      <w:r>
        <w:t xml:space="preserve"> text box, enter the number of times the BGP neighbor can fail to send heartbeat packets before the BFD declares it is down.</w:t>
      </w:r>
    </w:p>
    <w:p>
      <w:pPr>
        <w:pStyle w:val="BodyText"/>
        <w:numPr>
          <w:numId w:val="220"/>
        </w:numPr>
      </w:pPr>
      <w:r>
        <w:t>Configure route filtering.</w:t>
      </w:r>
    </w:p>
    <w:p>
      <w:pPr>
        <w:pStyle w:val="BodyText"/>
        <w:numPr>
          <w:ilvl w:val="1"/>
          <w:numId w:val="220"/>
        </w:numPr>
      </w:pPr>
      <w:r>
        <w:t xml:space="preserve">Select an IP address family from the </w:t>
      </w:r>
      <w:r>
        <w:rPr>
          <w:rStyle w:val="InlineUI"/>
        </w:rPr>
        <w:t>IP Address Family</w:t>
      </w:r>
      <w:r>
        <w:t xml:space="preserve"> drop-down menu.</w:t>
      </w:r>
    </w:p>
    <w:p>
      <w:pPr>
        <w:pStyle w:val="BodyText"/>
        <w:numPr>
          <w:ilvl w:val="1"/>
          <w:numId w:val="220"/>
        </w:numPr>
      </w:pPr>
      <w:r>
        <w:t>Configure an inbound filter.</w:t>
      </w:r>
    </w:p>
    <w:p>
      <w:pPr>
        <w:pStyle w:val="BodyText"/>
        <w:numPr>
          <w:ilvl w:val="2"/>
          <w:numId w:val="220"/>
        </w:numPr>
      </w:pPr>
      <w:r>
        <w:t xml:space="preserve">Click </w:t>
      </w:r>
      <w:r>
        <w:rPr>
          <w:rStyle w:val="InlineUI"/>
        </w:rPr>
        <w:t>Set</w:t>
      </w:r>
      <w:r>
        <w:t>.</w:t>
      </w:r>
    </w:p>
    <w:p>
      <w:pPr>
        <w:pStyle w:val="BodyText"/>
        <w:numPr>
          <w:ilvl w:val="2"/>
          <w:numId w:val="220"/>
        </w:numPr>
      </w:pPr>
      <w:r>
        <w:t xml:space="preserve">Toggle on the </w:t>
      </w:r>
      <w:r>
        <w:rPr>
          <w:rStyle w:val="InlineUI"/>
        </w:rPr>
        <w:t>Use Filter</w:t>
      </w:r>
      <w:r>
        <w:t xml:space="preserve"> option</w:t>
      </w:r>
    </w:p>
    <w:p>
      <w:pPr>
        <w:pStyle w:val="BodyText"/>
        <w:numPr>
          <w:ilvl w:val="2"/>
          <w:numId w:val="220"/>
        </w:numPr>
      </w:pPr>
      <w:r>
        <w:t xml:space="preserve">Select </w:t>
      </w:r>
      <w:r>
        <w:rPr>
          <w:rStyle w:val="InlineUI"/>
        </w:rPr>
        <w:t>Prefix List</w:t>
      </w:r>
      <w:r>
        <w:t xml:space="preserve"> or </w:t>
      </w:r>
      <w:r>
        <w:rPr>
          <w:rStyle w:val="InlineUI"/>
        </w:rPr>
        <w:t>Route Map</w:t>
      </w:r>
      <w:r>
        <w:t xml:space="preserve"> as filter type.</w:t>
      </w:r>
    </w:p>
    <w:p>
      <w:pPr>
        <w:pStyle w:val="BodyText"/>
        <w:numPr>
          <w:ilvl w:val="2"/>
          <w:numId w:val="220"/>
        </w:numPr>
      </w:pPr>
      <w:r>
        <w:t>Select one or more route maps or prefix lists from the list.</w:t>
      </w:r>
    </w:p>
    <w:p>
      <w:pPr>
        <w:pStyle w:val="BodyText"/>
        <w:numPr>
          <w:ilvl w:val="1"/>
          <w:numId w:val="220"/>
        </w:numPr>
      </w:pPr>
      <w:r>
        <w:t>Configure an outbound filter.</w:t>
      </w:r>
    </w:p>
    <w:p>
      <w:pPr>
        <w:pStyle w:val="BodyText"/>
        <w:numPr>
          <w:ilvl w:val="2"/>
          <w:numId w:val="220"/>
        </w:numPr>
      </w:pPr>
      <w:r>
        <w:t xml:space="preserve">Click </w:t>
      </w:r>
      <w:r>
        <w:rPr>
          <w:rStyle w:val="InlineUI"/>
        </w:rPr>
        <w:t>Set</w:t>
      </w:r>
      <w:r>
        <w:t>.</w:t>
      </w:r>
    </w:p>
    <w:p>
      <w:pPr>
        <w:pStyle w:val="BodyText"/>
        <w:numPr>
          <w:ilvl w:val="2"/>
          <w:numId w:val="220"/>
        </w:numPr>
      </w:pPr>
      <w:r>
        <w:t xml:space="preserve">Toggle on the </w:t>
      </w:r>
      <w:r>
        <w:rPr>
          <w:rStyle w:val="InlineUI"/>
        </w:rPr>
        <w:t>Use Filter</w:t>
      </w:r>
      <w:r>
        <w:t xml:space="preserve"> option.</w:t>
      </w:r>
    </w:p>
    <w:p>
      <w:pPr>
        <w:pStyle w:val="BodyText"/>
        <w:numPr>
          <w:ilvl w:val="2"/>
          <w:numId w:val="220"/>
        </w:numPr>
      </w:pPr>
      <w:r>
        <w:t xml:space="preserve">Select </w:t>
      </w:r>
      <w:r>
        <w:rPr>
          <w:rStyle w:val="InlineUI"/>
        </w:rPr>
        <w:t>Prefix List</w:t>
      </w:r>
      <w:r>
        <w:t xml:space="preserve"> or </w:t>
      </w:r>
      <w:r>
        <w:rPr>
          <w:rStyle w:val="InlineUI"/>
        </w:rPr>
        <w:t>Route Map</w:t>
      </w:r>
      <w:r>
        <w:t xml:space="preserve"> as filter type.</w:t>
      </w:r>
    </w:p>
    <w:p>
      <w:pPr>
        <w:pStyle w:val="BodyText"/>
        <w:numPr>
          <w:ilvl w:val="2"/>
          <w:numId w:val="220"/>
        </w:numPr>
      </w:pPr>
      <w:r>
        <w:t>Select one or more route maps or prefix lists from the list.</w:t>
      </w:r>
    </w:p>
    <w:p>
      <w:pPr>
        <w:pStyle w:val="BodyText"/>
        <w:numPr>
          <w:numId w:val="220"/>
        </w:numPr>
      </w:pPr>
      <w:r>
        <w:t xml:space="preserve">Click </w:t>
      </w:r>
      <w:r>
        <w:rPr>
          <w:rStyle w:val="InlineUI"/>
        </w:rPr>
        <w:t>Save</w:t>
      </w:r>
      <w:r>
        <w:t>.</w:t>
      </w:r>
    </w:p>
    <w:p>
      <w:pPr>
        <w:pStyle w:val="Heading4"/>
      </w:pPr>
      <w:bookmarkStart w:id="250" w:name="_Toc256000624"/>
      <w:r>
        <w:t>Configure an IP Prefix List on Your Provider Gateway in the VCF Automation Provider Management Portal VMware Cloud Director Tenant Portal</w:t>
      </w:r>
      <w:bookmarkEnd w:id="250"/>
    </w:p>
    <w:p>
      <w:pPr>
        <w:pStyle w:val="BodyText"/>
      </w:pPr>
      <w:r>
        <w:t>You can create IP prefix lists which contain single or multiple IP addresses. You use IP prefix lists to assign BGP neighbors with access permissions for route advertisement.</w:t>
      </w:r>
    </w:p>
    <w:p>
      <w:pPr>
        <w:pStyle w:val="BodyText"/>
      </w:pPr>
      <w:r>
        <w:t>The IP prefix lists are referenced through BGP neighbor filters to limit the number of BGP updates that are exchanged between BGP peers. By using route filtering, you can reduce the amount of system resources needed for BGP updates.</w:t>
      </w:r>
    </w:p>
    <w:p>
      <w:pPr>
        <w:pStyle w:val="BodyText"/>
      </w:pPr>
      <w:r>
        <w:t>For example, you can add the IP address 192.168.100.3/27 to the IP prefix list and deny the route from being redistributed to the provider gateway.</w:t>
      </w:r>
    </w:p>
    <w:p>
      <w:pPr>
        <w:pStyle w:val="BodyText"/>
      </w:pPr>
      <w:r>
        <w:t xml:space="preserve">You can also append an IP address with </w:t>
      </w:r>
      <w:r>
        <w:rPr>
          <w:rStyle w:val="InlineCode"/>
        </w:rPr>
        <w:t>less than or equal to</w:t>
      </w:r>
      <w:r>
        <w:t xml:space="preserve"> (le) and </w:t>
      </w:r>
      <w:r>
        <w:rPr>
          <w:rStyle w:val="InlineCode"/>
        </w:rPr>
        <w:t>greater than or equal to</w:t>
      </w:r>
      <w:r>
        <w:t xml:space="preserve"> (ge) modifiers to grant or limit route redistribution. For example, 192.168.100.3/27 ge 26 le 32 modifiers match subnet masks greater than or equal to 26-bits and less than or equal to 32-bits in length.</w:t>
      </w:r>
    </w:p>
    <w:p>
      <w:pPr>
        <w:pStyle w:val="BodyText"/>
      </w:pPr>
      <w:r>
        <w:rPr>
          <w:rStyle w:val="Strong"/>
        </w:rPr>
        <w:t>Prerequisites</w:t>
      </w:r>
    </w:p>
    <w:p>
      <w:pPr>
        <w:pStyle w:val="BodyText"/>
        <w:numPr>
          <w:numId w:val="221"/>
        </w:numPr>
      </w:pPr>
      <w:r>
        <w:t xml:space="preserve">Verify that your organization is assigned the </w:t>
      </w:r>
      <w:r>
        <w:rPr>
          <w:rStyle w:val="InlineUI"/>
        </w:rPr>
        <w:t>IP Prefix Lists: Manage</w:t>
      </w:r>
      <w:r>
        <w:t xml:space="preserve"> permission.</w:t>
      </w:r>
    </w:p>
    <w:p>
      <w:pPr>
        <w:pStyle w:val="BodyText"/>
        <w:numPr>
          <w:numId w:val="221"/>
        </w:numPr>
      </w:pPr>
      <w:r>
        <w:t>Verify that you have the</w:t>
      </w:r>
      <w:r>
        <w:rPr>
          <w:rStyle w:val="InlineUI"/>
        </w:rPr>
        <w:t>Limited Provider Gateway BGP: View</w:t>
      </w:r>
      <w:r>
        <w:t xml:space="preserve"> and</w:t>
      </w:r>
      <w:r>
        <w:rPr>
          <w:rStyle w:val="InlineUI"/>
        </w:rPr>
        <w:t>Limited Provider Gateway BGP: Manage</w:t>
      </w:r>
      <w:r>
        <w:t xml:space="preserve"> rights assigned to you.</w:t>
      </w:r>
    </w:p>
    <w:p>
      <w:pPr>
        <w:pStyle w:val="BodyText"/>
      </w:pPr>
      <w:r>
        <w:t xml:space="preserve">Verify that you have the </w:t>
      </w:r>
      <w:r>
        <w:rPr>
          <w:rStyle w:val="InlineUI"/>
        </w:rPr>
        <w:t>Provider Gateway Routing: View</w:t>
      </w:r>
      <w:r>
        <w:t xml:space="preserve"> and </w:t>
      </w:r>
      <w:r>
        <w:rPr>
          <w:rStyle w:val="InlineUI"/>
        </w:rPr>
        <w:t>Provider Gateway Routing: Manage</w:t>
      </w:r>
      <w:r>
        <w:t xml:space="preserve"> rights assigned to you.</w:t>
      </w:r>
    </w:p>
    <w:p>
      <w:pPr>
        <w:pStyle w:val="BodyText"/>
      </w:pPr>
      <w:r>
        <w:rPr>
          <w:rStyle w:val="Strong"/>
        </w:rPr>
        <w:t>Procedure</w:t>
      </w:r>
    </w:p>
    <w:p>
      <w:pPr>
        <w:pStyle w:val="BodyText"/>
        <w:numPr>
          <w:numId w:val="222"/>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22"/>
        </w:numPr>
      </w:pPr>
      <w:r>
        <w:t xml:space="preserve">From the secondary left panel, select </w:t>
      </w:r>
      <w:r>
        <w:rPr>
          <w:rStyle w:val="InlineUI"/>
        </w:rPr>
        <w:t>Provider Gateways</w:t>
      </w:r>
      <w:r>
        <w:t>.</w:t>
      </w:r>
    </w:p>
    <w:p>
      <w:pPr>
        <w:pStyle w:val="BodyText"/>
        <w:numPr>
          <w:numId w:val="222"/>
        </w:numPr>
      </w:pPr>
      <w:r>
        <w:t xml:space="preserve">In the top navigation bar, click </w:t>
      </w:r>
      <w:r>
        <w:rPr>
          <w:rStyle w:val="InlineUI"/>
        </w:rPr>
        <w:t>Networking</w:t>
      </w:r>
      <w:r>
        <w:t xml:space="preserve"> and click the </w:t>
      </w:r>
      <w:r>
        <w:rPr>
          <w:rStyle w:val="InlineUI"/>
        </w:rPr>
        <w:t>Provider Gateways</w:t>
      </w:r>
      <w:r>
        <w:t xml:space="preserve"> tab.</w:t>
      </w:r>
    </w:p>
    <w:p>
      <w:pPr>
        <w:pStyle w:val="BodyText"/>
        <w:numPr>
          <w:numId w:val="222"/>
        </w:numPr>
      </w:pPr>
      <w:r>
        <w:t>Click the provider gateway.</w:t>
      </w:r>
    </w:p>
    <w:p>
      <w:pPr>
        <w:pStyle w:val="BodyText"/>
        <w:numPr>
          <w:numId w:val="222"/>
        </w:numPr>
      </w:pPr>
      <w:r>
        <w:t xml:space="preserve">Click </w:t>
      </w:r>
      <w:r>
        <w:rPr>
          <w:rStyle w:val="InlineUI"/>
        </w:rPr>
        <w:t>BGP</w:t>
      </w:r>
      <w:r>
        <w:t xml:space="preserve"> and click </w:t>
      </w:r>
      <w:r>
        <w:rPr>
          <w:rStyle w:val="InlineUI"/>
        </w:rPr>
        <w:t>IP Prefix Lists</w:t>
      </w:r>
      <w:r>
        <w:t>.</w:t>
      </w:r>
    </w:p>
    <w:p>
      <w:pPr>
        <w:pStyle w:val="BodyText"/>
        <w:numPr>
          <w:numId w:val="222"/>
        </w:numPr>
      </w:pPr>
      <w:r>
        <w:t xml:space="preserve">To add a list, click </w:t>
      </w:r>
      <w:r>
        <w:rPr>
          <w:rStyle w:val="InlineUI"/>
        </w:rPr>
        <w:t>New</w:t>
      </w:r>
      <w:r>
        <w:t>.</w:t>
      </w:r>
    </w:p>
    <w:p>
      <w:pPr>
        <w:pStyle w:val="BodyText"/>
        <w:numPr>
          <w:numId w:val="222"/>
        </w:numPr>
      </w:pPr>
      <w:r>
        <w:t>Enter a name and, optionally, a description for the prefix list.</w:t>
      </w:r>
    </w:p>
    <w:p>
      <w:pPr>
        <w:pStyle w:val="BodyText"/>
        <w:numPr>
          <w:numId w:val="222"/>
        </w:numPr>
      </w:pPr>
      <w:r>
        <w:t xml:space="preserve">Click </w:t>
      </w:r>
      <w:r>
        <w:rPr>
          <w:rStyle w:val="InlineUI"/>
        </w:rPr>
        <w:t>New</w:t>
      </w:r>
      <w:r>
        <w:t xml:space="preserve"> and add a CIDR notation for the prefix.</w:t>
      </w:r>
    </w:p>
    <w:p>
      <w:pPr>
        <w:pStyle w:val="BodyText"/>
        <w:numPr>
          <w:numId w:val="222"/>
        </w:numPr>
      </w:pPr>
      <w:r>
        <w:t>From the drop-down menu, select an action to apply to the prefix.</w:t>
      </w:r>
    </w:p>
    <w:p>
      <w:pPr>
        <w:pStyle w:val="BodyText"/>
        <w:numPr>
          <w:numId w:val="222"/>
        </w:numPr>
      </w:pPr>
      <w:r>
        <w:t xml:space="preserve">(Optional) </w:t>
      </w:r>
      <w:r>
        <w:t xml:space="preserve">Enter </w:t>
      </w:r>
      <w:r>
        <w:rPr>
          <w:rStyle w:val="InlineCode"/>
        </w:rPr>
        <w:t>greater than or equal to</w:t>
      </w:r>
      <w:r>
        <w:t xml:space="preserve"> and </w:t>
      </w:r>
      <w:r>
        <w:rPr>
          <w:rStyle w:val="InlineCode"/>
        </w:rPr>
        <w:t>less than or equal to</w:t>
      </w:r>
      <w:r>
        <w:t xml:space="preserve"> modifiers to grant or limit route redistribution.</w:t>
      </w:r>
    </w:p>
    <w:p>
      <w:pPr>
        <w:pStyle w:val="BodyText"/>
        <w:numPr>
          <w:numId w:val="222"/>
        </w:numPr>
      </w:pPr>
      <w:r>
        <w:t xml:space="preserve">Click </w:t>
      </w:r>
      <w:r>
        <w:rPr>
          <w:rStyle w:val="InlineUI"/>
        </w:rPr>
        <w:t>Save</w:t>
      </w:r>
      <w:r>
        <w:t>.</w:t>
      </w:r>
    </w:p>
    <w:p>
      <w:pPr>
        <w:pStyle w:val="BodyText"/>
      </w:pPr>
      <w:r>
        <w:rPr>
          <w:rStyle w:val="Strong"/>
        </w:rPr>
        <w:t>What to do next</w:t>
      </w:r>
    </w:p>
    <w:p>
      <w:pPr>
        <w:pStyle w:val="BodyText"/>
      </w:pPr>
      <w:r>
        <w:t>You can move the IP prefix list up or down the list, edit, or delete it.</w:t>
      </w:r>
    </w:p>
    <w:p>
      <w:pPr>
        <w:pStyle w:val="Heading4"/>
      </w:pPr>
      <w:bookmarkStart w:id="251" w:name="_Toc256000625"/>
      <w:r>
        <w:t>Configure Community Lists on Your Provider Gateway in the VCF Automation Provider Management Portal VMware Cloud Director Tenant Portal</w:t>
      </w:r>
      <w:bookmarkEnd w:id="251"/>
    </w:p>
    <w:p>
      <w:pPr>
        <w:pStyle w:val="BodyText"/>
      </w:pPr>
      <w:r>
        <w:t>You can create BGP community lists to define route maps based on the community lists.</w:t>
      </w:r>
    </w:p>
    <w:p>
      <w:pPr>
        <w:pStyle w:val="BodyText"/>
      </w:pPr>
      <w:r>
        <w:t>A BGP community is a group of BGP routes that are labeled with extra information. This allows routers to better classify and handle routes that are sharing common attributes.</w:t>
      </w:r>
    </w:p>
    <w:p>
      <w:pPr>
        <w:pStyle w:val="BodyText"/>
      </w:pPr>
      <w:r>
        <w:t>BGP community lists are user-defined lists of community attribute values. These lists can be used for matching or manipulating the communities attribute in BGP update messages.</w:t>
      </w:r>
    </w:p>
    <w:p>
      <w:pPr>
        <w:pStyle w:val="BodyText"/>
      </w:pPr>
      <w:r>
        <w:t>BGP Communities attribute (RFC 1997) and the BGP Large Communities attribute (RFC 8092) are supported. The BGP Communities attribute is a 32-bit value split into two 16-bit values. The BGP Large Communities attribute has 3 components, each 4 octets in length.</w:t>
      </w:r>
    </w:p>
    <w:p>
      <w:pPr>
        <w:pStyle w:val="BodyText"/>
      </w:pPr>
      <w:r>
        <w:t>In route maps, you can match on or set the BGP Communities or Large Communities attribute. You can use communities lists to enforce network policy based on the BGP community attributes.</w:t>
      </w:r>
    </w:p>
    <w:p>
      <w:pPr>
        <w:pStyle w:val="BodyText"/>
      </w:pPr>
      <w:r>
        <w:rPr>
          <w:rStyle w:val="Strong"/>
        </w:rPr>
        <w:t>Prerequisites</w:t>
      </w:r>
    </w:p>
    <w:p>
      <w:pPr>
        <w:pStyle w:val="BodyText"/>
      </w:pPr>
      <w:r>
        <w:t>Verify that you have the</w:t>
      </w:r>
      <w:r>
        <w:rPr>
          <w:rStyle w:val="InlineUI"/>
        </w:rPr>
        <w:t>Provider Gateway Routing: View</w:t>
      </w:r>
      <w:r>
        <w:t xml:space="preserve"> and</w:t>
      </w:r>
      <w:r>
        <w:rPr>
          <w:rStyle w:val="InlineUI"/>
        </w:rPr>
        <w:t>Provider Gateway Routing: Manage</w:t>
      </w:r>
      <w:r>
        <w:t xml:space="preserve"> rights assigned to you.</w:t>
      </w:r>
    </w:p>
    <w:p>
      <w:pPr>
        <w:pStyle w:val="BodyText"/>
        <w:numPr>
          <w:numId w:val="223"/>
        </w:numPr>
      </w:pPr>
      <w:r>
        <w:t>Verify that you have the</w:t>
      </w:r>
      <w:r>
        <w:rPr>
          <w:rStyle w:val="InlineUI"/>
        </w:rPr>
        <w:t>Limited Provider Gateway BGP: View</w:t>
      </w:r>
      <w:r>
        <w:t xml:space="preserve"> and</w:t>
      </w:r>
      <w:r>
        <w:rPr>
          <w:rStyle w:val="InlineUI"/>
        </w:rPr>
        <w:t>Limited Provider Gateway BGP: Manage</w:t>
      </w:r>
      <w:r>
        <w:t xml:space="preserve"> rights assigned to you.</w:t>
      </w:r>
    </w:p>
    <w:p>
      <w:pPr>
        <w:pStyle w:val="BodyText"/>
        <w:numPr>
          <w:numId w:val="223"/>
        </w:numPr>
      </w:pPr>
      <w:r>
        <w:t>Verify that your organization is assigned the</w:t>
      </w:r>
      <w:r>
        <w:rPr>
          <w:rStyle w:val="InlineUI"/>
        </w:rPr>
        <w:t>Community Lists: Manage</w:t>
      </w:r>
      <w:r>
        <w:t xml:space="preserve"> permission.</w:t>
      </w:r>
    </w:p>
    <w:p>
      <w:pPr>
        <w:pStyle w:val="BodyText"/>
      </w:pPr>
      <w:r>
        <w:rPr>
          <w:rStyle w:val="Strong"/>
        </w:rPr>
        <w:t>Procedure</w:t>
      </w:r>
    </w:p>
    <w:p>
      <w:pPr>
        <w:pStyle w:val="BodyText"/>
        <w:numPr>
          <w:numId w:val="224"/>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24"/>
        </w:numPr>
      </w:pPr>
      <w:r>
        <w:t xml:space="preserve">In the top navigation bar, click </w:t>
      </w:r>
      <w:r>
        <w:rPr>
          <w:rStyle w:val="InlineUI"/>
        </w:rPr>
        <w:t>Networking</w:t>
      </w:r>
      <w:r>
        <w:t xml:space="preserve"> and click the </w:t>
      </w:r>
      <w:r>
        <w:rPr>
          <w:rStyle w:val="InlineUI"/>
        </w:rPr>
        <w:t>Provider Gateways</w:t>
      </w:r>
      <w:r>
        <w:t xml:space="preserve"> tab.</w:t>
      </w:r>
    </w:p>
    <w:p>
      <w:pPr>
        <w:pStyle w:val="BodyText"/>
        <w:numPr>
          <w:numId w:val="224"/>
        </w:numPr>
      </w:pPr>
      <w:r>
        <w:t xml:space="preserve">From the secondary left panel, select </w:t>
      </w:r>
      <w:r>
        <w:rPr>
          <w:rStyle w:val="InlineUI"/>
        </w:rPr>
        <w:t>Provider Gateways</w:t>
      </w:r>
      <w:r>
        <w:t>.</w:t>
      </w:r>
    </w:p>
    <w:p>
      <w:pPr>
        <w:pStyle w:val="BodyText"/>
        <w:numPr>
          <w:numId w:val="224"/>
        </w:numPr>
      </w:pPr>
      <w:r>
        <w:t>Click the provider gateway.</w:t>
      </w:r>
    </w:p>
    <w:p>
      <w:pPr>
        <w:pStyle w:val="BodyText"/>
        <w:numPr>
          <w:numId w:val="224"/>
        </w:numPr>
      </w:pPr>
      <w:r>
        <w:t xml:space="preserve">Click </w:t>
      </w:r>
      <w:r>
        <w:rPr>
          <w:rStyle w:val="InlineUI"/>
        </w:rPr>
        <w:t>BGP</w:t>
      </w:r>
      <w:r>
        <w:t xml:space="preserve"> and click </w:t>
      </w:r>
      <w:r>
        <w:rPr>
          <w:rStyle w:val="InlineUI"/>
        </w:rPr>
        <w:t>Communities Lists</w:t>
      </w:r>
    </w:p>
    <w:p>
      <w:pPr>
        <w:pStyle w:val="BodyText"/>
        <w:numPr>
          <w:numId w:val="224"/>
        </w:numPr>
      </w:pPr>
      <w:r>
        <w:t xml:space="preserve">To add a communities list, click </w:t>
      </w:r>
      <w:r>
        <w:rPr>
          <w:rStyle w:val="InlineUI"/>
        </w:rPr>
        <w:t>New</w:t>
      </w:r>
      <w:r>
        <w:t>.</w:t>
      </w:r>
    </w:p>
    <w:p>
      <w:pPr>
        <w:pStyle w:val="BodyText"/>
        <w:numPr>
          <w:numId w:val="224"/>
        </w:numPr>
      </w:pPr>
      <w:r>
        <w:t>Enter a name for the list.</w:t>
      </w:r>
    </w:p>
    <w:p>
      <w:pPr>
        <w:pStyle w:val="BodyText"/>
        <w:numPr>
          <w:numId w:val="224"/>
        </w:numPr>
      </w:pPr>
      <w:r>
        <w:t>Select a type of communities.</w:t>
      </w:r>
    </w:p>
    <w:p>
      <w:pPr>
        <w:pStyle w:val="BodyText"/>
        <w:ind w:left="480"/>
      </w:pPr>
      <w:r>
        <w:t>Regular and large communities attributes are supported.</w:t>
      </w:r>
    </w:p>
    <w:p>
      <w:pPr>
        <w:pStyle w:val="BodyText"/>
        <w:numPr>
          <w:numId w:val="224"/>
        </w:numPr>
      </w:pPr>
      <w:r>
        <w:t>Specify a list of communities.</w:t>
      </w:r>
    </w:p>
    <w:p>
      <w:pPr>
        <w:pStyle w:val="BodyText"/>
        <w:ind w:left="480"/>
      </w:pPr>
      <w:r>
        <w:t>If you are adding a regular community, you can select one or more of the well-known regular communities from the drop-down list.</w:t>
      </w:r>
    </w:p>
    <w:p>
      <w:pPr>
        <w:pStyle w:val="BodyText"/>
        <w:numPr>
          <w:ilvl w:val="1"/>
          <w:numId w:val="224"/>
        </w:numPr>
      </w:pPr>
      <w:r>
        <w:t>NO_EXPORT - Do not advertise any of the routes received carrying a communities attribute that contains this value outside of the BGP confederation.</w:t>
      </w:r>
    </w:p>
    <w:p>
      <w:pPr>
        <w:pStyle w:val="BodyText"/>
        <w:numPr>
          <w:ilvl w:val="1"/>
          <w:numId w:val="224"/>
        </w:numPr>
      </w:pPr>
      <w:r>
        <w:t>NO_ADVERTISE - Do not advertise any of the routes received carrying a communities attribute that contains this value to any BGP peer.</w:t>
      </w:r>
    </w:p>
    <w:p>
      <w:pPr>
        <w:pStyle w:val="BodyText"/>
        <w:numPr>
          <w:ilvl w:val="1"/>
          <w:numId w:val="224"/>
        </w:numPr>
      </w:pPr>
      <w:r>
        <w:t>NO_EXPORT_SUBCONFED - Do not advertise any of the routes received carrying a communities attribute that contains this value to external BGP peers.</w:t>
      </w:r>
    </w:p>
    <w:p>
      <w:pPr>
        <w:pStyle w:val="BodyText"/>
        <w:numPr>
          <w:numId w:val="224"/>
        </w:numPr>
      </w:pPr>
      <w:r>
        <w:t xml:space="preserve">Click </w:t>
      </w:r>
      <w:r>
        <w:rPr>
          <w:rStyle w:val="InlineUI"/>
        </w:rPr>
        <w:t>Save</w:t>
      </w:r>
      <w:r>
        <w:t>.</w:t>
      </w:r>
    </w:p>
    <w:p>
      <w:pPr>
        <w:pStyle w:val="BodyText"/>
      </w:pPr>
      <w:r>
        <w:rPr>
          <w:rStyle w:val="Strong"/>
        </w:rPr>
        <w:t>What to do next</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Bb677e27536ba48f7979e662880d6f1ac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BGP Route Maps on Your Provider Gateway in the VCF Automation Provider Management Portal VMware Cloud Director Tenant Portal</w:t>
      </w:r>
      <w:r>
        <w:fldChar w:fldCharType="end"/>
      </w:r>
      <w:r>
        <w:t>.</w:t>
      </w:r>
    </w:p>
    <w:p>
      <w:pPr>
        <w:pStyle w:val="Heading4"/>
      </w:pPr>
      <w:bookmarkStart w:id="252" w:name="Bb677e27536ba48f7979e662880d6f1ac"/>
      <w:bookmarkStart w:id="253" w:name="_Toc256000626"/>
      <w:r>
        <w:t>Configure BGP Route Maps on Your Provider Gateway in the VCF Automation Provider Management Portal VMware Cloud Director Tenant Portal</w:t>
      </w:r>
      <w:bookmarkEnd w:id="253"/>
      <w:bookmarkEnd w:id="252"/>
    </w:p>
    <w:p>
      <w:pPr>
        <w:pStyle w:val="BodyText"/>
      </w:pPr>
      <w:r>
        <w:t>You can use route maps to define route policies at the BGP neighbor level and for route redistribution.</w:t>
      </w:r>
    </w:p>
    <w:p>
      <w:pPr>
        <w:pStyle w:val="BodyText"/>
      </w:pPr>
      <w:r>
        <w:t>You create BGP route maps by defining a sequence of IP prefix lists, BGP path attributes, and an associated action.</w:t>
      </w:r>
    </w:p>
    <w:p>
      <w:pPr>
        <w:pStyle w:val="BodyText"/>
      </w:pPr>
      <w:r>
        <w:t>When you use BGP route maps, the provider gateway scans the route or the traffic to which the criteria should be applied for a match, and if there is one, the router performs the action that you configured and stops scanning.</w:t>
      </w:r>
    </w:p>
    <w:p>
      <w:pPr>
        <w:pStyle w:val="BodyText"/>
      </w:pPr>
      <w:r>
        <w:rPr>
          <w:rStyle w:val="Strong"/>
        </w:rPr>
        <w:t>Prerequisites</w:t>
      </w:r>
    </w:p>
    <w:p>
      <w:pPr>
        <w:pStyle w:val="BodyText"/>
        <w:numPr>
          <w:numId w:val="225"/>
        </w:numPr>
      </w:pPr>
      <w:r>
        <w:t xml:space="preserve">Verify that you have the </w:t>
      </w:r>
      <w:r>
        <w:rPr>
          <w:rStyle w:val="InlineUI"/>
        </w:rPr>
        <w:t>Provider Gateway Routing: View</w:t>
      </w:r>
      <w:r>
        <w:t xml:space="preserve"> and </w:t>
      </w:r>
      <w:r>
        <w:rPr>
          <w:rStyle w:val="InlineUI"/>
        </w:rPr>
        <w:t>Provider Gateway Routing: Manage</w:t>
      </w:r>
      <w:r>
        <w:t xml:space="preserve"> rights assigned to you.</w:t>
      </w:r>
    </w:p>
    <w:p>
      <w:pPr>
        <w:pStyle w:val="BodyText"/>
        <w:numPr>
          <w:numId w:val="225"/>
        </w:numPr>
      </w:pPr>
      <w:r>
        <w:t>Verify that you configured an IP prefix list or a community list.</w:t>
      </w:r>
    </w:p>
    <w:p>
      <w:pPr>
        <w:pStyle w:val="BodyText"/>
        <w:numPr>
          <w:numId w:val="225"/>
        </w:numPr>
      </w:pPr>
      <w:r>
        <w:t xml:space="preserve">For details about using regular expressions to define route-map match criteria for community lists, see </w:t>
      </w:r>
      <w:r>
        <w:rPr>
          <w:rStyle w:val="InlineCite"/>
        </w:rPr>
        <w:t>Using Regular Expressions to Match Community Lists When Adding Route Maps</w:t>
      </w:r>
      <w:r>
        <w:t xml:space="preserve"> in the </w:t>
      </w:r>
      <w:r>
        <w:t>NSX</w:t>
      </w:r>
      <w:r>
        <w:rPr>
          <w:rStyle w:val="InlineCite"/>
        </w:rPr>
        <w:t xml:space="preserve"> Administration Guide</w:t>
      </w:r>
      <w:r>
        <w:t>.</w:t>
      </w:r>
    </w:p>
    <w:p>
      <w:pPr>
        <w:pStyle w:val="BodyText"/>
        <w:numPr>
          <w:numId w:val="226"/>
        </w:numPr>
      </w:pPr>
      <w:r>
        <w:t>Verify that you have the</w:t>
      </w:r>
      <w:r>
        <w:rPr>
          <w:rStyle w:val="InlineUI"/>
        </w:rPr>
        <w:t>Limited Provider Gateway BGP: View</w:t>
      </w:r>
      <w:r>
        <w:t xml:space="preserve"> and</w:t>
      </w:r>
      <w:r>
        <w:rPr>
          <w:rStyle w:val="InlineUI"/>
        </w:rPr>
        <w:t>Limited Provider Gateway BGP: Manage</w:t>
      </w:r>
      <w:r>
        <w:t xml:space="preserve"> rights assigned to you.</w:t>
      </w:r>
    </w:p>
    <w:p>
      <w:pPr>
        <w:pStyle w:val="BodyText"/>
        <w:numPr>
          <w:numId w:val="226"/>
        </w:numPr>
      </w:pPr>
      <w:r>
        <w:t xml:space="preserve">Verify that your organization is assigned the </w:t>
      </w:r>
      <w:r>
        <w:rPr>
          <w:rStyle w:val="InlineUI"/>
        </w:rPr>
        <w:t>Route Maps: Manage</w:t>
      </w:r>
      <w:r>
        <w:t xml:space="preserve"> permission.</w:t>
      </w:r>
    </w:p>
    <w:p>
      <w:pPr>
        <w:pStyle w:val="BodyText"/>
      </w:pPr>
      <w:r>
        <w:rPr>
          <w:rStyle w:val="Strong"/>
        </w:rPr>
        <w:t>Procedure</w:t>
      </w:r>
    </w:p>
    <w:p>
      <w:pPr>
        <w:pStyle w:val="BodyText"/>
        <w:numPr>
          <w:numId w:val="227"/>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27"/>
        </w:numPr>
      </w:pPr>
      <w:r>
        <w:t xml:space="preserve">In the top navigation bar, click </w:t>
      </w:r>
      <w:r>
        <w:rPr>
          <w:rStyle w:val="InlineUI"/>
        </w:rPr>
        <w:t>Networking</w:t>
      </w:r>
      <w:r>
        <w:t xml:space="preserve"> and click the </w:t>
      </w:r>
      <w:r>
        <w:rPr>
          <w:rStyle w:val="InlineUI"/>
        </w:rPr>
        <w:t>Provider Gateways</w:t>
      </w:r>
      <w:r>
        <w:t xml:space="preserve"> tab.</w:t>
      </w:r>
    </w:p>
    <w:p>
      <w:pPr>
        <w:pStyle w:val="BodyText"/>
        <w:numPr>
          <w:numId w:val="227"/>
        </w:numPr>
      </w:pPr>
      <w:r>
        <w:t xml:space="preserve">From the secondary left panel, select </w:t>
      </w:r>
      <w:r>
        <w:rPr>
          <w:rStyle w:val="InlineUI"/>
        </w:rPr>
        <w:t>Provider Gateways</w:t>
      </w:r>
      <w:r>
        <w:t>.</w:t>
      </w:r>
    </w:p>
    <w:p>
      <w:pPr>
        <w:pStyle w:val="BodyText"/>
        <w:numPr>
          <w:numId w:val="227"/>
        </w:numPr>
      </w:pPr>
      <w:r>
        <w:t>Click the provider gateway.</w:t>
      </w:r>
    </w:p>
    <w:p>
      <w:pPr>
        <w:pStyle w:val="BodyText"/>
        <w:numPr>
          <w:numId w:val="227"/>
        </w:numPr>
      </w:pPr>
      <w:r>
        <w:t xml:space="preserve">Click </w:t>
      </w:r>
      <w:r>
        <w:rPr>
          <w:rStyle w:val="InlineUI"/>
        </w:rPr>
        <w:t>BGP</w:t>
      </w:r>
      <w:r>
        <w:t xml:space="preserve"> and click </w:t>
      </w:r>
      <w:r>
        <w:rPr>
          <w:rStyle w:val="InlineUI"/>
        </w:rPr>
        <w:t>Route Maps</w:t>
      </w:r>
    </w:p>
    <w:p>
      <w:pPr>
        <w:pStyle w:val="BodyText"/>
        <w:numPr>
          <w:numId w:val="227"/>
        </w:numPr>
      </w:pPr>
      <w:r>
        <w:t xml:space="preserve">To add a route map, click </w:t>
      </w:r>
      <w:r>
        <w:rPr>
          <w:rStyle w:val="InlineUI"/>
        </w:rPr>
        <w:t>New</w:t>
      </w:r>
      <w:r>
        <w:t>.</w:t>
      </w:r>
    </w:p>
    <w:p>
      <w:pPr>
        <w:pStyle w:val="BodyText"/>
        <w:numPr>
          <w:numId w:val="227"/>
        </w:numPr>
      </w:pPr>
      <w:r>
        <w:t>Enter a name and, optionally, a description for the route map.</w:t>
      </w:r>
    </w:p>
    <w:p>
      <w:pPr>
        <w:pStyle w:val="BodyText"/>
        <w:numPr>
          <w:numId w:val="227"/>
        </w:numPr>
      </w:pPr>
      <w:r>
        <w:t xml:space="preserve">Click </w:t>
      </w:r>
      <w:r>
        <w:rPr>
          <w:rStyle w:val="InlineUI"/>
        </w:rPr>
        <w:t>New</w:t>
      </w:r>
      <w:r>
        <w:t>.</w:t>
      </w:r>
    </w:p>
    <w:p>
      <w:pPr>
        <w:pStyle w:val="BodyText"/>
        <w:numPr>
          <w:numId w:val="227"/>
        </w:numPr>
      </w:pPr>
      <w:r>
        <w:t>From the drop-down menu, select a type of match criteria.</w:t>
      </w:r>
    </w:p>
    <w:p>
      <w:pPr>
        <w:pStyle w:val="BodyText"/>
        <w:numPr>
          <w:numId w:val="227"/>
        </w:numPr>
      </w:pPr>
      <w:r>
        <w:t>Depending on the type of match criteria that you selected, choose one of the options.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31"/>
        <w:gridCol w:w="7949"/>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rPr>
                <w:rStyle w:val="InlineUI"/>
              </w:rPr>
              <w:t>IP Prefix</w:t>
            </w:r>
          </w:p>
        </w:tc>
        <w:tc>
          <w:tcPr>
            <w:tcBorders>
              <w:left w:val="nil"/>
              <w:right w:val="nil"/>
            </w:tcBorders>
          </w:tcPr>
          <w:p>
            <w:pPr>
              <w:pStyle w:val="TableBodyText"/>
            </w:pPr>
            <w:r>
              <w:t xml:space="preserve">Click </w:t>
            </w:r>
            <w:r>
              <w:rPr>
                <w:rStyle w:val="InlineUI"/>
              </w:rPr>
              <w:t>Select IP prefix lists</w:t>
            </w:r>
            <w:r>
              <w:t xml:space="preserve">, select the IP prefix lists from the list, and click </w:t>
            </w:r>
            <w:r>
              <w:rPr>
                <w:rStyle w:val="InlineUI"/>
              </w:rPr>
              <w:t>Save</w:t>
            </w:r>
            <w:r>
              <w:t>.</w:t>
            </w:r>
          </w:p>
        </w:tc>
      </w:tr>
      <w:tr>
        <w:tblPrEx>
          <w:tblInd w:w="480" w:type="dxa"/>
          <w:tblCellMar>
            <w:left w:w="108" w:type="dxa"/>
            <w:right w:w="108" w:type="dxa"/>
          </w:tblCellMar>
        </w:tblPrEx>
        <w:trPr>
          <w:cantSplit/>
        </w:trPr>
        <w:tc>
          <w:tcPr>
            <w:tcBorders>
              <w:left w:val="nil"/>
              <w:right w:val="nil"/>
            </w:tcBorders>
          </w:tcPr>
          <w:p>
            <w:pPr>
              <w:pStyle w:val="TableBodyText"/>
            </w:pPr>
            <w:r>
              <w:rPr>
                <w:rStyle w:val="InlineUI"/>
              </w:rPr>
              <w:t>Community List</w:t>
            </w:r>
          </w:p>
        </w:tc>
        <w:tc>
          <w:tcPr>
            <w:tcBorders>
              <w:left w:val="nil"/>
              <w:right w:val="nil"/>
            </w:tcBorders>
          </w:tcPr>
          <w:p>
            <w:pPr>
              <w:pStyle w:val="TableBodyText"/>
              <w:numPr>
                <w:numId w:val="228"/>
              </w:numPr>
            </w:pPr>
            <w:r>
              <w:t xml:space="preserve">Click </w:t>
            </w:r>
            <w:r>
              <w:rPr>
                <w:rStyle w:val="InlineUI"/>
              </w:rPr>
              <w:t>Select Members and Match Criteria</w:t>
            </w:r>
            <w:r>
              <w:t>.</w:t>
            </w:r>
          </w:p>
          <w:p>
            <w:pPr>
              <w:pStyle w:val="TableBodyText"/>
              <w:numPr>
                <w:numId w:val="228"/>
              </w:numPr>
            </w:pPr>
            <w:r>
              <w:t xml:space="preserve">Click </w:t>
            </w:r>
            <w:r>
              <w:rPr>
                <w:rStyle w:val="InlineUI"/>
              </w:rPr>
              <w:t>New</w:t>
            </w:r>
            <w:r>
              <w:t>.</w:t>
            </w:r>
          </w:p>
          <w:p>
            <w:pPr>
              <w:pStyle w:val="TableBodyText"/>
              <w:numPr>
                <w:numId w:val="228"/>
              </w:numPr>
            </w:pPr>
            <w:r>
              <w:t>In the Match Expression column, specify match expressions that define how to match members of community lists. For each community list, the following match options are available:</w:t>
            </w:r>
          </w:p>
          <w:p>
            <w:pPr>
              <w:pStyle w:val="TableBodyText"/>
              <w:numPr>
                <w:ilvl w:val="1"/>
                <w:numId w:val="228"/>
              </w:numPr>
            </w:pPr>
            <w:r>
              <w:rPr>
                <w:rStyle w:val="InlineUI"/>
              </w:rPr>
              <w:t>Match Any</w:t>
            </w:r>
            <w:r>
              <w:t xml:space="preserve"> - perform the set action in the route map if any of the communities in the community list is matched.</w:t>
            </w:r>
          </w:p>
          <w:p>
            <w:pPr>
              <w:pStyle w:val="TableBodyText"/>
              <w:numPr>
                <w:ilvl w:val="1"/>
                <w:numId w:val="228"/>
              </w:numPr>
            </w:pPr>
            <w:r>
              <w:rPr>
                <w:rStyle w:val="InlineUI"/>
              </w:rPr>
              <w:t>Match All</w:t>
            </w:r>
            <w:r>
              <w:t>- perform the set action in the route map if all the communities in the community list are matched regardless of the order.</w:t>
            </w:r>
          </w:p>
          <w:p>
            <w:pPr>
              <w:pStyle w:val="TableBodyText"/>
              <w:numPr>
                <w:ilvl w:val="1"/>
                <w:numId w:val="228"/>
              </w:numPr>
            </w:pPr>
            <w:r>
              <w:rPr>
                <w:rStyle w:val="InlineUI"/>
              </w:rPr>
              <w:t>Match Exact</w:t>
            </w:r>
            <w:r>
              <w:t>- perform the set action in the route map if all the communities in the community list are matched in the exact same order.</w:t>
            </w:r>
          </w:p>
          <w:p>
            <w:pPr>
              <w:pStyle w:val="TableBodyText"/>
              <w:numPr>
                <w:ilvl w:val="1"/>
                <w:numId w:val="228"/>
              </w:numPr>
            </w:pPr>
            <w:r>
              <w:rPr>
                <w:rStyle w:val="InlineUI"/>
              </w:rPr>
              <w:t>Match Community Regex</w:t>
            </w:r>
            <w:r>
              <w:t>- perform the set action in the route map if all the regular communities match the regular expression.</w:t>
            </w:r>
          </w:p>
          <w:p>
            <w:pPr>
              <w:pStyle w:val="TableBodyText"/>
              <w:numPr>
                <w:ilvl w:val="1"/>
                <w:numId w:val="228"/>
              </w:numPr>
            </w:pPr>
            <w:r>
              <w:rPr>
                <w:rStyle w:val="InlineUI"/>
              </w:rPr>
              <w:t>Match Large Community Regex</w:t>
            </w:r>
            <w:r>
              <w:t>- perform the set action in the route map if all the large communities match the regular expression.</w:t>
            </w:r>
          </w:p>
          <w:p>
            <w:pPr>
              <w:pStyle w:val="TableBodyText"/>
              <w:ind w:left="480"/>
            </w:pPr>
            <w:r>
              <w:t>If you want to permit routes containing either the standard community or large community value, you must create two match criteria. If the match expressions are given in the same match criterion, only the routes containing both the standard and large communities will be permitted.</w:t>
            </w:r>
          </w:p>
          <w:p>
            <w:pPr>
              <w:pStyle w:val="TableBodyText"/>
              <w:ind w:left="480"/>
            </w:pPr>
            <w:r>
              <w:t>For any match criterion, the match expressions are applied in an AND operation, which means that all match expressions must be satisfied for a match to occur. If there are multiple match criteria, they are applied in an OR operation, which means that a match will occur if any one match criterion is satisfied.</w:t>
            </w:r>
          </w:p>
          <w:p>
            <w:pPr>
              <w:pStyle w:val="TableBodyText"/>
              <w:numPr>
                <w:numId w:val="228"/>
              </w:numPr>
            </w:pPr>
            <w:r>
              <w:t xml:space="preserve">Enter an expression to match the community list and click </w:t>
            </w:r>
            <w:r>
              <w:rPr>
                <w:rStyle w:val="InlineUI"/>
              </w:rPr>
              <w:t>Save</w:t>
            </w:r>
            <w:r>
              <w:t>.</w:t>
            </w:r>
          </w:p>
        </w:tc>
      </w:tr>
    </w:tbl>
    <w:p>
      <w:pPr>
        <w:pStyle w:val="BodyText"/>
        <w:numPr>
          <w:numId w:val="227"/>
        </w:numPr>
        <w:spacing w:before="240"/>
      </w:pPr>
      <w:r>
        <w:t xml:space="preserve">In the Action column, select </w:t>
      </w:r>
      <w:r>
        <w:rPr>
          <w:rStyle w:val="InlineUI"/>
        </w:rPr>
        <w:t>Permit</w:t>
      </w:r>
      <w:r>
        <w:t xml:space="preserve"> or </w:t>
      </w:r>
      <w:r>
        <w:rPr>
          <w:rStyle w:val="InlineUI"/>
        </w:rPr>
        <w:t>Deny</w:t>
      </w:r>
      <w:r>
        <w:t>.</w:t>
      </w:r>
    </w:p>
    <w:p>
      <w:pPr>
        <w:pStyle w:val="BodyText"/>
        <w:ind w:left="480"/>
      </w:pPr>
      <w:r>
        <w:t>By selecting an action, you permit or deny IP addresses matched by the IP prefix or community lists to be advertised.</w:t>
      </w:r>
    </w:p>
    <w:p>
      <w:pPr>
        <w:pStyle w:val="BodyText"/>
        <w:numPr>
          <w:numId w:val="227"/>
        </w:numPr>
      </w:pPr>
      <w:r>
        <w:t>Configure BGP attributes.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9"/>
        <w:gridCol w:w="7681"/>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Weight</w:t>
            </w:r>
          </w:p>
        </w:tc>
        <w:tc>
          <w:tcPr>
            <w:tcBorders>
              <w:left w:val="nil"/>
              <w:right w:val="nil"/>
            </w:tcBorders>
          </w:tcPr>
          <w:p>
            <w:pPr>
              <w:pStyle w:val="TableBodyText"/>
            </w:pPr>
            <w:r>
              <w:t>Enter a weight value to influence path selection. The range is 0 - 65535.</w:t>
            </w:r>
          </w:p>
        </w:tc>
      </w:tr>
      <w:tr>
        <w:tblPrEx>
          <w:tblInd w:w="480" w:type="dxa"/>
          <w:tblCellMar>
            <w:left w:w="108" w:type="dxa"/>
            <w:right w:w="108" w:type="dxa"/>
          </w:tblCellMar>
        </w:tblPrEx>
        <w:trPr>
          <w:cantSplit/>
        </w:trPr>
        <w:tc>
          <w:tcPr>
            <w:tcBorders>
              <w:left w:val="nil"/>
              <w:right w:val="nil"/>
            </w:tcBorders>
          </w:tcPr>
          <w:p>
            <w:pPr>
              <w:pStyle w:val="TableBodyText"/>
            </w:pPr>
            <w:r>
              <w:t>Local Preference</w:t>
            </w:r>
          </w:p>
        </w:tc>
        <w:tc>
          <w:tcPr>
            <w:tcBorders>
              <w:left w:val="nil"/>
              <w:right w:val="nil"/>
            </w:tcBorders>
          </w:tcPr>
          <w:p>
            <w:pPr>
              <w:pStyle w:val="TableBodyText"/>
            </w:pPr>
            <w:r>
              <w:t>Use this value to choose the outbound external BGP path. The path with the highest value is preferred.</w:t>
            </w:r>
          </w:p>
        </w:tc>
      </w:tr>
      <w:tr>
        <w:tblPrEx>
          <w:tblInd w:w="480" w:type="dxa"/>
          <w:tblCellMar>
            <w:left w:w="108" w:type="dxa"/>
            <w:right w:w="108" w:type="dxa"/>
          </w:tblCellMar>
        </w:tblPrEx>
        <w:trPr>
          <w:cantSplit/>
        </w:trPr>
        <w:tc>
          <w:tcPr>
            <w:tcBorders>
              <w:left w:val="nil"/>
              <w:right w:val="nil"/>
            </w:tcBorders>
          </w:tcPr>
          <w:p>
            <w:pPr>
              <w:pStyle w:val="TableBodyText"/>
            </w:pPr>
            <w:r>
              <w:t>Path Prepend</w:t>
            </w:r>
          </w:p>
        </w:tc>
        <w:tc>
          <w:tcPr>
            <w:tcBorders>
              <w:left w:val="nil"/>
              <w:right w:val="nil"/>
            </w:tcBorders>
          </w:tcPr>
          <w:p>
            <w:pPr>
              <w:pStyle w:val="TableBodyText"/>
            </w:pPr>
            <w:r>
              <w:t>Prepend a path with one or more autonomous system numbers to make the path longer and therefore less preferred.</w:t>
            </w:r>
          </w:p>
        </w:tc>
      </w:tr>
      <w:tr>
        <w:tblPrEx>
          <w:tblInd w:w="480" w:type="dxa"/>
          <w:tblCellMar>
            <w:left w:w="108" w:type="dxa"/>
            <w:right w:w="108" w:type="dxa"/>
          </w:tblCellMar>
        </w:tblPrEx>
        <w:trPr>
          <w:cantSplit/>
        </w:trPr>
        <w:tc>
          <w:tcPr>
            <w:tcBorders>
              <w:left w:val="nil"/>
              <w:right w:val="nil"/>
            </w:tcBorders>
          </w:tcPr>
          <w:p>
            <w:pPr>
              <w:pStyle w:val="TableBodyText"/>
            </w:pPr>
            <w:r>
              <w:t>Prefer global IPv6</w:t>
            </w:r>
          </w:p>
        </w:tc>
        <w:tc>
          <w:tcPr>
            <w:tcBorders>
              <w:left w:val="nil"/>
              <w:right w:val="nil"/>
            </w:tcBorders>
          </w:tcPr>
          <w:p>
            <w:pPr>
              <w:pStyle w:val="TableBodyText"/>
            </w:pPr>
            <w:r>
              <w:t xml:space="preserve">To opt for IPv6 path selection, turn on the </w:t>
            </w:r>
            <w:r>
              <w:rPr>
                <w:rStyle w:val="InlineUI"/>
              </w:rPr>
              <w:t>Prefer global IPv6</w:t>
            </w:r>
            <w:r>
              <w:t xml:space="preserve"> option.</w:t>
            </w:r>
          </w:p>
        </w:tc>
      </w:tr>
      <w:tr>
        <w:tblPrEx>
          <w:tblInd w:w="480" w:type="dxa"/>
          <w:tblCellMar>
            <w:left w:w="108" w:type="dxa"/>
            <w:right w:w="108" w:type="dxa"/>
          </w:tblCellMar>
        </w:tblPrEx>
        <w:trPr>
          <w:cantSplit/>
        </w:trPr>
        <w:tc>
          <w:tcPr>
            <w:tcBorders>
              <w:left w:val="nil"/>
              <w:right w:val="nil"/>
            </w:tcBorders>
          </w:tcPr>
          <w:p>
            <w:pPr>
              <w:pStyle w:val="TableBodyText"/>
            </w:pPr>
            <w:r>
              <w:t>Multi Exit Discriminator</w:t>
            </w:r>
          </w:p>
        </w:tc>
        <w:tc>
          <w:tcPr>
            <w:tcBorders>
              <w:left w:val="nil"/>
              <w:right w:val="nil"/>
            </w:tcBorders>
          </w:tcPr>
          <w:p>
            <w:pPr>
              <w:pStyle w:val="TableBodyText"/>
            </w:pPr>
            <w:r>
              <w:t>Multi-exit discriminator indicates to an external peer a preferred path to an autonomous system.</w:t>
            </w:r>
          </w:p>
        </w:tc>
      </w:tr>
      <w:tr>
        <w:tblPrEx>
          <w:tblInd w:w="480" w:type="dxa"/>
          <w:tblCellMar>
            <w:left w:w="108" w:type="dxa"/>
            <w:right w:w="108" w:type="dxa"/>
          </w:tblCellMar>
        </w:tblPrEx>
        <w:trPr>
          <w:cantSplit/>
        </w:trPr>
        <w:tc>
          <w:tcPr>
            <w:tcBorders>
              <w:left w:val="nil"/>
              <w:right w:val="nil"/>
            </w:tcBorders>
          </w:tcPr>
          <w:p>
            <w:pPr>
              <w:pStyle w:val="TableBodyText"/>
            </w:pPr>
            <w:r>
              <w:t>Community</w:t>
            </w:r>
          </w:p>
        </w:tc>
        <w:tc>
          <w:tcPr>
            <w:tcBorders>
              <w:left w:val="nil"/>
              <w:right w:val="nil"/>
            </w:tcBorders>
          </w:tcPr>
          <w:p>
            <w:pPr>
              <w:pStyle w:val="TableBodyText"/>
            </w:pPr>
            <w:r>
              <w:t>Specify a list of communities. For a regular community use the aa:nn format, for example, 300:500. For a large community use the aa:bb:cc format, for example, 11:22:33.</w:t>
            </w:r>
          </w:p>
          <w:p>
            <w:pPr>
              <w:pStyle w:val="TableBodyText"/>
            </w:pPr>
            <w:r>
              <w:t>You can select one or more of the well-known regular communities from the drop-down list.</w:t>
            </w:r>
          </w:p>
          <w:p>
            <w:pPr>
              <w:pStyle w:val="TableBodyText"/>
              <w:numPr>
                <w:numId w:val="229"/>
              </w:numPr>
            </w:pPr>
            <w:r>
              <w:t>NO_EXPORT_SUBCONFED - Do not advertise to external BGP peers.</w:t>
            </w:r>
          </w:p>
          <w:p>
            <w:pPr>
              <w:pStyle w:val="TableBodyText"/>
              <w:numPr>
                <w:numId w:val="229"/>
              </w:numPr>
            </w:pPr>
            <w:r>
              <w:t>NO_ADVERTISE - Do not advertise to any peer.</w:t>
            </w:r>
          </w:p>
          <w:p>
            <w:pPr>
              <w:pStyle w:val="TableBodyText"/>
              <w:numPr>
                <w:numId w:val="229"/>
              </w:numPr>
            </w:pPr>
            <w:r>
              <w:t>NO_EXPORT - Do not advertise outside BGP confederation.</w:t>
            </w:r>
          </w:p>
        </w:tc>
      </w:tr>
    </w:tbl>
    <w:p>
      <w:pPr>
        <w:pStyle w:val="BodyText"/>
        <w:numPr>
          <w:numId w:val="227"/>
        </w:numPr>
        <w:spacing w:before="240"/>
      </w:pPr>
      <w:r>
        <w:t xml:space="preserve">Click </w:t>
      </w:r>
      <w:r>
        <w:rPr>
          <w:rStyle w:val="InlineUI"/>
        </w:rPr>
        <w:t>Save</w:t>
      </w:r>
      <w:r>
        <w:t>.</w:t>
      </w:r>
    </w:p>
    <w:p>
      <w:pPr>
        <w:pStyle w:val="Heading4"/>
      </w:pPr>
      <w:bookmarkStart w:id="254" w:name="_Toc256000627"/>
      <w:r>
        <w:t>Configure A BGP Permission Group on a Provider Gateway in the VCF Automation Provider Management Portal</w:t>
      </w:r>
      <w:bookmarkEnd w:id="254"/>
    </w:p>
    <w:p>
      <w:pPr>
        <w:pStyle w:val="BodyText"/>
      </w:pPr>
      <w:r>
        <w:t>You can manage tenant access to BGP configuration settings on your provider gateways.</w:t>
      </w:r>
    </w:p>
    <w:p>
      <w:pPr>
        <w:pStyle w:val="BodyText"/>
      </w:pPr>
      <w:r>
        <w:t xml:space="preserve">You can assign different tenant permissions for the four BGP configuration items. There are three levels of access that you can assign for each of these items - </w:t>
      </w:r>
      <w:r>
        <w:rPr>
          <w:rStyle w:val="InlineUI"/>
        </w:rPr>
        <w:t>Provider Only</w:t>
      </w:r>
      <w:r>
        <w:t xml:space="preserve">, </w:t>
      </w:r>
      <w:r>
        <w:rPr>
          <w:rStyle w:val="InlineUI"/>
        </w:rPr>
        <w:t>View</w:t>
      </w:r>
      <w:r>
        <w:t xml:space="preserve">, or </w:t>
      </w:r>
      <w:r>
        <w:rPr>
          <w:rStyle w:val="InlineUI"/>
        </w:rPr>
        <w:t>Manage</w:t>
      </w:r>
      <w:r>
        <w:t>. After creating a permissions group for a specific organization, you can edit the permissions that you assigned as necessary.</w:t>
      </w:r>
    </w:p>
    <w:p>
      <w:pPr>
        <w:pStyle w:val="BodyText"/>
      </w:pPr>
    </w:p>
    <w:p>
      <w:pPr>
        <w:pStyle w:val="BodyText"/>
        <w:pBdr>
          <w:top w:val="single" w:sz="8" w:space="2" w:color="D3D3D3"/>
          <w:bottom w:val="single" w:sz="8" w:space="2" w:color="D3D3D3"/>
        </w:pBdr>
      </w:pPr>
      <w:r>
        <w:rPr>
          <w:rStyle w:val="NoteLeadernote"/>
        </w:rPr>
        <w:t>Note</w:t>
        <w:tab/>
      </w:r>
      <w:r>
        <w:t xml:space="preserve">For a tenant user to view and manage BGP components, their role must include the </w:t>
      </w:r>
      <w:r>
        <w:rPr>
          <w:rStyle w:val="InlineUI"/>
        </w:rPr>
        <w:t>Limited Provider Gateway BGP: View</w:t>
      </w:r>
      <w:r>
        <w:t xml:space="preserve"> and the </w:t>
      </w:r>
      <w:r>
        <w:rPr>
          <w:rStyle w:val="InlineUI"/>
        </w:rPr>
        <w:t>Limited Provider Gateway BGP: Manage</w:t>
      </w:r>
      <w:r>
        <w:t xml:space="preserve"> rights.</w:t>
      </w:r>
    </w:p>
    <w:p>
      <w:pPr>
        <w:pStyle w:val="BodyText"/>
      </w:pPr>
      <w:r>
        <w:rPr>
          <w:rStyle w:val="Strong"/>
        </w:rPr>
        <w:t>Prerequisites</w:t>
      </w:r>
    </w:p>
    <w:p>
      <w:pPr>
        <w:pStyle w:val="BodyText"/>
        <w:numPr>
          <w:numId w:val="230"/>
        </w:numPr>
      </w:pPr>
      <w:r>
        <w:t xml:space="preserve">Verify that you have the </w:t>
      </w:r>
      <w:r>
        <w:rPr>
          <w:rStyle w:val="InlineUI"/>
        </w:rPr>
        <w:t>Provider Gateway Routing: View</w:t>
      </w:r>
      <w:r>
        <w:t xml:space="preserve"> and </w:t>
      </w:r>
      <w:r>
        <w:rPr>
          <w:rStyle w:val="InlineUI"/>
        </w:rPr>
        <w:t>Provider Gateway Routing: Manage</w:t>
      </w:r>
      <w:r>
        <w:t xml:space="preserve"> rights assigned to you.</w:t>
      </w:r>
    </w:p>
    <w:p>
      <w:pPr>
        <w:pStyle w:val="BodyText"/>
        <w:numPr>
          <w:numId w:val="230"/>
        </w:numPr>
      </w:pPr>
      <w:r>
        <w:t>Verify that the provider gateway is using IP spaces.</w:t>
      </w:r>
    </w:p>
    <w:p>
      <w:pPr>
        <w:pStyle w:val="BodyText"/>
        <w:numPr>
          <w:numId w:val="230"/>
        </w:numPr>
      </w:pPr>
      <w:r>
        <w:t>Verify that the provider gateway is private (dedicated to a single organization).</w:t>
      </w:r>
    </w:p>
    <w:p>
      <w:pPr>
        <w:pStyle w:val="BodyText"/>
      </w:pPr>
      <w:r>
        <w:rPr>
          <w:rStyle w:val="Strong"/>
        </w:rPr>
        <w:t>Procedure</w:t>
      </w:r>
    </w:p>
    <w:p>
      <w:pPr>
        <w:pStyle w:val="BodyText"/>
        <w:numPr>
          <w:numId w:val="231"/>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31"/>
        </w:numPr>
      </w:pPr>
      <w:r>
        <w:t xml:space="preserve">In the left pane, click </w:t>
      </w:r>
      <w:r>
        <w:rPr>
          <w:rStyle w:val="InlineUI"/>
        </w:rPr>
        <w:t>Provider Gateways</w:t>
      </w:r>
      <w:r>
        <w:t>.</w:t>
      </w:r>
    </w:p>
    <w:p>
      <w:pPr>
        <w:pStyle w:val="BodyText"/>
        <w:numPr>
          <w:numId w:val="231"/>
        </w:numPr>
      </w:pPr>
      <w:r>
        <w:t>Click the provider gateway.</w:t>
      </w:r>
    </w:p>
    <w:p>
      <w:pPr>
        <w:pStyle w:val="BodyText"/>
        <w:numPr>
          <w:numId w:val="231"/>
        </w:numPr>
      </w:pPr>
      <w:r>
        <w:t xml:space="preserve">Click </w:t>
      </w:r>
      <w:r>
        <w:rPr>
          <w:rStyle w:val="InlineUI"/>
        </w:rPr>
        <w:t>BGP</w:t>
      </w:r>
      <w:r>
        <w:t xml:space="preserve"> and click </w:t>
      </w:r>
      <w:r>
        <w:rPr>
          <w:rStyle w:val="InlineUI"/>
        </w:rPr>
        <w:t>Permission Groups</w:t>
      </w:r>
      <w:r>
        <w:t>.</w:t>
      </w:r>
    </w:p>
    <w:p>
      <w:pPr>
        <w:pStyle w:val="BodyText"/>
        <w:numPr>
          <w:numId w:val="231"/>
        </w:numPr>
      </w:pPr>
      <w:r>
        <w:t xml:space="preserve">Click </w:t>
      </w:r>
      <w:r>
        <w:rPr>
          <w:rStyle w:val="InlineUI"/>
        </w:rPr>
        <w:t>New</w:t>
      </w:r>
      <w:r>
        <w:t>.</w:t>
      </w:r>
    </w:p>
    <w:p>
      <w:pPr>
        <w:pStyle w:val="BodyText"/>
        <w:numPr>
          <w:numId w:val="231"/>
        </w:numPr>
      </w:pPr>
      <w:r>
        <w:t>Enter a name and, optionally, a description for the permissions group.</w:t>
      </w:r>
    </w:p>
    <w:p>
      <w:pPr>
        <w:pStyle w:val="BodyText"/>
        <w:numPr>
          <w:numId w:val="231"/>
        </w:numPr>
      </w:pPr>
      <w:r>
        <w:t>From the drop-down menu for each of the 4 BGP components, select the level of access that you want to provide to the organization.</w:t>
      </w:r>
    </w:p>
    <w:p>
      <w:pPr>
        <w:pStyle w:val="BodyText"/>
        <w:ind w:left="480"/>
      </w:pPr>
      <w:r>
        <w:t xml:space="preserve">The default permission setting for each component is </w:t>
      </w:r>
      <w:r>
        <w:rPr>
          <w:rStyle w:val="InlineUI"/>
        </w:rPr>
        <w:t>Provider Only</w:t>
      </w:r>
      <w:r>
        <w:t>, which provides no tenant access to BGP configuration settings.</w:t>
      </w:r>
    </w:p>
    <w:p>
      <w:pPr>
        <w:pStyle w:val="BodyText"/>
        <w:ind w:left="480"/>
      </w:pPr>
      <w:r>
        <w:t>You can choose different permission settings for the different BGP components.</w:t>
      </w:r>
    </w:p>
    <w:p>
      <w:pPr>
        <w:pStyle w:val="BodyText"/>
        <w:numPr>
          <w:ilvl w:val="1"/>
          <w:numId w:val="231"/>
        </w:numPr>
      </w:pPr>
      <w:r>
        <w:t xml:space="preserve">If you don't want to prevent any tenant access to the component, leave the </w:t>
      </w:r>
      <w:r>
        <w:rPr>
          <w:rStyle w:val="InlineUI"/>
        </w:rPr>
        <w:t>Provider Only</w:t>
      </w:r>
      <w:r>
        <w:t xml:space="preserve"> selection.</w:t>
      </w:r>
    </w:p>
    <w:p>
      <w:pPr>
        <w:pStyle w:val="BodyText"/>
        <w:numPr>
          <w:ilvl w:val="1"/>
          <w:numId w:val="231"/>
        </w:numPr>
      </w:pPr>
      <w:r>
        <w:t xml:space="preserve">If you want to grant the organization a permission to view the component, select </w:t>
      </w:r>
      <w:r>
        <w:rPr>
          <w:rStyle w:val="InlineUI"/>
        </w:rPr>
        <w:t>View</w:t>
      </w:r>
      <w:r>
        <w:t>.</w:t>
      </w:r>
    </w:p>
    <w:p>
      <w:pPr>
        <w:pStyle w:val="BodyText"/>
        <w:numPr>
          <w:ilvl w:val="1"/>
          <w:numId w:val="231"/>
        </w:numPr>
      </w:pPr>
      <w:r>
        <w:t xml:space="preserve">If you want to grant the organization a permission to edit the settings for the componet, select </w:t>
      </w:r>
      <w:r>
        <w:rPr>
          <w:rStyle w:val="InlineUI"/>
        </w:rPr>
        <w:t>Manage</w:t>
      </w:r>
      <w:r>
        <w:t>.</w:t>
      </w:r>
    </w:p>
    <w:p>
      <w:pPr>
        <w:pStyle w:val="BodyText"/>
        <w:numPr>
          <w:numId w:val="231"/>
        </w:numPr>
      </w:pPr>
      <w:r>
        <w:t xml:space="preserve">Click </w:t>
      </w:r>
      <w:r>
        <w:rPr>
          <w:rStyle w:val="InlineUI"/>
        </w:rPr>
        <w:t>Save</w:t>
      </w:r>
      <w:r>
        <w:t>.</w:t>
      </w:r>
    </w:p>
    <w:p>
      <w:pPr>
        <w:pStyle w:val="BodyText"/>
      </w:pPr>
      <w:r>
        <w:rPr>
          <w:rStyle w:val="Strong"/>
        </w:rPr>
        <w:t>What to do next</w:t>
      </w:r>
    </w:p>
    <w:p>
      <w:pPr>
        <w:pStyle w:val="BodyText"/>
      </w:pPr>
      <w:r>
        <w:t>If necessary, you can edit the BGP permissions for each component of the permissions group.</w:t>
      </w:r>
    </w:p>
    <w:p>
      <w:pPr>
        <w:pStyle w:val="Heading2"/>
      </w:pPr>
      <w:bookmarkStart w:id="255" w:name="_Toc256000628"/>
      <w:r>
        <w:t>Managing IP Spaces in your VCF Automation Provider Management Portal</w:t>
      </w:r>
      <w:bookmarkEnd w:id="255"/>
    </w:p>
    <w:p>
      <w:pPr>
        <w:pStyle w:val="BodyText"/>
      </w:pPr>
      <w:r>
        <w:t xml:space="preserve">You can use </w:t>
      </w:r>
      <w:r>
        <w:rPr>
          <w:rStyle w:val="InlineUI"/>
        </w:rPr>
        <w:t>IP Spaces</w:t>
      </w:r>
      <w:r>
        <w:t xml:space="preserve"> to manage your IP address allocation needs. </w:t>
      </w:r>
      <w:r>
        <w:rPr>
          <w:rStyle w:val="InlineUI"/>
        </w:rPr>
        <w:t>IP Spaces</w:t>
      </w:r>
      <w:r>
        <w:t xml:space="preserve"> provide a structured approach to allocating public IP addresses to different organizations, enabling connectivity to external networks.</w:t>
      </w:r>
    </w:p>
    <w:p>
      <w:pPr>
        <w:pStyle w:val="BodyText"/>
      </w:pPr>
      <w:r>
        <w:t xml:space="preserve">An IP space consists of a set of CIDR blocks that are reserved, these CIDRs must be dedicated to </w:t>
      </w:r>
      <w:r>
        <w:t xml:space="preserve"> and used by organization administrators as they configure services. An IP space can only be IPv4.</w:t>
      </w:r>
    </w:p>
    <w:p>
      <w:pPr>
        <w:pStyle w:val="BodyText"/>
      </w:pPr>
      <w:r>
        <w:t>Every IP space has IP blocks and external reachability. IP blocks represent IPs used in this local data center, south of the provider gateway. IPs within this scope are used for configuring services and networks.</w:t>
      </w:r>
    </w:p>
    <w:p>
      <w:pPr>
        <w:pStyle w:val="BodyText"/>
      </w:pPr>
      <w:r>
        <w:t xml:space="preserve">As a </w:t>
      </w:r>
      <w:r>
        <w:rPr>
          <w:rStyle w:val="InlineUI"/>
        </w:rPr>
        <w:t>Provider Administrator</w:t>
      </w:r>
      <w:r>
        <w:t xml:space="preserve">, you create IP spaces and assign them to provider gateways. An IP space is used by multiple organizations and is controlled by the </w:t>
      </w:r>
      <w:r>
        <w:rPr>
          <w:rStyle w:val="InlineUI"/>
        </w:rPr>
        <w:t>Provider Administrator</w:t>
      </w:r>
      <w:r>
        <w:t xml:space="preserve"> through a quota-based system.</w:t>
      </w:r>
    </w:p>
    <w:p>
      <w:pPr>
        <w:pStyle w:val="BodyText"/>
      </w:pPr>
      <w:r>
        <w:rPr>
          <w:rStyle w:val="InlineUI"/>
        </w:rPr>
        <w:t>Organization administrators</w:t>
      </w:r>
      <w:r>
        <w:t xml:space="preserve"> can create and manage the private IP blocks within their organization.</w:t>
      </w:r>
    </w:p>
    <w:p>
      <w:pPr>
        <w:pStyle w:val="Heading3"/>
      </w:pPr>
      <w:bookmarkStart w:id="256" w:name="_Toc256000629"/>
      <w:r>
        <w:t>Add an IP Space to Your VCF Automation</w:t>
      </w:r>
      <w:bookmarkEnd w:id="256"/>
    </w:p>
    <w:p>
      <w:pPr>
        <w:pStyle w:val="BodyText"/>
      </w:pPr>
      <w:r>
        <w:t xml:space="preserve">You can create an IP space to be used by multiple </w:t>
      </w:r>
      <w:r>
        <w:t>VCF Automation</w:t>
      </w:r>
      <w:r>
        <w:t xml:space="preserve"> organizations and control it through a quota system.</w:t>
      </w:r>
    </w:p>
    <w:p>
      <w:pPr>
        <w:pStyle w:val="BodyText"/>
      </w:pPr>
      <w:r>
        <w:t xml:space="preserve">As a </w:t>
      </w:r>
      <w:r>
        <w:rPr>
          <w:rStyle w:val="InlineUI"/>
        </w:rPr>
        <w:t>Provider Administrator</w:t>
      </w:r>
      <w:r>
        <w:t>, you can add an IP space that can be used by a number of organizations. The consumption of IP addresses can be controlled by a quota on the IP space, and optionally, overridden at the organization level.</w:t>
      </w:r>
    </w:p>
    <w:p>
      <w:pPr>
        <w:pStyle w:val="BodyText"/>
      </w:pPr>
      <w:r>
        <w:t>An IP Space can only be IPv4.</w:t>
      </w:r>
    </w:p>
    <w:p>
      <w:pPr>
        <w:pStyle w:val="BodyText"/>
      </w:pPr>
      <w:r>
        <w:rPr>
          <w:rStyle w:val="Strong"/>
        </w:rPr>
        <w:t>Prerequisites</w:t>
      </w:r>
    </w:p>
    <w:p>
      <w:pPr>
        <w:pStyle w:val="BodyText"/>
        <w:numPr>
          <w:numId w:val="232"/>
        </w:numPr>
      </w:pPr>
      <w:r>
        <w:t xml:space="preserve">Verify that your role includes the </w:t>
      </w:r>
      <w:r>
        <w:rPr>
          <w:rStyle w:val="InlineUI"/>
        </w:rPr>
        <w:t>System IP Spaces: Manage</w:t>
      </w:r>
      <w:r>
        <w:t xml:space="preserve"> and </w:t>
      </w:r>
      <w:r>
        <w:rPr>
          <w:rStyle w:val="InlineUI"/>
        </w:rPr>
        <w:t>System IP Spaces: View</w:t>
      </w:r>
      <w:r>
        <w:t xml:space="preserve"> rights.</w:t>
      </w:r>
    </w:p>
    <w:p>
      <w:pPr>
        <w:pStyle w:val="BodyText"/>
        <w:numPr>
          <w:numId w:val="23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B7c1d1a37e6c84e0293e7ae90ce69964f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Region in Your VCF Automation</w:t>
      </w:r>
      <w:r>
        <w:fldChar w:fldCharType="end"/>
      </w:r>
    </w:p>
    <w:p>
      <w:pPr>
        <w:pStyle w:val="BodyText"/>
      </w:pPr>
      <w:r>
        <w:rPr>
          <w:rStyle w:val="Strong"/>
        </w:rPr>
        <w:t>Procedure</w:t>
      </w:r>
    </w:p>
    <w:p>
      <w:pPr>
        <w:pStyle w:val="BodyText"/>
        <w:numPr>
          <w:numId w:val="233"/>
        </w:numPr>
      </w:pPr>
      <w:r>
        <w:t xml:space="preserve">Log in to the </w:t>
      </w:r>
      <w:r>
        <w:t>.</w:t>
      </w:r>
    </w:p>
    <w:p>
      <w:pPr>
        <w:pStyle w:val="BodyText"/>
        <w:numPr>
          <w:numId w:val="233"/>
        </w:numPr>
      </w:pPr>
      <w:r>
        <w:t xml:space="preserve">From the left navigation panel, under </w:t>
      </w:r>
      <w:r>
        <w:rPr>
          <w:rStyle w:val="InlineUI"/>
        </w:rPr>
        <w:t>Infrastructure</w:t>
      </w:r>
      <w:r>
        <w:t xml:space="preserve">, select </w:t>
      </w:r>
      <w:r>
        <w:rPr>
          <w:rStyle w:val="InlineUI"/>
        </w:rPr>
        <w:t>Networking</w:t>
      </w:r>
      <w:r>
        <w:t>.</w:t>
      </w:r>
    </w:p>
    <w:p>
      <w:pPr>
        <w:pStyle w:val="BodyText"/>
        <w:numPr>
          <w:numId w:val="233"/>
        </w:numPr>
      </w:pPr>
      <w:r>
        <w:t xml:space="preserve">Click the </w:t>
      </w:r>
      <w:r>
        <w:rPr>
          <w:rStyle w:val="InlineUI"/>
        </w:rPr>
        <w:t>IP Spaces</w:t>
      </w:r>
      <w:r>
        <w:t xml:space="preserve"> tab, and click </w:t>
      </w:r>
      <w:r>
        <w:rPr>
          <w:rStyle w:val="InlineUI"/>
        </w:rPr>
        <w:t>New</w:t>
      </w:r>
      <w:r>
        <w:t>.</w:t>
      </w:r>
    </w:p>
    <w:p>
      <w:pPr>
        <w:pStyle w:val="BodyText"/>
        <w:numPr>
          <w:numId w:val="233"/>
        </w:numPr>
      </w:pPr>
      <w:r>
        <w:t>Enter a name, and optionally, a description for the IP space.</w:t>
      </w:r>
    </w:p>
    <w:p>
      <w:pPr>
        <w:pStyle w:val="BodyText"/>
        <w:numPr>
          <w:numId w:val="233"/>
        </w:numPr>
      </w:pPr>
      <w:r>
        <w:t xml:space="preserve">From the drop-down menu, select the region of the IP space, and click </w:t>
      </w:r>
      <w:r>
        <w:rPr>
          <w:rStyle w:val="InlineUI"/>
        </w:rPr>
        <w:t>Next</w:t>
      </w:r>
      <w:r>
        <w:t>.</w:t>
      </w:r>
    </w:p>
    <w:p>
      <w:pPr>
        <w:pStyle w:val="BodyText"/>
        <w:numPr>
          <w:numId w:val="233"/>
        </w:numPr>
      </w:pPr>
      <w:r>
        <w:t>To define the IP space scope, enter up to five IP ranges and prefixes.</w:t>
      </w:r>
    </w:p>
    <w:p>
      <w:pPr>
        <w:pStyle w:val="BodyText"/>
        <w:ind w:left="480"/>
      </w:pPr>
      <w:r>
        <w:t>The internal scope of an IP space is a list of CIDR notations that defines the exact span of IP adresses in which all ranges and blocks must be contained in.</w:t>
      </w:r>
    </w:p>
    <w:p>
      <w:pPr>
        <w:pStyle w:val="BodyText"/>
        <w:ind w:left="480"/>
      </w:pPr>
      <w:r>
        <w:t>You can use IPv4.</w:t>
      </w:r>
    </w:p>
    <w:p>
      <w:pPr>
        <w:pStyle w:val="BodyText"/>
        <w:numPr>
          <w:numId w:val="233"/>
        </w:numPr>
      </w:pPr>
      <w:r>
        <w:t>(Optional) For the external scope for the IP space, enter 00/0 for Internet IPs.</w:t>
      </w:r>
    </w:p>
    <w:p>
      <w:pPr>
        <w:pStyle w:val="BodyText"/>
        <w:numPr>
          <w:numId w:val="233"/>
        </w:numPr>
      </w:pPr>
      <w:r>
        <w:t xml:space="preserve">Click </w:t>
      </w:r>
      <w:r>
        <w:rPr>
          <w:rStyle w:val="InlineUI"/>
        </w:rPr>
        <w:t>Next</w:t>
      </w:r>
      <w:r>
        <w:t>.</w:t>
      </w:r>
    </w:p>
    <w:p>
      <w:pPr>
        <w:pStyle w:val="BodyText"/>
        <w:numPr>
          <w:numId w:val="233"/>
        </w:numPr>
      </w:pPr>
      <w:r>
        <w:t>(Optional) Enter the default maximum number of IP addresses for all organizations within the IP space.</w:t>
      </w:r>
    </w:p>
    <w:p>
      <w:pPr>
        <w:pStyle w:val="BodyText"/>
        <w:numPr>
          <w:numId w:val="233"/>
        </w:numPr>
      </w:pPr>
      <w:r>
        <w:t>(Optional) Enter the default maximum number of CIDRs for all organizations within the IP space.</w:t>
      </w:r>
    </w:p>
    <w:p>
      <w:pPr>
        <w:pStyle w:val="BodyText"/>
        <w:numPr>
          <w:numId w:val="233"/>
        </w:numPr>
      </w:pPr>
      <w:r>
        <w:t>(Optional) Specify the default largest subnet size of the CIDR that you want to allow within the IP space.</w:t>
      </w:r>
    </w:p>
    <w:p>
      <w:pPr>
        <w:pStyle w:val="BodyText"/>
        <w:ind w:left="480"/>
      </w:pPr>
      <w:r>
        <w:t>This option ensures that you do not allocate subnets that are too large, which can result in unused IP addresses.</w:t>
      </w:r>
    </w:p>
    <w:p>
      <w:pPr>
        <w:pStyle w:val="BodyText"/>
        <w:numPr>
          <w:numId w:val="233"/>
        </w:numPr>
      </w:pPr>
      <w:r>
        <w:t xml:space="preserve">Click </w:t>
      </w:r>
      <w:r>
        <w:rPr>
          <w:rStyle w:val="InlineUI"/>
        </w:rPr>
        <w:t>Next</w:t>
      </w:r>
      <w:r>
        <w:t>.</w:t>
      </w:r>
    </w:p>
    <w:p>
      <w:pPr>
        <w:pStyle w:val="BodyText"/>
        <w:numPr>
          <w:numId w:val="233"/>
        </w:numPr>
      </w:pPr>
      <w:r>
        <w:t xml:space="preserve">Review the IP space settings, and click </w:t>
      </w:r>
      <w:r>
        <w:rPr>
          <w:rStyle w:val="InlineUI"/>
        </w:rPr>
        <w:t>Create</w:t>
      </w:r>
      <w:r>
        <w:t>.</w:t>
      </w:r>
    </w:p>
    <w:p>
      <w:pPr>
        <w:pStyle w:val="BodyText"/>
      </w:pPr>
      <w:r>
        <w:rPr>
          <w:rStyle w:val="Strong"/>
        </w:rPr>
        <w:t>What to do next</w:t>
      </w:r>
    </w:p>
    <w:p>
      <w:pPr>
        <w:pStyle w:val="BodyText"/>
      </w:pPr>
      <w:r>
        <w:t xml:space="preserve">When creating an IP space, you can configure an IP quota that applies equally to all organizations. To specify a quota applicable to a specific organization,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B36143871f1864d52983be095e7dcfbf2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Create a Custom IP Space Quota</w:t>
      </w:r>
      <w:r>
        <w:fldChar w:fldCharType="end"/>
      </w:r>
      <w:r>
        <w:t>.</w:t>
      </w:r>
    </w:p>
    <w:p>
      <w:pPr>
        <w:pStyle w:val="Heading3"/>
      </w:pPr>
      <w:bookmarkStart w:id="257" w:name="_Toc256000630"/>
      <w:r>
        <w:t>Add a Shared IP Space to Your VCF Automation</w:t>
      </w:r>
      <w:bookmarkEnd w:id="257"/>
    </w:p>
    <w:p>
      <w:pPr>
        <w:pStyle w:val="BodyText"/>
      </w:pPr>
      <w:r>
        <w:t xml:space="preserve">You can add a shared IP space to use for multiple </w:t>
      </w:r>
      <w:r>
        <w:t>VCF Automation</w:t>
      </w:r>
      <w:r>
        <w:t xml:space="preserve"> organizations.</w:t>
      </w:r>
    </w:p>
    <w:p>
      <w:pPr>
        <w:pStyle w:val="BodyText"/>
      </w:pPr>
      <w:r>
        <w:t>You can use an IP space for services and management networks that are required in the tenant space but you don't want to expose to organizations in your environment.</w:t>
      </w:r>
    </w:p>
    <w:p>
      <w:pPr>
        <w:pStyle w:val="BodyText"/>
      </w:pPr>
      <w:r>
        <w:rPr>
          <w:rStyle w:val="Strong"/>
        </w:rPr>
        <w:t>Prerequisites</w:t>
      </w:r>
    </w:p>
    <w:p>
      <w:pPr>
        <w:pStyle w:val="BodyText"/>
      </w:pPr>
      <w:r>
        <w:t xml:space="preserve">Verify that your role includes the </w:t>
      </w:r>
      <w:r>
        <w:rPr>
          <w:rStyle w:val="InlineUI"/>
        </w:rPr>
        <w:t>System IP Spaces:View</w:t>
      </w:r>
      <w:r>
        <w:t xml:space="preserve"> and </w:t>
      </w:r>
      <w:r>
        <w:rPr>
          <w:rStyle w:val="InlineUI"/>
        </w:rPr>
        <w:t>System IP Spaces:Manage</w:t>
      </w:r>
      <w:r>
        <w:t xml:space="preserve"> rights.</w:t>
      </w:r>
    </w:p>
    <w:p>
      <w:pPr>
        <w:pStyle w:val="BodyText"/>
      </w:pPr>
      <w:r>
        <w:rPr>
          <w:rStyle w:val="Strong"/>
        </w:rPr>
        <w:t>Procedure</w:t>
      </w:r>
    </w:p>
    <w:p>
      <w:pPr>
        <w:pStyle w:val="BodyText"/>
        <w:numPr>
          <w:numId w:val="234"/>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34"/>
        </w:numPr>
      </w:pPr>
      <w:r>
        <w:t xml:space="preserve">From the secondary left panel, select </w:t>
      </w:r>
      <w:r>
        <w:rPr>
          <w:rStyle w:val="InlineUI"/>
        </w:rPr>
        <w:t>IP Spaces</w:t>
      </w:r>
      <w:r>
        <w:t xml:space="preserve"> and click </w:t>
      </w:r>
      <w:r>
        <w:rPr>
          <w:rStyle w:val="InlineUI"/>
        </w:rPr>
        <w:t>New</w:t>
      </w:r>
      <w:r>
        <w:t>.</w:t>
      </w:r>
    </w:p>
    <w:p>
      <w:pPr>
        <w:pStyle w:val="BodyText"/>
        <w:numPr>
          <w:numId w:val="234"/>
        </w:numPr>
      </w:pPr>
      <w:r>
        <w:t>If you are using a multisite deployment, select a site where to create the IP space from the drop-down list.</w:t>
      </w:r>
    </w:p>
    <w:p>
      <w:pPr>
        <w:pStyle w:val="BodyText"/>
        <w:numPr>
          <w:numId w:val="234"/>
        </w:numPr>
      </w:pPr>
      <w:r>
        <w:t xml:space="preserve">In the IP space </w:t>
      </w:r>
      <w:r>
        <w:rPr>
          <w:rStyle w:val="InlineUI"/>
        </w:rPr>
        <w:t>Type</w:t>
      </w:r>
      <w:r>
        <w:t xml:space="preserve"> page, select </w:t>
      </w:r>
      <w:r>
        <w:rPr>
          <w:rStyle w:val="InlineUI"/>
        </w:rPr>
        <w:t>Shared</w:t>
      </w:r>
      <w:r>
        <w:t xml:space="preserve"> and click </w:t>
      </w:r>
      <w:r>
        <w:rPr>
          <w:rStyle w:val="InlineUI"/>
        </w:rPr>
        <w:t>Next</w:t>
      </w:r>
      <w:r>
        <w:t>.</w:t>
      </w:r>
    </w:p>
    <w:p>
      <w:pPr>
        <w:pStyle w:val="BodyText"/>
        <w:numPr>
          <w:numId w:val="234"/>
        </w:numPr>
      </w:pPr>
      <w:r>
        <w:t>To define the IP space scope, enter up to five IP ranges and prefixes.</w:t>
      </w:r>
    </w:p>
    <w:p>
      <w:pPr>
        <w:pStyle w:val="BodyText"/>
        <w:ind w:left="480"/>
      </w:pPr>
      <w:r>
        <w:t>The internal scope of an IP space is a list of CIDR notations that defines the exact span of IP adresses in which all ranges and blocks must be contained in.</w:t>
      </w:r>
    </w:p>
    <w:p>
      <w:pPr>
        <w:pStyle w:val="BodyText"/>
        <w:ind w:left="480"/>
      </w:pPr>
      <w:r>
        <w:t>You can use IPv4.</w:t>
      </w:r>
    </w:p>
    <w:p>
      <w:pPr>
        <w:pStyle w:val="BodyText"/>
        <w:numPr>
          <w:numId w:val="234"/>
        </w:numPr>
      </w:pPr>
      <w:r>
        <w:t xml:space="preserve">(Optional) </w:t>
      </w:r>
      <w:r>
        <w:t>Enter a CIDR notation for the external scope for the IP space.</w:t>
      </w:r>
    </w:p>
    <w:p>
      <w:pPr>
        <w:pStyle w:val="BodyText"/>
        <w:ind w:left="480"/>
      </w:pPr>
      <w:r>
        <w:t>The external scope defines the total span of IP addresses to which the IP space has access, for example the internet or a WAN.</w:t>
      </w:r>
    </w:p>
    <w:p>
      <w:pPr>
        <w:pStyle w:val="BodyText"/>
        <w:numPr>
          <w:numId w:val="234"/>
        </w:numPr>
      </w:pPr>
      <w:r>
        <w:t xml:space="preserve">Click </w:t>
      </w:r>
      <w:r>
        <w:rPr>
          <w:rStyle w:val="InlineUI"/>
        </w:rPr>
        <w:t>Next</w:t>
      </w:r>
      <w:r>
        <w:t>.</w:t>
      </w:r>
    </w:p>
    <w:p>
      <w:pPr>
        <w:pStyle w:val="BodyText"/>
        <w:numPr>
          <w:numId w:val="234"/>
        </w:numPr>
      </w:pPr>
      <w:r>
        <w:t xml:space="preserve">(Optional) </w:t>
      </w:r>
      <w:r>
        <w:t xml:space="preserve">Enter IP ranges for the IP space and click </w:t>
      </w:r>
      <w:r>
        <w:rPr>
          <w:rStyle w:val="InlineUI"/>
        </w:rPr>
        <w:t>Next</w:t>
      </w:r>
      <w:r>
        <w:t>.</w:t>
      </w:r>
    </w:p>
    <w:p>
      <w:pPr>
        <w:pStyle w:val="BodyText"/>
        <w:numPr>
          <w:numId w:val="234"/>
        </w:numPr>
      </w:pPr>
      <w:r>
        <w:t xml:space="preserve">If you entered at least one floating IP address in the IP Ranges page, enter a number of floating IP addresses to allocate individually or select the </w:t>
      </w:r>
      <w:r>
        <w:rPr>
          <w:rStyle w:val="InlineUI"/>
        </w:rPr>
        <w:t>Unlimited</w:t>
      </w:r>
      <w:r>
        <w:t xml:space="preserve"> checkbox.</w:t>
      </w:r>
    </w:p>
    <w:p>
      <w:pPr>
        <w:pStyle w:val="BodyText"/>
        <w:numPr>
          <w:numId w:val="234"/>
        </w:numPr>
      </w:pPr>
      <w:r>
        <w:t xml:space="preserve">If you entered at least one IP prefix in the IP Prefixes page, enter a number of IP prefixes, or select the </w:t>
      </w:r>
      <w:r>
        <w:rPr>
          <w:rStyle w:val="InlineUI"/>
        </w:rPr>
        <w:t>Unlimited</w:t>
      </w:r>
      <w:r>
        <w:t xml:space="preserve"> checkbox, and click </w:t>
      </w:r>
      <w:r>
        <w:rPr>
          <w:rStyle w:val="InlineUI"/>
        </w:rPr>
        <w:t>Next</w:t>
      </w:r>
      <w:r>
        <w:t>.</w:t>
      </w:r>
    </w:p>
    <w:p>
      <w:pPr>
        <w:pStyle w:val="BodyText"/>
        <w:numPr>
          <w:numId w:val="234"/>
        </w:numPr>
      </w:pPr>
      <w:r>
        <w:t xml:space="preserve">Review the </w:t>
      </w:r>
      <w:r>
        <w:rPr>
          <w:rStyle w:val="InlineUI"/>
        </w:rPr>
        <w:t>Ready to Complete</w:t>
      </w:r>
      <w:r>
        <w:t xml:space="preserve"> page, and click </w:t>
      </w:r>
      <w:r>
        <w:rPr>
          <w:rStyle w:val="InlineUI"/>
        </w:rPr>
        <w:t>Finish</w:t>
      </w:r>
      <w:r>
        <w:t>.</w:t>
      </w:r>
    </w:p>
    <w:p>
      <w:pPr>
        <w:pStyle w:val="Heading3"/>
      </w:pPr>
      <w:bookmarkStart w:id="258" w:name="_Toc256000631"/>
      <w:r>
        <w:t>Add a Private IP Space to Your VCF Automation</w:t>
      </w:r>
      <w:bookmarkEnd w:id="258"/>
    </w:p>
    <w:p>
      <w:pPr>
        <w:pStyle w:val="BodyText"/>
      </w:pPr>
      <w:r>
        <w:t xml:space="preserve">You can create an IP space to be used by a single </w:t>
      </w:r>
      <w:r>
        <w:t>VCF Automation</w:t>
      </w:r>
      <w:r>
        <w:t xml:space="preserve"> organization.</w:t>
      </w:r>
    </w:p>
    <w:p>
      <w:pPr>
        <w:pStyle w:val="BodyText"/>
      </w:pPr>
      <w:r>
        <w:t xml:space="preserve">As a </w:t>
      </w:r>
      <w:r>
        <w:rPr>
          <w:rStyle w:val="InlineUI"/>
        </w:rPr>
        <w:t>service provider</w:t>
      </w:r>
      <w:r>
        <w:t xml:space="preserve">, you can dedicate an IP space to a single organization. By default, the IP address quota for a private IP space is unlimited. </w:t>
      </w:r>
      <w:r>
        <w:rPr>
          <w:rStyle w:val="InlineUI"/>
        </w:rPr>
        <w:t>Organization administrators</w:t>
      </w:r>
      <w:r>
        <w:t xml:space="preserve"> and other users with the appropriate set of rights can allocate IP addresses from a private IP space.</w:t>
      </w:r>
    </w:p>
    <w:p>
      <w:pPr>
        <w:pStyle w:val="BodyText"/>
      </w:pPr>
      <w:r>
        <w:rPr>
          <w:rStyle w:val="Strong"/>
        </w:rPr>
        <w:t>Prerequisites</w:t>
      </w:r>
    </w:p>
    <w:p>
      <w:pPr>
        <w:pStyle w:val="BodyText"/>
      </w:pPr>
      <w:r>
        <w:t xml:space="preserve">Verify that your role includes the </w:t>
      </w:r>
      <w:r>
        <w:rPr>
          <w:rStyle w:val="InlineUI"/>
        </w:rPr>
        <w:t>Private IP Spaces:View</w:t>
      </w:r>
      <w:r>
        <w:t xml:space="preserve"> and </w:t>
      </w:r>
      <w:r>
        <w:rPr>
          <w:rStyle w:val="InlineUI"/>
        </w:rPr>
        <w:t>Private IP Spaces:Manage</w:t>
      </w:r>
      <w:r>
        <w:t xml:space="preserve"> rights.</w:t>
      </w:r>
    </w:p>
    <w:p>
      <w:pPr>
        <w:pStyle w:val="BodyText"/>
      </w:pPr>
      <w:r>
        <w:rPr>
          <w:rStyle w:val="Strong"/>
        </w:rPr>
        <w:t>Procedure</w:t>
      </w:r>
    </w:p>
    <w:p>
      <w:pPr>
        <w:pStyle w:val="BodyText"/>
        <w:numPr>
          <w:numId w:val="235"/>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35"/>
        </w:numPr>
      </w:pPr>
      <w:r>
        <w:t xml:space="preserve">From the secondary left panel, select </w:t>
      </w:r>
      <w:r>
        <w:rPr>
          <w:rStyle w:val="InlineUI"/>
        </w:rPr>
        <w:t>IP Spaces</w:t>
      </w:r>
      <w:r>
        <w:t xml:space="preserve"> and click </w:t>
      </w:r>
      <w:r>
        <w:rPr>
          <w:rStyle w:val="InlineUI"/>
        </w:rPr>
        <w:t>New</w:t>
      </w:r>
      <w:r>
        <w:t>.</w:t>
      </w:r>
    </w:p>
    <w:p>
      <w:pPr>
        <w:pStyle w:val="BodyText"/>
        <w:numPr>
          <w:numId w:val="235"/>
        </w:numPr>
      </w:pPr>
      <w:r>
        <w:t>If you are using a multisite deployment, select a site where to create the IP space from the drop-down list.</w:t>
      </w:r>
    </w:p>
    <w:p>
      <w:pPr>
        <w:pStyle w:val="BodyText"/>
        <w:numPr>
          <w:numId w:val="235"/>
        </w:numPr>
      </w:pPr>
      <w:r>
        <w:t xml:space="preserve">In the IP space </w:t>
      </w:r>
      <w:r>
        <w:rPr>
          <w:rStyle w:val="InlineUI"/>
        </w:rPr>
        <w:t>Type</w:t>
      </w:r>
      <w:r>
        <w:t xml:space="preserve"> page, select </w:t>
      </w:r>
      <w:r>
        <w:rPr>
          <w:rStyle w:val="InlineUI"/>
        </w:rPr>
        <w:t>Private</w:t>
      </w:r>
      <w:r>
        <w:t>.</w:t>
      </w:r>
    </w:p>
    <w:p>
      <w:pPr>
        <w:pStyle w:val="BodyText"/>
        <w:numPr>
          <w:numId w:val="235"/>
        </w:numPr>
      </w:pPr>
      <w:r>
        <w:t>From the drop-down menu, select an organization to which to dedicate the IP space.</w:t>
      </w:r>
    </w:p>
    <w:p>
      <w:pPr>
        <w:pStyle w:val="BodyText"/>
        <w:numPr>
          <w:numId w:val="235"/>
        </w:numPr>
      </w:pPr>
      <w:r>
        <w:t xml:space="preserve">Click </w:t>
      </w:r>
      <w:r>
        <w:rPr>
          <w:rStyle w:val="InlineUI"/>
        </w:rPr>
        <w:t>Next</w:t>
      </w:r>
      <w:r>
        <w:t>.</w:t>
      </w:r>
    </w:p>
    <w:p>
      <w:pPr>
        <w:pStyle w:val="BodyText"/>
        <w:numPr>
          <w:numId w:val="235"/>
        </w:numPr>
      </w:pPr>
      <w:r>
        <w:t xml:space="preserve">Click </w:t>
      </w:r>
      <w:r>
        <w:rPr>
          <w:rStyle w:val="InlineUI"/>
        </w:rPr>
        <w:t>Next</w:t>
      </w:r>
      <w:r>
        <w:t>.</w:t>
      </w:r>
    </w:p>
    <w:p>
      <w:pPr>
        <w:pStyle w:val="BodyText"/>
        <w:numPr>
          <w:numId w:val="235"/>
        </w:numPr>
      </w:pPr>
      <w:r>
        <w:t>To define the IP space scope, enter up to five IP ranges and prefixes.</w:t>
      </w:r>
    </w:p>
    <w:p>
      <w:pPr>
        <w:pStyle w:val="BodyText"/>
        <w:ind w:left="480"/>
      </w:pPr>
      <w:r>
        <w:t>The internal scope of an IP space is a list of CIDR notations that defines the exact span of IP adresses in which all ranges and blocks must be contained in.</w:t>
      </w:r>
    </w:p>
    <w:p>
      <w:pPr>
        <w:pStyle w:val="BodyText"/>
        <w:ind w:left="480"/>
      </w:pPr>
      <w:r>
        <w:t>You can use IPv4.</w:t>
      </w:r>
    </w:p>
    <w:p>
      <w:pPr>
        <w:pStyle w:val="BodyText"/>
        <w:numPr>
          <w:numId w:val="235"/>
        </w:numPr>
      </w:pPr>
      <w:r>
        <w:t xml:space="preserve">(Optional) </w:t>
      </w:r>
      <w:r>
        <w:t>Enter a CIDR notation for the external scope for the IP space.</w:t>
      </w:r>
    </w:p>
    <w:p>
      <w:pPr>
        <w:pStyle w:val="BodyText"/>
        <w:ind w:left="480"/>
      </w:pPr>
      <w:r>
        <w:t>The external scope defines the total span of IP addresses to which the IP space has access, for example the internet or a WAN.</w:t>
      </w:r>
    </w:p>
    <w:p>
      <w:pPr>
        <w:pStyle w:val="BodyText"/>
        <w:numPr>
          <w:numId w:val="235"/>
        </w:numPr>
      </w:pPr>
      <w:r>
        <w:t xml:space="preserve">Click </w:t>
      </w:r>
      <w:r>
        <w:rPr>
          <w:rStyle w:val="InlineUI"/>
        </w:rPr>
        <w:t>Next</w:t>
      </w:r>
      <w:r>
        <w:t>.</w:t>
      </w:r>
    </w:p>
    <w:p>
      <w:pPr>
        <w:pStyle w:val="BodyText"/>
        <w:numPr>
          <w:numId w:val="235"/>
        </w:numPr>
      </w:pPr>
      <w:r>
        <w:t xml:space="preserve">(Optional) </w:t>
      </w:r>
      <w:r>
        <w:t xml:space="preserve">Enter IP ranges for the IP space and click </w:t>
      </w:r>
      <w:r>
        <w:rPr>
          <w:rStyle w:val="InlineUI"/>
        </w:rPr>
        <w:t>Next</w:t>
      </w:r>
      <w:r>
        <w:t>.</w:t>
      </w:r>
    </w:p>
    <w:p>
      <w:pPr>
        <w:pStyle w:val="BodyText"/>
        <w:numPr>
          <w:numId w:val="235"/>
        </w:numPr>
      </w:pPr>
      <w:r>
        <w:t xml:space="preserve">(Optional) </w:t>
      </w:r>
      <w:r>
        <w:t xml:space="preserve">Enter IP prefixes for the IP space and click </w:t>
      </w:r>
      <w:r>
        <w:rPr>
          <w:rStyle w:val="InlineUI"/>
        </w:rPr>
        <w:t>Next</w:t>
      </w:r>
      <w:r>
        <w:t>.</w:t>
      </w:r>
    </w:p>
    <w:p>
      <w:pPr>
        <w:pStyle w:val="BodyText"/>
        <w:numPr>
          <w:numId w:val="235"/>
        </w:numPr>
      </w:pPr>
      <w:r>
        <w:t xml:space="preserve">If you entered at least one floating IP address in the IP Ranges page, enter a number of floating IP addresses to allocate individually or select the </w:t>
      </w:r>
      <w:r>
        <w:rPr>
          <w:rStyle w:val="InlineUI"/>
        </w:rPr>
        <w:t>Unlimited</w:t>
      </w:r>
      <w:r>
        <w:t xml:space="preserve"> checkbox.</w:t>
      </w:r>
    </w:p>
    <w:p>
      <w:pPr>
        <w:pStyle w:val="BodyText"/>
        <w:numPr>
          <w:numId w:val="235"/>
        </w:numPr>
      </w:pPr>
      <w:r>
        <w:t xml:space="preserve">If you entered at least one IP prefix in the IP Prefixes page, enter a number of IP prefixes, or select the </w:t>
      </w:r>
      <w:r>
        <w:rPr>
          <w:rStyle w:val="InlineUI"/>
        </w:rPr>
        <w:t>Unlimited</w:t>
      </w:r>
      <w:r>
        <w:t xml:space="preserve"> checkbox, and click </w:t>
      </w:r>
      <w:r>
        <w:rPr>
          <w:rStyle w:val="InlineUI"/>
        </w:rPr>
        <w:t>Next</w:t>
      </w:r>
      <w:r>
        <w:t>.</w:t>
      </w:r>
    </w:p>
    <w:p>
      <w:pPr>
        <w:pStyle w:val="BodyText"/>
        <w:numPr>
          <w:numId w:val="235"/>
        </w:numPr>
      </w:pPr>
      <w:r>
        <w:t xml:space="preserve">Review the </w:t>
      </w:r>
      <w:r>
        <w:rPr>
          <w:rStyle w:val="InlineUI"/>
        </w:rPr>
        <w:t>Ready to Complete</w:t>
      </w:r>
      <w:r>
        <w:t xml:space="preserve"> page, and click </w:t>
      </w:r>
      <w:r>
        <w:rPr>
          <w:rStyle w:val="InlineUI"/>
        </w:rPr>
        <w:t>Finish</w:t>
      </w:r>
      <w:r>
        <w:t>.</w:t>
      </w:r>
    </w:p>
    <w:p>
      <w:pPr>
        <w:pStyle w:val="Heading3"/>
      </w:pPr>
      <w:bookmarkStart w:id="259" w:name="_Toc256000632"/>
      <w:r>
        <w:t>Edit an IP Space in Your VCF Automation</w:t>
      </w:r>
      <w:bookmarkEnd w:id="259"/>
    </w:p>
    <w:p>
      <w:pPr>
        <w:pStyle w:val="BodyText"/>
      </w:pPr>
      <w:r>
        <w:t xml:space="preserve">You can use your </w:t>
      </w:r>
      <w:r>
        <w:t>VCF Automation Provider Management Portal</w:t>
      </w:r>
      <w:r>
        <w:t xml:space="preserve"> to modify the name, description, scope, IP ranges, and IP prefixes of an existing IP space.</w:t>
      </w:r>
    </w:p>
    <w:p>
      <w:pPr>
        <w:pStyle w:val="BodyText"/>
      </w:pPr>
      <w:r>
        <w:rPr>
          <w:rStyle w:val="Strong"/>
        </w:rPr>
        <w:t>Prerequisites</w:t>
      </w:r>
    </w:p>
    <w:p>
      <w:pPr>
        <w:pStyle w:val="BodyText"/>
      </w:pPr>
      <w:r>
        <w:t xml:space="preserve">Verify that your role includes the </w:t>
      </w:r>
      <w:r>
        <w:rPr>
          <w:rStyle w:val="InlineUI"/>
        </w:rPr>
        <w:t>System IP Spaces: Manage</w:t>
      </w:r>
      <w:r>
        <w:t xml:space="preserve"> and </w:t>
      </w:r>
      <w:r>
        <w:rPr>
          <w:rStyle w:val="InlineUI"/>
        </w:rPr>
        <w:t>System IP Spaces: View</w:t>
      </w:r>
      <w:r>
        <w:t xml:space="preserve"> rights.</w:t>
      </w:r>
    </w:p>
    <w:p>
      <w:pPr>
        <w:pStyle w:val="BodyText"/>
      </w:pPr>
      <w:r>
        <w:rPr>
          <w:rStyle w:val="Strong"/>
        </w:rPr>
        <w:t>Procedure</w:t>
      </w:r>
    </w:p>
    <w:p>
      <w:pPr>
        <w:pStyle w:val="BodyText"/>
        <w:numPr>
          <w:numId w:val="236"/>
        </w:numPr>
      </w:pPr>
      <w:r>
        <w:t xml:space="preserve">Log in to the </w:t>
      </w:r>
      <w:r>
        <w:t>.</w:t>
      </w:r>
    </w:p>
    <w:p>
      <w:pPr>
        <w:pStyle w:val="BodyText"/>
        <w:numPr>
          <w:numId w:val="236"/>
        </w:numPr>
      </w:pPr>
      <w:r>
        <w:t xml:space="preserve">From the left navigation panel, under </w:t>
      </w:r>
      <w:r>
        <w:rPr>
          <w:rStyle w:val="InlineUI"/>
        </w:rPr>
        <w:t>Infrastructure</w:t>
      </w:r>
      <w:r>
        <w:t xml:space="preserve">, select </w:t>
      </w:r>
      <w:r>
        <w:rPr>
          <w:rStyle w:val="InlineUI"/>
        </w:rPr>
        <w:t>Networking</w:t>
      </w:r>
      <w:r>
        <w:t>.</w:t>
      </w:r>
    </w:p>
    <w:p>
      <w:pPr>
        <w:pStyle w:val="BodyText"/>
        <w:numPr>
          <w:numId w:val="236"/>
        </w:numPr>
      </w:pPr>
      <w:r>
        <w:t xml:space="preserve">Click the </w:t>
      </w:r>
      <w:r>
        <w:rPr>
          <w:rStyle w:val="InlineUI"/>
        </w:rPr>
        <w:t>IP Spaces</w:t>
      </w:r>
      <w:r>
        <w:t xml:space="preserve"> tab, and click the name of the IP space you want to edit.</w:t>
      </w:r>
    </w:p>
    <w:p>
      <w:pPr>
        <w:pStyle w:val="BodyText"/>
        <w:numPr>
          <w:numId w:val="236"/>
        </w:numPr>
      </w:pPr>
      <w:r>
        <w:t xml:space="preserve">To navigate to the general IP space settings, from the secondary left panel, select </w:t>
      </w:r>
      <w:r>
        <w:rPr>
          <w:rStyle w:val="InlineUI"/>
        </w:rPr>
        <w:t>General</w:t>
      </w:r>
      <w:r>
        <w:t>.</w:t>
      </w:r>
    </w:p>
    <w:p>
      <w:pPr>
        <w:pStyle w:val="BodyText"/>
        <w:numPr>
          <w:numId w:val="236"/>
        </w:numPr>
      </w:pPr>
      <w:r>
        <w:t xml:space="preserve">To edit the IP space name or description, under </w:t>
      </w:r>
      <w:r>
        <w:rPr>
          <w:rStyle w:val="InlineUI"/>
        </w:rPr>
        <w:t>Summary</w:t>
      </w:r>
      <w:r>
        <w:t xml:space="preserve">, click </w:t>
      </w:r>
      <w:r>
        <w:rPr>
          <w:rStyle w:val="InlineUI"/>
        </w:rPr>
        <w:t>Edit</w:t>
      </w:r>
      <w:r>
        <w:t>.</w:t>
      </w:r>
    </w:p>
    <w:p>
      <w:pPr>
        <w:pStyle w:val="BodyText"/>
        <w:numPr>
          <w:numId w:val="236"/>
        </w:numPr>
      </w:pPr>
      <w:r>
        <w:t xml:space="preserve">To edit the IP blocks and external reachability of the IP space, under </w:t>
      </w:r>
      <w:r>
        <w:rPr>
          <w:rStyle w:val="InlineUI"/>
        </w:rPr>
        <w:t>IP Blocks and External Reachability</w:t>
      </w:r>
      <w:r>
        <w:t xml:space="preserve">, click </w:t>
      </w:r>
      <w:r>
        <w:rPr>
          <w:rStyle w:val="InlineUI"/>
        </w:rPr>
        <w:t>Edit</w:t>
      </w:r>
      <w:r>
        <w:t>.</w:t>
      </w:r>
    </w:p>
    <w:p>
      <w:pPr>
        <w:pStyle w:val="BodyText"/>
        <w:numPr>
          <w:ilvl w:val="1"/>
          <w:numId w:val="236"/>
        </w:numPr>
      </w:pPr>
      <w:r>
        <w:t>Add up to five CIDRs for the IP blocks of the IP space.</w:t>
      </w:r>
    </w:p>
    <w:p>
      <w:pPr>
        <w:pStyle w:val="BodyText"/>
        <w:numPr>
          <w:ilvl w:val="1"/>
          <w:numId w:val="236"/>
        </w:numPr>
      </w:pPr>
      <w:r>
        <w:t>Add CIDR for the external reachability of the IP space.</w:t>
      </w:r>
    </w:p>
    <w:p>
      <w:pPr>
        <w:pStyle w:val="BodyText"/>
        <w:numPr>
          <w:ilvl w:val="1"/>
          <w:numId w:val="236"/>
        </w:numPr>
      </w:pPr>
      <w:r>
        <w:t xml:space="preserve">Click </w:t>
      </w:r>
      <w:r>
        <w:rPr>
          <w:rStyle w:val="InlineUI"/>
        </w:rPr>
        <w:t>Save</w:t>
      </w:r>
      <w:r>
        <w:t>.</w:t>
      </w:r>
    </w:p>
    <w:p>
      <w:pPr>
        <w:pStyle w:val="BodyText"/>
        <w:numPr>
          <w:numId w:val="236"/>
        </w:numPr>
      </w:pPr>
      <w:r>
        <w:t xml:space="preserve">To edit the default quota of the IP space, from the secondary left panel, select </w:t>
      </w:r>
      <w:r>
        <w:rPr>
          <w:rStyle w:val="InlineUI"/>
        </w:rPr>
        <w:t>Quotas</w:t>
      </w:r>
      <w:r>
        <w:t xml:space="preserve">, and click </w:t>
      </w:r>
      <w:r>
        <w:rPr>
          <w:rStyle w:val="InlineUI"/>
        </w:rPr>
        <w:t>Edit</w:t>
      </w:r>
      <w:r>
        <w:t>.</w:t>
      </w:r>
    </w:p>
    <w:p>
      <w:pPr>
        <w:pStyle w:val="BodyText"/>
        <w:numPr>
          <w:ilvl w:val="1"/>
          <w:numId w:val="236"/>
        </w:numPr>
      </w:pPr>
      <w:r>
        <w:t>Enter the maximum number of IP addresses for each organization.</w:t>
      </w:r>
    </w:p>
    <w:p>
      <w:pPr>
        <w:pStyle w:val="BodyText"/>
        <w:numPr>
          <w:ilvl w:val="1"/>
          <w:numId w:val="236"/>
        </w:numPr>
      </w:pPr>
      <w:r>
        <w:t>Enter the maximum number of CIDRs for each organization.</w:t>
      </w:r>
    </w:p>
    <w:p>
      <w:pPr>
        <w:pStyle w:val="BodyText"/>
        <w:numPr>
          <w:ilvl w:val="1"/>
          <w:numId w:val="236"/>
        </w:numPr>
      </w:pPr>
      <w:r>
        <w:t>Specify the largest subnet size you want to allow within the IP Space.</w:t>
      </w:r>
    </w:p>
    <w:p>
      <w:pPr>
        <w:pStyle w:val="BodyText"/>
        <w:ind w:left="960"/>
      </w:pPr>
      <w:r>
        <w:t>This option ensures that you do not allocate subnets that are too large, which can result in unused IP addresses.</w:t>
      </w:r>
    </w:p>
    <w:p>
      <w:pPr>
        <w:pStyle w:val="Heading3"/>
      </w:pPr>
      <w:bookmarkStart w:id="260" w:name="_Toc256000633"/>
      <w:r>
        <w:t>Enable Route Advertisement For an IP Space in VCF Automation</w:t>
      </w:r>
      <w:bookmarkEnd w:id="260"/>
    </w:p>
    <w:p>
      <w:pPr>
        <w:pStyle w:val="BodyText"/>
      </w:pPr>
      <w:r>
        <w:t xml:space="preserve">In </w:t>
      </w:r>
      <w:r>
        <w:t>VCF Automation</w:t>
      </w:r>
      <w:r>
        <w:t>, you can enable route advertisement for the networks that are using an IP space.</w:t>
      </w:r>
    </w:p>
    <w:p>
      <w:pPr>
        <w:pStyle w:val="BodyText"/>
      </w:pPr>
      <w:r>
        <w:t>You can enable route advertisment for the networks that are using a specific IP space to facilitate the creation of a fully routed environment in an organization. After enabling the route advertisement for an IP space, you can configure route advertisment for each network to advertise routes from the edge gateways to the provider gateways.</w:t>
      </w:r>
    </w:p>
    <w:p>
      <w:pPr>
        <w:pStyle w:val="BodyText"/>
      </w:pPr>
      <w:r>
        <w:rPr>
          <w:rStyle w:val="Strong"/>
        </w:rPr>
        <w:t>Prerequisites</w:t>
      </w:r>
    </w:p>
    <w:p>
      <w:pPr>
        <w:pStyle w:val="BodyText"/>
      </w:pPr>
      <w:r>
        <w:t>Verify that your role includes the</w:t>
      </w:r>
      <w:r>
        <w:rPr>
          <w:rStyle w:val="InlineUI"/>
        </w:rPr>
        <w:t>IP Spaces:View</w:t>
      </w:r>
      <w:r>
        <w:t xml:space="preserve"> and</w:t>
      </w:r>
      <w:r>
        <w:rPr>
          <w:rStyle w:val="InlineUI"/>
        </w:rPr>
        <w:t>IP Spaces:Configure</w:t>
      </w:r>
      <w:r>
        <w:t xml:space="preserve"> rights.</w:t>
      </w:r>
    </w:p>
    <w:p>
      <w:pPr>
        <w:pStyle w:val="BodyText"/>
      </w:pPr>
      <w:r>
        <w:rPr>
          <w:rStyle w:val="Strong"/>
        </w:rPr>
        <w:t>Procedure</w:t>
      </w:r>
    </w:p>
    <w:p>
      <w:pPr>
        <w:pStyle w:val="BodyText"/>
        <w:numPr>
          <w:numId w:val="237"/>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37"/>
        </w:numPr>
      </w:pPr>
      <w:r>
        <w:t xml:space="preserve">In the left pane, click </w:t>
      </w:r>
      <w:r>
        <w:rPr>
          <w:rStyle w:val="InlineUI"/>
        </w:rPr>
        <w:t>IP Spaces</w:t>
      </w:r>
      <w:r>
        <w:t>.</w:t>
      </w:r>
    </w:p>
    <w:p>
      <w:pPr>
        <w:pStyle w:val="BodyText"/>
        <w:numPr>
          <w:numId w:val="237"/>
        </w:numPr>
      </w:pPr>
      <w:r>
        <w:t>Click the name of the IP space.</w:t>
      </w:r>
    </w:p>
    <w:p>
      <w:pPr>
        <w:pStyle w:val="BodyText"/>
        <w:numPr>
          <w:numId w:val="237"/>
        </w:numPr>
      </w:pPr>
      <w:r>
        <w:t xml:space="preserve">Under Configuration, click </w:t>
      </w:r>
      <w:r>
        <w:rPr>
          <w:rStyle w:val="InlineUI"/>
        </w:rPr>
        <w:t>Network Topology</w:t>
      </w:r>
      <w:r>
        <w:t>.</w:t>
      </w:r>
    </w:p>
    <w:p>
      <w:pPr>
        <w:pStyle w:val="BodyText"/>
        <w:numPr>
          <w:numId w:val="237"/>
        </w:numPr>
      </w:pPr>
      <w:r>
        <w:t xml:space="preserve">Toggle on the </w:t>
      </w:r>
      <w:r>
        <w:rPr>
          <w:rStyle w:val="InlineUI"/>
        </w:rPr>
        <w:t>Route Advertisement</w:t>
      </w:r>
      <w:r>
        <w:t xml:space="preserve"> option.</w:t>
      </w:r>
    </w:p>
    <w:p>
      <w:pPr>
        <w:pStyle w:val="BodyText"/>
        <w:numPr>
          <w:numId w:val="237"/>
        </w:numPr>
      </w:pPr>
      <w:r>
        <w:t xml:space="preserve">Click </w:t>
      </w:r>
      <w:r>
        <w:rPr>
          <w:rStyle w:val="InlineUI"/>
        </w:rPr>
        <w:t>Save</w:t>
      </w:r>
      <w:r>
        <w:t>.</w:t>
      </w:r>
    </w:p>
    <w:p>
      <w:pPr>
        <w:pStyle w:val="BodyText"/>
      </w:pPr>
      <w:r>
        <w:rPr>
          <w:rStyle w:val="Strong"/>
        </w:rPr>
        <w:t>What to do next</w:t>
      </w:r>
    </w:p>
    <w:p>
      <w:pPr>
        <w:pStyle w:val="BodyText"/>
        <w:numPr>
          <w:numId w:val="238"/>
        </w:numPr>
      </w:pPr>
      <w:r>
        <w:t xml:space="preserve">Configure the route advertisement topology intentions for the provider gateway with which the IP space is associated. See </w:t>
      </w:r>
      <w:r>
        <w:t>Configure Route Advertisement Topology Intentions on a Provider Gateway in the VCF Automation Provider Management Portal</w:t>
      </w:r>
      <w:r>
        <w:t>.</w:t>
      </w:r>
    </w:p>
    <w:p>
      <w:pPr>
        <w:pStyle w:val="BodyText"/>
        <w:numPr>
          <w:numId w:val="238"/>
        </w:numPr>
      </w:pPr>
      <w:r>
        <w:t xml:space="preserve">Configure route advertisement for specific networks. See </w:t>
      </w:r>
      <w:r>
        <w:t>Add a Routed Organization Virtual Data Center Network</w:t>
      </w:r>
      <w:r>
        <w:t xml:space="preserve"> in the </w:t>
      </w:r>
      <w:r>
        <w:t>VCF Automation</w:t>
      </w:r>
      <w:r>
        <w:rPr>
          <w:rStyle w:val="InlineCite"/>
        </w:rPr>
        <w:t xml:space="preserve"> Sub-Provider and Tenant Guide</w:t>
      </w:r>
      <w:r>
        <w:t>.</w:t>
      </w:r>
    </w:p>
    <w:p>
      <w:pPr>
        <w:pStyle w:val="Heading3"/>
      </w:pPr>
      <w:bookmarkStart w:id="261" w:name="_Toc256000634"/>
      <w:r>
        <w:t>Allocate Floating IP Addresses To an IP Space in Your VCF Automation</w:t>
      </w:r>
      <w:bookmarkEnd w:id="261"/>
    </w:p>
    <w:p>
      <w:pPr>
        <w:pStyle w:val="BodyText"/>
      </w:pPr>
      <w:r>
        <w:t xml:space="preserve">In </w:t>
      </w:r>
      <w:r>
        <w:t>VCF Automation</w:t>
      </w:r>
      <w:r>
        <w:t>, you can allocate IP addresses for individual use to an IP space.</w:t>
      </w:r>
    </w:p>
    <w:p>
      <w:pPr>
        <w:pStyle w:val="BodyText"/>
      </w:pPr>
      <w:r>
        <w:t>Floating IP address ranges are simple ranges of IP addresses from which IP addresses are pulled out individually.</w:t>
      </w:r>
    </w:p>
    <w:p>
      <w:pPr>
        <w:pStyle w:val="BodyText"/>
      </w:pPr>
      <w:r>
        <w:rPr>
          <w:rStyle w:val="Strong"/>
        </w:rPr>
        <w:t>Prerequisites</w:t>
      </w:r>
    </w:p>
    <w:p>
      <w:pPr>
        <w:pStyle w:val="BodyText"/>
        <w:numPr>
          <w:numId w:val="239"/>
        </w:numPr>
      </w:pPr>
      <w:r>
        <w:t>Verify that you have added at least one IP range in the IP space.</w:t>
      </w:r>
    </w:p>
    <w:p>
      <w:pPr>
        <w:pStyle w:val="BodyText"/>
        <w:numPr>
          <w:numId w:val="239"/>
        </w:numPr>
      </w:pPr>
      <w:r>
        <w:t xml:space="preserve">Verify that your role includes the </w:t>
      </w:r>
      <w:r>
        <w:rPr>
          <w:rStyle w:val="InlineUI"/>
        </w:rPr>
        <w:t>IP Spaces:View</w:t>
      </w:r>
      <w:r>
        <w:t xml:space="preserve"> and </w:t>
      </w:r>
      <w:r>
        <w:rPr>
          <w:rStyle w:val="InlineUI"/>
        </w:rPr>
        <w:t>IP Spaces:Configure</w:t>
      </w:r>
      <w:r>
        <w:t xml:space="preserve"> rights.</w:t>
      </w:r>
    </w:p>
    <w:p>
      <w:pPr>
        <w:pStyle w:val="BodyText"/>
      </w:pPr>
      <w:r>
        <w:rPr>
          <w:rStyle w:val="Strong"/>
        </w:rPr>
        <w:t>Procedure</w:t>
      </w:r>
    </w:p>
    <w:p>
      <w:pPr>
        <w:pStyle w:val="BodyText"/>
        <w:numPr>
          <w:numId w:val="240"/>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40"/>
        </w:numPr>
      </w:pPr>
      <w:r>
        <w:t xml:space="preserve">In the left pane, click </w:t>
      </w:r>
      <w:r>
        <w:rPr>
          <w:rStyle w:val="InlineUI"/>
        </w:rPr>
        <w:t>IP Spaces</w:t>
      </w:r>
      <w:r>
        <w:t>.</w:t>
      </w:r>
    </w:p>
    <w:p>
      <w:pPr>
        <w:pStyle w:val="BodyText"/>
        <w:numPr>
          <w:numId w:val="240"/>
        </w:numPr>
      </w:pPr>
      <w:r>
        <w:t>Click the name of the IP space to which you want to allocate floating IP addresses.</w:t>
      </w:r>
    </w:p>
    <w:p>
      <w:pPr>
        <w:pStyle w:val="BodyText"/>
        <w:numPr>
          <w:numId w:val="240"/>
        </w:numPr>
      </w:pPr>
      <w:r>
        <w:t xml:space="preserve">Click </w:t>
      </w:r>
      <w:r>
        <w:rPr>
          <w:rStyle w:val="InlineUI"/>
        </w:rPr>
        <w:t>Quota</w:t>
      </w:r>
      <w:r>
        <w:t xml:space="preserve"> and click </w:t>
      </w:r>
      <w:r>
        <w:rPr>
          <w:rStyle w:val="InlineUI"/>
        </w:rPr>
        <w:t>Edit</w:t>
      </w:r>
      <w:r>
        <w:t>.</w:t>
      </w:r>
    </w:p>
    <w:p>
      <w:pPr>
        <w:pStyle w:val="BodyText"/>
        <w:numPr>
          <w:numId w:val="240"/>
        </w:numPr>
      </w:pPr>
      <w:r>
        <w:t>Choose one of the following.</w:t>
      </w:r>
    </w:p>
    <w:p>
      <w:pPr>
        <w:pStyle w:val="BodyText"/>
        <w:numPr>
          <w:ilvl w:val="1"/>
          <w:numId w:val="240"/>
        </w:numPr>
      </w:pPr>
      <w:r>
        <w:t>Enter a number of floating IPs to allocate to the IP space.</w:t>
      </w:r>
    </w:p>
    <w:p>
      <w:pPr>
        <w:pStyle w:val="BodyText"/>
        <w:numPr>
          <w:ilvl w:val="1"/>
          <w:numId w:val="240"/>
        </w:numPr>
      </w:pPr>
      <w:r>
        <w:t xml:space="preserve">Select the </w:t>
      </w:r>
      <w:r>
        <w:rPr>
          <w:rStyle w:val="InlineUI"/>
        </w:rPr>
        <w:t>Unlimited</w:t>
      </w:r>
      <w:r>
        <w:t xml:space="preserve"> check box.</w:t>
      </w:r>
    </w:p>
    <w:p>
      <w:pPr>
        <w:pStyle w:val="BodyText"/>
        <w:numPr>
          <w:numId w:val="240"/>
        </w:numPr>
      </w:pPr>
      <w:r>
        <w:t xml:space="preserve">Click </w:t>
      </w:r>
      <w:r>
        <w:rPr>
          <w:rStyle w:val="InlineUI"/>
        </w:rPr>
        <w:t>Save</w:t>
      </w:r>
      <w:r>
        <w:t>.</w:t>
      </w:r>
    </w:p>
    <w:p>
      <w:pPr>
        <w:pStyle w:val="Heading3"/>
      </w:pPr>
      <w:bookmarkStart w:id="262" w:name="_Toc256000635"/>
      <w:r>
        <w:t>Allocate IP Prefixes To an IP Space in Your VCF Automation</w:t>
      </w:r>
      <w:bookmarkEnd w:id="262"/>
    </w:p>
    <w:p>
      <w:pPr>
        <w:pStyle w:val="BodyText"/>
      </w:pPr>
      <w:r>
        <w:t xml:space="preserve">In </w:t>
      </w:r>
      <w:r>
        <w:t>VCF Automation</w:t>
      </w:r>
      <w:r>
        <w:t>, you can allocate IP prefixes to an IP space to be used for the configuration of networks.</w:t>
      </w:r>
    </w:p>
    <w:p>
      <w:pPr>
        <w:pStyle w:val="BodyText"/>
      </w:pPr>
      <w:r>
        <w:t>An IP prefix block is defined by the starting block of the sequence - the IP prefix, and the number of IP prefix blocks in that sequence.</w:t>
      </w:r>
    </w:p>
    <w:p>
      <w:pPr>
        <w:pStyle w:val="BodyText"/>
      </w:pPr>
      <w:r>
        <w:rPr>
          <w:rStyle w:val="Strong"/>
        </w:rPr>
        <w:t>Prerequisites</w:t>
      </w:r>
    </w:p>
    <w:p>
      <w:pPr>
        <w:pStyle w:val="BodyText"/>
      </w:pPr>
      <w:r>
        <w:t xml:space="preserve">Verify that your role includes the </w:t>
      </w:r>
      <w:r>
        <w:rPr>
          <w:rStyle w:val="InlineUI"/>
        </w:rPr>
        <w:t>IP Spaces:View</w:t>
      </w:r>
      <w:r>
        <w:t xml:space="preserve"> and </w:t>
      </w:r>
      <w:r>
        <w:rPr>
          <w:rStyle w:val="InlineUI"/>
        </w:rPr>
        <w:t>IP Spaces:Configure</w:t>
      </w:r>
      <w:r>
        <w:t xml:space="preserve"> rights.</w:t>
      </w:r>
    </w:p>
    <w:p>
      <w:pPr>
        <w:pStyle w:val="BodyText"/>
      </w:pPr>
      <w:r>
        <w:rPr>
          <w:rStyle w:val="Strong"/>
        </w:rPr>
        <w:t>Procedure</w:t>
      </w:r>
    </w:p>
    <w:p>
      <w:pPr>
        <w:pStyle w:val="BodyText"/>
        <w:numPr>
          <w:numId w:val="241"/>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41"/>
        </w:numPr>
      </w:pPr>
      <w:r>
        <w:t xml:space="preserve">In the left pane, click </w:t>
      </w:r>
      <w:r>
        <w:rPr>
          <w:rStyle w:val="InlineUI"/>
        </w:rPr>
        <w:t>IP Spaces</w:t>
      </w:r>
      <w:r>
        <w:t>.</w:t>
      </w:r>
    </w:p>
    <w:p>
      <w:pPr>
        <w:pStyle w:val="BodyText"/>
        <w:numPr>
          <w:numId w:val="241"/>
        </w:numPr>
      </w:pPr>
      <w:r>
        <w:t>Click the name of the IP space to which you want to allocate IP prefixes.</w:t>
      </w:r>
    </w:p>
    <w:p>
      <w:pPr>
        <w:pStyle w:val="BodyText"/>
        <w:numPr>
          <w:numId w:val="241"/>
        </w:numPr>
      </w:pPr>
      <w:r>
        <w:t xml:space="preserve">Click </w:t>
      </w:r>
      <w:r>
        <w:rPr>
          <w:rStyle w:val="InlineUI"/>
        </w:rPr>
        <w:t>General</w:t>
      </w:r>
      <w:r>
        <w:t xml:space="preserve"> and scroll down to the IP Prefixes section.</w:t>
      </w:r>
    </w:p>
    <w:p>
      <w:pPr>
        <w:pStyle w:val="BodyText"/>
        <w:numPr>
          <w:numId w:val="241"/>
        </w:numPr>
      </w:pPr>
      <w:r>
        <w:t xml:space="preserve">Click </w:t>
      </w:r>
      <w:r>
        <w:rPr>
          <w:rStyle w:val="InlineUI"/>
        </w:rPr>
        <w:t>Edit</w:t>
      </w:r>
      <w:r>
        <w:t>.</w:t>
      </w:r>
    </w:p>
    <w:p>
      <w:pPr>
        <w:pStyle w:val="BodyText"/>
        <w:numPr>
          <w:numId w:val="241"/>
        </w:numPr>
      </w:pPr>
      <w:r>
        <w:t xml:space="preserve">Click </w:t>
      </w:r>
      <w:r>
        <w:rPr>
          <w:rStyle w:val="InlineUI"/>
        </w:rPr>
        <w:t>Add</w:t>
      </w:r>
      <w:r>
        <w:t>.</w:t>
      </w:r>
    </w:p>
    <w:p>
      <w:pPr>
        <w:pStyle w:val="BodyText"/>
        <w:numPr>
          <w:numId w:val="241"/>
        </w:numPr>
      </w:pPr>
      <w:r>
        <w:t>Add the first IP address of the IP prefix sequence.</w:t>
      </w:r>
    </w:p>
    <w:p>
      <w:pPr>
        <w:pStyle w:val="BodyText"/>
        <w:numPr>
          <w:numId w:val="241"/>
        </w:numPr>
      </w:pPr>
      <w:r>
        <w:t>Enter a number of prefixes that you want to allocate.</w:t>
      </w:r>
    </w:p>
    <w:p>
      <w:pPr>
        <w:pStyle w:val="BodyText"/>
        <w:numPr>
          <w:numId w:val="241"/>
        </w:numPr>
      </w:pPr>
      <w:r>
        <w:t xml:space="preserve">Click </w:t>
      </w:r>
      <w:r>
        <w:rPr>
          <w:rStyle w:val="InlineUI"/>
        </w:rPr>
        <w:t>Save</w:t>
      </w:r>
      <w:r>
        <w:t>.</w:t>
      </w:r>
    </w:p>
    <w:p>
      <w:pPr>
        <w:pStyle w:val="Heading3"/>
      </w:pPr>
      <w:bookmarkStart w:id="263" w:name="Beb6b0d9fd6764ee5859d180a7050a6e5"/>
      <w:bookmarkStart w:id="264" w:name="_Toc256000636"/>
      <w:r>
        <w:t>Configure the Network Topology For an IP Space in Your VCF Automation</w:t>
      </w:r>
      <w:bookmarkEnd w:id="264"/>
      <w:bookmarkEnd w:id="263"/>
    </w:p>
    <w:p>
      <w:pPr>
        <w:pStyle w:val="BodyText"/>
      </w:pPr>
      <w:r>
        <w:t xml:space="preserve">You can use your </w:t>
      </w:r>
      <w:r>
        <w:t>VCF Automation Provider Management Portal</w:t>
      </w:r>
      <w:r>
        <w:t xml:space="preserve"> VMware Cloud Director Tenant Portal</w:t>
      </w:r>
      <w:r>
        <w:t xml:space="preserve"> to help enable north-south traffic within your environment by configuring the network topology for the IP spaces in it.</w:t>
      </w:r>
    </w:p>
    <w:p>
      <w:pPr>
        <w:pStyle w:val="BodyText"/>
      </w:pPr>
      <w:r>
        <w:rPr>
          <w:rStyle w:val="Strong"/>
        </w:rPr>
        <w:t>Prerequisites</w:t>
      </w:r>
    </w:p>
    <w:p>
      <w:pPr>
        <w:pStyle w:val="BodyText"/>
        <w:numPr>
          <w:numId w:val="242"/>
        </w:numPr>
      </w:pPr>
      <w:r>
        <w:t xml:space="preserve">Verify that your role includes the </w:t>
      </w:r>
      <w:r>
        <w:rPr>
          <w:rStyle w:val="InlineUI"/>
        </w:rPr>
        <w:t>IP Spaces:View</w:t>
      </w:r>
      <w:r>
        <w:t xml:space="preserve"> and </w:t>
      </w:r>
      <w:r>
        <w:rPr>
          <w:rStyle w:val="InlineUI"/>
        </w:rPr>
        <w:t>IP Spaces:Configure</w:t>
      </w:r>
      <w:r>
        <w:t xml:space="preserve"> rights.</w:t>
      </w:r>
    </w:p>
    <w:p>
      <w:pPr>
        <w:pStyle w:val="BodyText"/>
        <w:numPr>
          <w:numId w:val="243"/>
        </w:numPr>
      </w:pPr>
      <w:r>
        <w:t>Verify that you own the private IP space that you want to edit.</w:t>
      </w:r>
    </w:p>
    <w:p>
      <w:pPr>
        <w:pStyle w:val="BodyText"/>
      </w:pPr>
      <w:r>
        <w:rPr>
          <w:rStyle w:val="Strong"/>
        </w:rPr>
        <w:t>Procedure</w:t>
      </w:r>
    </w:p>
    <w:p>
      <w:pPr>
        <w:pStyle w:val="BodyText"/>
        <w:numPr>
          <w:numId w:val="244"/>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44"/>
        </w:numPr>
      </w:pPr>
      <w:r>
        <w:t xml:space="preserve">From the secondary left panel, select </w:t>
      </w:r>
      <w:r>
        <w:rPr>
          <w:rStyle w:val="InlineUI"/>
        </w:rPr>
        <w:t>IP Spaces</w:t>
      </w:r>
      <w:r>
        <w:t>.</w:t>
      </w:r>
    </w:p>
    <w:p>
      <w:pPr>
        <w:pStyle w:val="BodyText"/>
        <w:numPr>
          <w:numId w:val="244"/>
        </w:numPr>
      </w:pPr>
      <w:r>
        <w:t xml:space="preserve">Click the name of the IP space and, under Configuration, click </w:t>
      </w:r>
      <w:r>
        <w:rPr>
          <w:rStyle w:val="InlineUI"/>
        </w:rPr>
        <w:t>Network Topology</w:t>
      </w:r>
      <w:r>
        <w:t>.</w:t>
      </w:r>
    </w:p>
    <w:p>
      <w:pPr>
        <w:pStyle w:val="BodyText"/>
        <w:numPr>
          <w:numId w:val="244"/>
        </w:numPr>
      </w:pPr>
      <w:r>
        <w:t xml:space="preserve">Click </w:t>
      </w:r>
      <w:r>
        <w:rPr>
          <w:rStyle w:val="InlineUI"/>
        </w:rPr>
        <w:t>Edit</w:t>
      </w:r>
      <w:r>
        <w:t>.</w:t>
      </w:r>
    </w:p>
    <w:p>
      <w:pPr>
        <w:pStyle w:val="BodyText"/>
        <w:numPr>
          <w:numId w:val="244"/>
        </w:numPr>
      </w:pPr>
      <w:r>
        <w:t xml:space="preserve">Select the </w:t>
      </w:r>
      <w:r>
        <w:rPr>
          <w:rStyle w:val="InlineUI"/>
        </w:rPr>
        <w:t>Route Advertisement Allowed</w:t>
      </w:r>
      <w:r>
        <w:t xml:space="preserve"> check box to enable route advertisement if routed networks associated with this IP Space need to be advertised from the edge gateway to the provider gateway.</w:t>
      </w:r>
    </w:p>
    <w:p>
      <w:pPr>
        <w:pStyle w:val="BodyText"/>
        <w:numPr>
          <w:numId w:val="244"/>
        </w:numPr>
      </w:pPr>
      <w:r>
        <w:t>Configure default autoconfiguration rules.</w:t>
      </w:r>
    </w:p>
    <w:p>
      <w:pPr>
        <w:pStyle w:val="BodyText"/>
        <w:ind w:left="480"/>
      </w:pPr>
      <w:r>
        <w:t>To autogenerate default NAT rules, you must configure both the internal and the external scope of this IP space.</w:t>
      </w:r>
    </w:p>
    <w:p>
      <w:pPr>
        <w:pStyle w:val="BodyText"/>
        <w:numPr>
          <w:ilvl w:val="1"/>
          <w:numId w:val="244"/>
        </w:numPr>
      </w:pPr>
      <w:r>
        <w:t>Select the check box to enable the creation of a default SNAT rule.</w:t>
      </w:r>
    </w:p>
    <w:p>
      <w:pPr>
        <w:pStyle w:val="BodyText"/>
        <w:numPr>
          <w:ilvl w:val="1"/>
          <w:numId w:val="244"/>
        </w:numPr>
      </w:pPr>
      <w:r>
        <w:t>Select the check box to enable the creation of a default NO SNAT rule.</w:t>
      </w:r>
    </w:p>
    <w:p>
      <w:pPr>
        <w:pStyle w:val="BodyText"/>
        <w:numPr>
          <w:ilvl w:val="1"/>
          <w:numId w:val="244"/>
        </w:numPr>
      </w:pPr>
      <w:r>
        <w:t>Select the check box to enable the creation of a matching firewall rule for each default NAT rule.</w:t>
      </w:r>
    </w:p>
    <w:p>
      <w:pPr>
        <w:pStyle w:val="BodyText"/>
        <w:numPr>
          <w:numId w:val="244"/>
        </w:numPr>
      </w:pPr>
      <w:r>
        <w:t xml:space="preserve">Click </w:t>
      </w:r>
      <w:r>
        <w:rPr>
          <w:rStyle w:val="InlineUI"/>
        </w:rPr>
        <w:t>Save</w:t>
      </w:r>
      <w:r>
        <w:t>.</w:t>
      </w:r>
    </w:p>
    <w:p>
      <w:pPr>
        <w:pStyle w:val="BodyText"/>
      </w:pPr>
      <w:r>
        <w:rPr>
          <w:rStyle w:val="Strong"/>
        </w:rPr>
        <w:t>What to do next</w:t>
      </w:r>
    </w:p>
    <w:p>
      <w:pPr>
        <w:pStyle w:val="BodyText"/>
      </w:pPr>
      <w:r>
        <w:t xml:space="preserve">You can now autoconfigure default NAT and associated firewall rules for this IP space on either the edge gateway or the provider gateway that are associated with it. See </w:t>
      </w:r>
      <w:r>
        <w:t>Autoconfigure Default NAT and Firewall Rules on a Provider Gateway in Your VCF Automation</w:t>
      </w:r>
      <w:r>
        <w:t xml:space="preserve"> and </w:t>
      </w:r>
      <w:r>
        <w:t>Autoconfigure NAT and Firewall Rules on an Edge Gateway in</w:t>
      </w:r>
      <w:r>
        <w:t>.</w:t>
      </w:r>
    </w:p>
    <w:p>
      <w:pPr>
        <w:pStyle w:val="Heading2"/>
      </w:pPr>
      <w:bookmarkStart w:id="265" w:name="_Toc256000637"/>
      <w:r>
        <w:t>Managing NSX Tenancy in VCF Automation Provider Management PortalNeeds update. Please provide info on how to change it.</w:t>
      </w:r>
      <w:bookmarkEnd w:id="265"/>
    </w:p>
    <w:p>
      <w:pPr>
        <w:pStyle w:val="BodyText"/>
      </w:pPr>
      <w:r>
        <w:t>VCF Automation</w:t>
      </w:r>
      <w:r>
        <w:t xml:space="preserve"> offers support for </w:t>
      </w:r>
      <w:r>
        <w:t>NSX</w:t>
      </w:r>
      <w:r>
        <w:t xml:space="preserve"> multitenancy by mapping organizations directly to </w:t>
      </w:r>
      <w:r>
        <w:t>NSX</w:t>
      </w:r>
      <w:r>
        <w:t xml:space="preserve"> projects.</w:t>
      </w:r>
    </w:p>
    <w:p>
      <w:pPr>
        <w:pStyle w:val="BodyText"/>
      </w:pPr>
      <w:r>
        <w:t xml:space="preserve">You can learn more about </w:t>
      </w:r>
      <w:r>
        <w:t>NSX</w:t>
      </w:r>
      <w:r>
        <w:t xml:space="preserve"> projects by familiarizing yourself with the relevant </w:t>
      </w:r>
      <w:r>
        <w:rPr>
          <w:rStyle w:val="InlineCite"/>
        </w:rPr>
        <w:t>NSX Projects</w:t>
      </w:r>
      <w:r>
        <w:t xml:space="preserve"> documentation in the </w:t>
      </w:r>
      <w:hyperlink r:id="rId30" w:tooltip="NSX Administration Guide" w:history="1">
        <w:r>
          <w:rPr>
            <w:color w:val="0000FF"/>
            <w:u w:val="single"/>
          </w:rPr>
          <w:t>NSX Administration Guide</w:t>
        </w:r>
      </w:hyperlink>
      <w:r>
        <w:t>.</w:t>
      </w:r>
    </w:p>
    <w:p>
      <w:pPr>
        <w:pStyle w:val="BodyText"/>
      </w:pPr>
      <w:r>
        <w:t xml:space="preserve">To use </w:t>
      </w:r>
      <w:r>
        <w:t>NSX</w:t>
      </w:r>
      <w:r>
        <w:t xml:space="preserve"> tenancy in the context of </w:t>
      </w:r>
      <w:r>
        <w:t>VCF Automation</w:t>
      </w:r>
      <w:r>
        <w:t xml:space="preserve">, begin by activating </w:t>
      </w:r>
      <w:r>
        <w:t>NSX</w:t>
      </w:r>
      <w:r>
        <w:t xml:space="preserve"> tenancy for an organization.</w:t>
      </w:r>
    </w:p>
    <w:p>
      <w:pPr>
        <w:pStyle w:val="BodyText"/>
      </w:pPr>
      <w:r>
        <w:t xml:space="preserve">After that, you can opt in or out of using </w:t>
      </w:r>
      <w:r>
        <w:t>NSX</w:t>
      </w:r>
      <w:r>
        <w:t xml:space="preserve"> tenancy when you create VDCs in this organization. The </w:t>
      </w:r>
      <w:r>
        <w:t>NSX</w:t>
      </w:r>
      <w:r>
        <w:t xml:space="preserve"> project is actually created during the creation of the first VDC in the organization for which you activated </w:t>
      </w:r>
      <w:r>
        <w:t>NSX</w:t>
      </w:r>
      <w:r>
        <w:t xml:space="preserve"> tenancy. The name of the </w:t>
      </w:r>
      <w:r>
        <w:t>NSX</w:t>
      </w:r>
      <w:r>
        <w:t xml:space="preserve"> project is the same as the name of the organization to which it is mapped.</w:t>
      </w:r>
    </w:p>
    <w:p>
      <w:pPr>
        <w:pStyle w:val="BodyText"/>
      </w:pPr>
      <w:r>
        <w:t xml:space="preserve">In the diagram, the Sales and Marketing </w:t>
      </w:r>
      <w:r>
        <w:t>VCF Automation</w:t>
      </w:r>
      <w:r>
        <w:t xml:space="preserve"> organizations are mapped to the corresponding </w:t>
      </w:r>
      <w:r>
        <w:t>NSX</w:t>
      </w:r>
      <w:r>
        <w:t xml:space="preserve"> projects. All </w:t>
      </w:r>
      <w:r>
        <w:t>NSX</w:t>
      </w:r>
      <w:r>
        <w:t xml:space="preserve"> components created within the organization context are part of the </w:t>
      </w:r>
      <w:r>
        <w:t>NSX</w:t>
      </w:r>
      <w:r>
        <w:t xml:space="preserve"> project. The provider (tier-0) gateway is associated to the </w:t>
      </w:r>
      <w:r>
        <w:t>NSX</w:t>
      </w:r>
      <w:r>
        <w:t xml:space="preserve"> project but it is not part of it, providing connectivity to local Edge gateways and to direct </w:t>
      </w:r>
      <w:r>
        <w:t>NSX</w:t>
      </w:r>
      <w:r>
        <w:t xml:space="preserve"> networks, if necessary. An external network connection is available to the Marketing Org through a direct network. There are no restrictions on whether the backing segments for the imported and external networks are within the </w:t>
      </w:r>
      <w:r>
        <w:t>NSX</w:t>
      </w:r>
      <w:r>
        <w:t xml:space="preserve"> project or not.</w:t>
      </w:r>
    </w:p>
    <w:p>
      <w:pPr>
        <w:pStyle w:val="BodyText"/>
      </w:pPr>
      <w:r>
        <w:t xml:space="preserve">If you choose not to activate </w:t>
      </w:r>
      <w:r>
        <w:t>NSX</w:t>
      </w:r>
      <w:r>
        <w:t xml:space="preserve"> tenancy during the creation of an organization VDC, you cannot change this setting later.</w:t>
      </w:r>
    </w:p>
    <w:p>
      <w:pPr>
        <w:pStyle w:val="BodyText"/>
      </w:pPr>
      <w:r>
        <w:t xml:space="preserve">Some use cases do not require organization VDC participation in </w:t>
      </w:r>
      <w:r>
        <w:t>NSX</w:t>
      </w:r>
      <w:r>
        <w:t xml:space="preserve"> tenancy, for example, if the VDC only needs VLAN networks. Additionally, organization VDCs using NSX tenancy are restricted to using the network pool that is backed by the default overlay transport zone, so, in order to be able to use a different network pool, you might wish to opt out of NSX tenancy.</w:t>
      </w:r>
    </w:p>
    <w:p>
      <w:pPr>
        <w:pStyle w:val="BodyText"/>
      </w:pPr>
      <w:r>
        <w:t xml:space="preserve">If you opt into </w:t>
      </w:r>
      <w:r>
        <w:t>NSX</w:t>
      </w:r>
      <w:r>
        <w:t xml:space="preserve"> tenancy during the creation of an organization VDC, you cannot change its network pool later. However, you may still add external network connections to edge gateways and create imported networks within the VDC.</w:t>
      </w:r>
    </w:p>
    <w:p>
      <w:pPr>
        <w:pStyle w:val="BodyText"/>
      </w:pPr>
      <w:r>
        <w:t xml:space="preserve">You can deactivate </w:t>
      </w:r>
      <w:r>
        <w:t>NSX</w:t>
      </w:r>
      <w:r>
        <w:t xml:space="preserve"> tenancy for an organization only after you delete all its affiliated VDCs and data center groups with active </w:t>
      </w:r>
      <w:r>
        <w:t>NSX</w:t>
      </w:r>
      <w:r>
        <w:t xml:space="preserve"> tenancy.</w:t>
      </w:r>
    </w:p>
    <w:p>
      <w:pPr>
        <w:pStyle w:val="BodyText"/>
        <w:pBdr>
          <w:top w:val="single" w:sz="8" w:space="2" w:color="D3D3D3"/>
          <w:bottom w:val="single" w:sz="8" w:space="2" w:color="D3D3D3"/>
        </w:pBdr>
      </w:pPr>
      <w:r>
        <w:rPr>
          <w:rStyle w:val="NoteLeadernote"/>
        </w:rPr>
        <w:t>Note</w:t>
        <w:tab/>
      </w:r>
      <w:r>
        <w:t xml:space="preserve">When you enable </w:t>
      </w:r>
      <w:r>
        <w:t>NSX</w:t>
      </w:r>
      <w:r>
        <w:t xml:space="preserve"> tenancy for an organization, any organization VDCs that you create after that have </w:t>
      </w:r>
      <w:r>
        <w:t>NSX</w:t>
      </w:r>
      <w:r>
        <w:t xml:space="preserve"> tenancy enabled by default. For existing organization VDCs and VDC groups, </w:t>
      </w:r>
      <w:r>
        <w:t>NSX</w:t>
      </w:r>
      <w:r>
        <w:t xml:space="preserve"> tenancy is not enabled.</w:t>
      </w:r>
    </w:p>
    <w:p>
      <w:pPr>
        <w:pStyle w:val="Heading3"/>
      </w:pPr>
      <w:bookmarkStart w:id="266" w:name="_Toc256000638"/>
      <w:r>
        <w:t>Activate NSX Tenancy for an Organization in VCF Automation Provider Management Portal</w:t>
      </w:r>
      <w:bookmarkEnd w:id="266"/>
    </w:p>
    <w:p>
      <w:pPr>
        <w:pStyle w:val="BodyText"/>
      </w:pPr>
      <w:r>
        <w:t xml:space="preserve">To use </w:t>
      </w:r>
      <w:r>
        <w:t>NSX</w:t>
      </w:r>
      <w:r>
        <w:t xml:space="preserve"> tenancy in the context of </w:t>
      </w:r>
      <w:r>
        <w:t>VCF Automation</w:t>
      </w:r>
      <w:r>
        <w:t xml:space="preserve">, first you define the </w:t>
      </w:r>
      <w:r>
        <w:t>NSX</w:t>
      </w:r>
      <w:r>
        <w:t xml:space="preserve"> project in </w:t>
      </w:r>
      <w:r>
        <w:t>VCF Automation</w:t>
      </w:r>
      <w:r>
        <w:t xml:space="preserve"> by activating </w:t>
      </w:r>
      <w:r>
        <w:t>NSX</w:t>
      </w:r>
      <w:r>
        <w:t xml:space="preserve"> tenancy for an organization.</w:t>
      </w:r>
    </w:p>
    <w:p>
      <w:pPr>
        <w:pStyle w:val="BodyText"/>
      </w:pPr>
      <w:r>
        <w:rPr>
          <w:rStyle w:val="Strong"/>
        </w:rPr>
        <w:t>Prerequisites</w:t>
      </w:r>
    </w:p>
    <w:p>
      <w:pPr>
        <w:pStyle w:val="BodyText"/>
        <w:numPr>
          <w:numId w:val="245"/>
        </w:numPr>
      </w:pPr>
      <w:r>
        <w:t xml:space="preserve">Verify that you configured a default overlay transport zone in </w:t>
      </w:r>
      <w:r>
        <w:t>NSX</w:t>
      </w:r>
      <w:r>
        <w:t xml:space="preserve">. See </w:t>
      </w:r>
      <w:r>
        <w:rPr>
          <w:rStyle w:val="InlineCite"/>
        </w:rPr>
        <w:t>Create Transport Zones</w:t>
      </w:r>
      <w:r>
        <w:t xml:space="preserve"> in the </w:t>
      </w:r>
      <w:hyperlink r:id="rId31" w:tooltip="NSX Installation Guide" w:history="1">
        <w:r>
          <w:rPr>
            <w:color w:val="0000FF"/>
            <w:u w:val="single"/>
          </w:rPr>
          <w:t>NSX Installation Guide</w:t>
        </w:r>
      </w:hyperlink>
    </w:p>
    <w:p>
      <w:pPr>
        <w:pStyle w:val="BodyText"/>
        <w:numPr>
          <w:numId w:val="245"/>
        </w:numPr>
      </w:pPr>
      <w:r>
        <w:t xml:space="preserve">Verify that you created a network pool that is backed by the default overlay transport zone that you created. See </w:t>
      </w:r>
      <w:r>
        <w:t>Geneve Network Pools in Your</w:t>
      </w:r>
      <w:r>
        <w:t>.</w:t>
      </w:r>
    </w:p>
    <w:p>
      <w:pPr>
        <w:pStyle w:val="BodyText"/>
        <w:numPr>
          <w:numId w:val="245"/>
        </w:numPr>
      </w:pPr>
      <w:r>
        <w:t>Verify that your role includes the</w:t>
      </w:r>
      <w:r>
        <w:rPr>
          <w:rStyle w:val="InlineUI"/>
        </w:rPr>
        <w:t>Organization: Edit Properties</w:t>
      </w:r>
      <w:r>
        <w:t xml:space="preserve"> right.</w:t>
      </w:r>
    </w:p>
    <w:p>
      <w:pPr>
        <w:pStyle w:val="BodyText"/>
      </w:pPr>
      <w:r>
        <w:rPr>
          <w:rStyle w:val="Strong"/>
        </w:rPr>
        <w:t>Procedure</w:t>
      </w:r>
    </w:p>
    <w:p>
      <w:pPr>
        <w:pStyle w:val="BodyText"/>
        <w:numPr>
          <w:numId w:val="246"/>
        </w:numPr>
      </w:pPr>
      <w:r>
        <w:t xml:space="preserve">From the primary left navigation panel, select </w:t>
      </w:r>
      <w:r>
        <w:rPr>
          <w:rStyle w:val="InlineUI"/>
        </w:rPr>
        <w:t>Resources</w:t>
      </w:r>
      <w:r>
        <w:t xml:space="preserve">, and from the page top navigation bar, select </w:t>
      </w:r>
      <w:r>
        <w:rPr>
          <w:rStyle w:val="InlineUI"/>
        </w:rPr>
        <w:t>Cloud Resources</w:t>
      </w:r>
      <w:r>
        <w:t>.</w:t>
      </w:r>
    </w:p>
    <w:p>
      <w:pPr>
        <w:pStyle w:val="BodyText"/>
        <w:numPr>
          <w:numId w:val="246"/>
        </w:numPr>
      </w:pPr>
      <w:r>
        <w:t xml:space="preserve">From the secondary left panel, select </w:t>
      </w:r>
      <w:r>
        <w:rPr>
          <w:rStyle w:val="InlineUI"/>
        </w:rPr>
        <w:t>Organizations</w:t>
      </w:r>
      <w:r>
        <w:t>.</w:t>
      </w:r>
    </w:p>
    <w:p>
      <w:pPr>
        <w:pStyle w:val="BodyText"/>
        <w:numPr>
          <w:numId w:val="246"/>
        </w:numPr>
      </w:pPr>
      <w:r>
        <w:t>Click the name of the organization.</w:t>
      </w:r>
    </w:p>
    <w:p>
      <w:pPr>
        <w:pStyle w:val="BodyText"/>
        <w:numPr>
          <w:numId w:val="246"/>
        </w:numPr>
      </w:pPr>
      <w:r>
        <w:t xml:space="preserve">Under Networking, click </w:t>
      </w:r>
      <w:r>
        <w:rPr>
          <w:rStyle w:val="InlineUI"/>
        </w:rPr>
        <w:t>NSX Tenancy</w:t>
      </w:r>
      <w:r>
        <w:t>.</w:t>
      </w:r>
    </w:p>
    <w:p>
      <w:pPr>
        <w:pStyle w:val="BodyText"/>
        <w:numPr>
          <w:numId w:val="246"/>
        </w:numPr>
      </w:pPr>
      <w:r>
        <w:t xml:space="preserve">Click </w:t>
      </w:r>
      <w:r>
        <w:rPr>
          <w:rStyle w:val="InlineUI"/>
        </w:rPr>
        <w:t>Edit</w:t>
      </w:r>
      <w:r>
        <w:t>.</w:t>
      </w:r>
    </w:p>
    <w:p>
      <w:pPr>
        <w:pStyle w:val="BodyText"/>
        <w:numPr>
          <w:numId w:val="246"/>
        </w:numPr>
      </w:pPr>
      <w:r>
        <w:t xml:space="preserve">Toggle on the </w:t>
      </w:r>
      <w:r>
        <w:rPr>
          <w:rStyle w:val="InlineUI"/>
        </w:rPr>
        <w:t>Networking Tenancy</w:t>
      </w:r>
      <w:r>
        <w:t xml:space="preserve"> option.</w:t>
      </w:r>
    </w:p>
    <w:p>
      <w:pPr>
        <w:pStyle w:val="BodyText"/>
        <w:numPr>
          <w:numId w:val="246"/>
        </w:numPr>
      </w:pPr>
      <w:r>
        <w:t xml:space="preserve">(Optional) </w:t>
      </w:r>
      <w:r>
        <w:t xml:space="preserve">Enter a log name of up to eight characters for the </w:t>
      </w:r>
      <w:r>
        <w:t>NSX</w:t>
      </w:r>
      <w:r>
        <w:t xml:space="preserve"> project.</w:t>
      </w:r>
    </w:p>
    <w:p>
      <w:pPr>
        <w:pStyle w:val="BodyText"/>
        <w:ind w:left="480"/>
      </w:pPr>
      <w:r>
        <w:t xml:space="preserve">The log name is a globally unique identifier for the organization in the </w:t>
      </w:r>
      <w:r>
        <w:t>NSX</w:t>
      </w:r>
      <w:r>
        <w:t xml:space="preserve"> logs.</w:t>
      </w:r>
    </w:p>
    <w:p>
      <w:pPr>
        <w:pStyle w:val="BodyText"/>
        <w:numPr>
          <w:numId w:val="246"/>
        </w:numPr>
      </w:pPr>
      <w:r>
        <w:t xml:space="preserve">Click </w:t>
      </w:r>
      <w:r>
        <w:rPr>
          <w:rStyle w:val="InlineUI"/>
        </w:rPr>
        <w:t>Save</w:t>
      </w:r>
      <w:r>
        <w:t>.</w:t>
      </w:r>
    </w:p>
    <w:p>
      <w:pPr>
        <w:pStyle w:val="BodyText"/>
      </w:pPr>
      <w:r>
        <w:rPr>
          <w:rStyle w:val="Strong"/>
        </w:rPr>
        <w:t>What to do next</w:t>
      </w:r>
    </w:p>
    <w:p>
      <w:pPr>
        <w:pStyle w:val="BodyText"/>
        <w:numPr>
          <w:numId w:val="247"/>
        </w:numPr>
      </w:pPr>
      <w:r>
        <w:t>Create an Organization VDC That Uses Tenancy.</w:t>
      </w:r>
    </w:p>
    <w:p>
      <w:pPr>
        <w:pStyle w:val="BodyText"/>
        <w:numPr>
          <w:numId w:val="247"/>
        </w:numPr>
      </w:pPr>
      <w:r>
        <w:t xml:space="preserve">To use vApp network services within the project, assign an edge cluster to the organization VDC that uses </w:t>
      </w:r>
      <w:r>
        <w:t>NSX</w:t>
      </w:r>
      <w:r>
        <w:t xml:space="preserve"> tenancy. See </w:t>
      </w:r>
      <w:r>
        <w:t>Assign an Edge Cluster to a Organization Virtual Data Center</w:t>
      </w:r>
    </w:p>
    <w:p>
      <w:pPr>
        <w:pStyle w:val="BodyText"/>
        <w:numPr>
          <w:numId w:val="247"/>
        </w:numPr>
      </w:pPr>
      <w:r>
        <w:t xml:space="preserve">Create an </w:t>
      </w:r>
      <w:r>
        <w:t>NSX</w:t>
      </w:r>
      <w:r>
        <w:t xml:space="preserve"> edge gateway scoped to the organization VDC. See </w:t>
      </w:r>
      <w:r>
        <w:t>Add an Edge Gateway Backed by an Provider Gateway in</w:t>
      </w:r>
      <w:r>
        <w:t>.</w:t>
      </w:r>
    </w:p>
    <w:sectPr w:rsidSect="0078571F">
      <w:headerReference w:type="default" r:id="rId32"/>
      <w:footerReference w:type="default" r:id="rId33"/>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tropolis">
    <w:altName w:val="Calibri"/>
    <w:panose1 w:val="00000500000000000000"/>
    <w:charset w:val="00"/>
    <w:family w:val="auto"/>
    <w:pitch w:val="variable"/>
    <w:sig w:usb0="00000007" w:usb1="00000000" w:usb2="00000000" w:usb3="00000000" w:csb0="00000093" w:csb1="00000000"/>
  </w:font>
  <w:font w:name="Metropolis Medium">
    <w:altName w:val="Calibri"/>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AFF" w:usb1="C0007843" w:usb2="00000009" w:usb3="00000000" w:csb0="000001FF"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181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77777777">
    <w:pPr>
      <w:pStyle w:val="Header"/>
    </w:pPr>
    <w:r>
      <w:fldChar w:fldCharType="begin"/>
    </w:r>
    <w:r>
      <w:instrText xml:space="preserve"> TITLE   \* MERGEFORMAT </w:instrText>
    </w:r>
    <w:r>
      <w:fldChar w:fldCharType="separate"/>
    </w:r>
    <w:r>
      <w:t>VMware Pro Cloud Services - Provider Management Guide for VMware Cloud Foundation Automation</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hybridMultilevel"/>
    <w:tmpl w:val="7A0F56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7A0F566D"/>
    <w:multiLevelType w:val="multilevel"/>
    <w:tmpl w:val="7A0F566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7A0F566E"/>
    <w:multiLevelType w:val="multilevel"/>
    <w:tmpl w:val="7A0F566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70"/>
    <w:multiLevelType w:val="hybridMultilevel"/>
    <w:tmpl w:val="7A0F56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7A0F5671"/>
    <w:multiLevelType w:val="multilevel"/>
    <w:tmpl w:val="7A0F567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7A0F5672"/>
    <w:multiLevelType w:val="hybridMultilevel"/>
    <w:tmpl w:val="7A0F56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7A0F5673"/>
    <w:multiLevelType w:val="multilevel"/>
    <w:tmpl w:val="7A0F567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7A0F5674"/>
    <w:multiLevelType w:val="hybridMultilevel"/>
    <w:tmpl w:val="7A0F56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7A0F5675"/>
    <w:multiLevelType w:val="multilevel"/>
    <w:tmpl w:val="7A0F567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7A0F5676"/>
    <w:multiLevelType w:val="multilevel"/>
    <w:tmpl w:val="7A0F567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7A0F5677"/>
    <w:multiLevelType w:val="multilevel"/>
    <w:tmpl w:val="7A0F567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7A0F5678"/>
    <w:multiLevelType w:val="multilevel"/>
    <w:tmpl w:val="7A0F567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7A0F5679"/>
    <w:multiLevelType w:val="multilevel"/>
    <w:tmpl w:val="7A0F567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7A0F567A"/>
    <w:multiLevelType w:val="multilevel"/>
    <w:tmpl w:val="7A0F567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7A0F567B"/>
    <w:multiLevelType w:val="multilevel"/>
    <w:tmpl w:val="7A0F567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7A0F567C"/>
    <w:multiLevelType w:val="multilevel"/>
    <w:tmpl w:val="7A0F567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7A0F567D"/>
    <w:multiLevelType w:val="multilevel"/>
    <w:tmpl w:val="7A0F567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7A0F567E"/>
    <w:multiLevelType w:val="multilevel"/>
    <w:tmpl w:val="7A0F567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7A0F567F"/>
    <w:multiLevelType w:val="multilevel"/>
    <w:tmpl w:val="7A0F567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7A0F5680"/>
    <w:multiLevelType w:val="multilevel"/>
    <w:tmpl w:val="7A0F568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A0F5681"/>
    <w:multiLevelType w:val="multilevel"/>
    <w:tmpl w:val="7A0F568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3"/>
    <w:multiLevelType w:val="multilevel"/>
    <w:tmpl w:val="7A0F568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7A0F5684"/>
    <w:multiLevelType w:val="hybridMultilevel"/>
    <w:tmpl w:val="7A0F56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A0F5685"/>
    <w:multiLevelType w:val="multilevel"/>
    <w:tmpl w:val="7A0F568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7A0F5686"/>
    <w:multiLevelType w:val="multilevel"/>
    <w:tmpl w:val="7A0F568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7A0F5687"/>
    <w:multiLevelType w:val="hybridMultilevel"/>
    <w:tmpl w:val="7A0F56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A0F5688"/>
    <w:multiLevelType w:val="multilevel"/>
    <w:tmpl w:val="7A0F568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7A0F5689"/>
    <w:multiLevelType w:val="hybridMultilevel"/>
    <w:tmpl w:val="7A0F56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A0F568A"/>
    <w:multiLevelType w:val="hybridMultilevel"/>
    <w:tmpl w:val="7A0F56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A0F568B"/>
    <w:multiLevelType w:val="multilevel"/>
    <w:tmpl w:val="7A0F568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7A0F568C"/>
    <w:multiLevelType w:val="multilevel"/>
    <w:tmpl w:val="7A0F568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7A0F568D"/>
    <w:multiLevelType w:val="multilevel"/>
    <w:tmpl w:val="7A0F568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7A0F568E"/>
    <w:multiLevelType w:val="hybridMultilevel"/>
    <w:tmpl w:val="7A0F56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A0F568F"/>
    <w:multiLevelType w:val="hybridMultilevel"/>
    <w:tmpl w:val="7A0F56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pStyle w:val="ListBullet3"/>
      <w:lvlText w:val=""/>
      <w:lvlJc w:val="left"/>
      <w:pPr>
        <w:tabs>
          <w:tab w:val="num" w:pos="1440"/>
        </w:tabs>
        <w:ind w:left="1440" w:hanging="480"/>
      </w:pPr>
      <w:rPr>
        <w:rFonts w:ascii="Wingdings" w:eastAsia="Wingdings" w:hAnsi="Wingdings" w:cs="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A0F5690"/>
    <w:multiLevelType w:val="multilevel"/>
    <w:tmpl w:val="7A0F569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7A0F5691"/>
    <w:multiLevelType w:val="hybridMultilevel"/>
    <w:tmpl w:val="7A0F56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A0F5692"/>
    <w:multiLevelType w:val="hybridMultilevel"/>
    <w:tmpl w:val="7A0F56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A0F5693"/>
    <w:multiLevelType w:val="multilevel"/>
    <w:tmpl w:val="7A0F569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7A0F5694"/>
    <w:multiLevelType w:val="multilevel"/>
    <w:tmpl w:val="7A0F569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7A0F5695"/>
    <w:multiLevelType w:val="hybridMultilevel"/>
    <w:tmpl w:val="7A0F56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A0F5696"/>
    <w:multiLevelType w:val="multilevel"/>
    <w:tmpl w:val="7A0F569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7A0F5697"/>
    <w:multiLevelType w:val="hybridMultilevel"/>
    <w:tmpl w:val="7A0F56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7A0F5698"/>
    <w:multiLevelType w:val="multilevel"/>
    <w:tmpl w:val="7A0F569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7A0F5699"/>
    <w:multiLevelType w:val="hybridMultilevel"/>
    <w:tmpl w:val="7A0F56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A0F569A"/>
    <w:multiLevelType w:val="multilevel"/>
    <w:tmpl w:val="7A0F569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7A0F569B"/>
    <w:multiLevelType w:val="multilevel"/>
    <w:tmpl w:val="7A0F569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7A0F569C"/>
    <w:multiLevelType w:val="multilevel"/>
    <w:tmpl w:val="7A0F569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7A0F569D"/>
    <w:multiLevelType w:val="hybridMultilevel"/>
    <w:tmpl w:val="7A0F56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7A0F569E"/>
    <w:multiLevelType w:val="multilevel"/>
    <w:tmpl w:val="7A0F569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7A0F569F"/>
    <w:multiLevelType w:val="multilevel"/>
    <w:tmpl w:val="7A0F569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7A0F56A0"/>
    <w:multiLevelType w:val="multilevel"/>
    <w:tmpl w:val="7A0F56A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7A0F56A1"/>
    <w:multiLevelType w:val="multilevel"/>
    <w:tmpl w:val="7A0F56A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7A0F56A2"/>
    <w:multiLevelType w:val="multilevel"/>
    <w:tmpl w:val="7A0F56A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7A0F56A3"/>
    <w:multiLevelType w:val="multilevel"/>
    <w:tmpl w:val="7A0F56A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7A0F56A4"/>
    <w:multiLevelType w:val="multilevel"/>
    <w:tmpl w:val="7A0F56A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7A0F56A5"/>
    <w:multiLevelType w:val="multilevel"/>
    <w:tmpl w:val="7A0F56A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7A0F56A6"/>
    <w:multiLevelType w:val="multilevel"/>
    <w:tmpl w:val="7A0F56A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7A0F56A7"/>
    <w:multiLevelType w:val="multilevel"/>
    <w:tmpl w:val="7A0F56A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7A0F56A8"/>
    <w:multiLevelType w:val="multilevel"/>
    <w:tmpl w:val="7A0F56A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7A0F56A9"/>
    <w:multiLevelType w:val="multilevel"/>
    <w:tmpl w:val="7A0F56A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7A0F56AA"/>
    <w:multiLevelType w:val="multilevel"/>
    <w:tmpl w:val="7A0F56A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7A0F56AB"/>
    <w:multiLevelType w:val="hybridMultilevel"/>
    <w:tmpl w:val="7A0F56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A0F56AC"/>
    <w:multiLevelType w:val="multilevel"/>
    <w:tmpl w:val="7A0F56A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7A0F56AD"/>
    <w:multiLevelType w:val="multilevel"/>
    <w:tmpl w:val="7A0F56A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7A0F56AE"/>
    <w:multiLevelType w:val="multilevel"/>
    <w:tmpl w:val="7A0F56A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7A0F56AF"/>
    <w:multiLevelType w:val="hybridMultilevel"/>
    <w:tmpl w:val="7A0F56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A0F56B0"/>
    <w:multiLevelType w:val="multilevel"/>
    <w:tmpl w:val="7A0F56B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7A0F56B1"/>
    <w:multiLevelType w:val="multilevel"/>
    <w:tmpl w:val="7A0F56B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7A0F56B2"/>
    <w:multiLevelType w:val="hybridMultilevel"/>
    <w:tmpl w:val="7A0F56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7A0F56B3"/>
    <w:multiLevelType w:val="multilevel"/>
    <w:tmpl w:val="7A0F56B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7A0F56B4"/>
    <w:multiLevelType w:val="multilevel"/>
    <w:tmpl w:val="7A0F56B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7A0F56B5"/>
    <w:multiLevelType w:val="multilevel"/>
    <w:tmpl w:val="7A0F56B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7A0F56B6"/>
    <w:multiLevelType w:val="multilevel"/>
    <w:tmpl w:val="7A0F56B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7A0F56B7"/>
    <w:multiLevelType w:val="multilevel"/>
    <w:tmpl w:val="7A0F56B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7A0F56B8"/>
    <w:multiLevelType w:val="multilevel"/>
    <w:tmpl w:val="7A0F56B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7A0F56B9"/>
    <w:multiLevelType w:val="multilevel"/>
    <w:tmpl w:val="7A0F56B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7A0F56BA"/>
    <w:multiLevelType w:val="multilevel"/>
    <w:tmpl w:val="7A0F56B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7A0F56BB"/>
    <w:multiLevelType w:val="multilevel"/>
    <w:tmpl w:val="7A0F56B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7A0F56BC"/>
    <w:multiLevelType w:val="multilevel"/>
    <w:tmpl w:val="7A0F56B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7A0F56BD"/>
    <w:multiLevelType w:val="multilevel"/>
    <w:tmpl w:val="7A0F56B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7A0F56BE"/>
    <w:multiLevelType w:val="multilevel"/>
    <w:tmpl w:val="7A0F56B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7A0F56BF"/>
    <w:multiLevelType w:val="multilevel"/>
    <w:tmpl w:val="7A0F56B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7A0F56C0"/>
    <w:multiLevelType w:val="multilevel"/>
    <w:tmpl w:val="7A0F56C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7A0F56C1"/>
    <w:multiLevelType w:val="multilevel"/>
    <w:tmpl w:val="7A0F56C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7A0F56C2"/>
    <w:multiLevelType w:val="multilevel"/>
    <w:tmpl w:val="7A0F56C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7A0F56C3"/>
    <w:multiLevelType w:val="multilevel"/>
    <w:tmpl w:val="7A0F56C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7A0F56C4"/>
    <w:multiLevelType w:val="multilevel"/>
    <w:tmpl w:val="7A0F56C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7A0F56C5"/>
    <w:multiLevelType w:val="multilevel"/>
    <w:tmpl w:val="7A0F56C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7A0F56C6"/>
    <w:multiLevelType w:val="multilevel"/>
    <w:tmpl w:val="7A0F56C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7A0F56C7"/>
    <w:multiLevelType w:val="multilevel"/>
    <w:tmpl w:val="7A0F56C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7A0F56C8"/>
    <w:multiLevelType w:val="multilevel"/>
    <w:tmpl w:val="7A0F56C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7A0F56C9"/>
    <w:multiLevelType w:val="multilevel"/>
    <w:tmpl w:val="7A0F56C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7A0F56CA"/>
    <w:multiLevelType w:val="multilevel"/>
    <w:tmpl w:val="7A0F56C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7A0F56CB"/>
    <w:multiLevelType w:val="multilevel"/>
    <w:tmpl w:val="7A0F56C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7A0F56CC"/>
    <w:multiLevelType w:val="multilevel"/>
    <w:tmpl w:val="7A0F56C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7A0F56CD"/>
    <w:multiLevelType w:val="hybridMultilevel"/>
    <w:tmpl w:val="7A0F56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7A0F56CE"/>
    <w:multiLevelType w:val="multilevel"/>
    <w:tmpl w:val="7A0F56C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7A0F56CF"/>
    <w:multiLevelType w:val="multilevel"/>
    <w:tmpl w:val="7A0F56C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7A0F56D0"/>
    <w:multiLevelType w:val="multilevel"/>
    <w:tmpl w:val="7A0F56D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7A0F56D1"/>
    <w:multiLevelType w:val="hybridMultilevel"/>
    <w:tmpl w:val="7A0F56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A0F56D2"/>
    <w:multiLevelType w:val="multilevel"/>
    <w:tmpl w:val="7A0F56D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7A0F56D3"/>
    <w:multiLevelType w:val="multilevel"/>
    <w:tmpl w:val="7A0F56D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7A0F56D4"/>
    <w:multiLevelType w:val="multilevel"/>
    <w:tmpl w:val="7A0F56D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7A0F56D5"/>
    <w:multiLevelType w:val="hybridMultilevel"/>
    <w:tmpl w:val="7A0F56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7A0F56D6"/>
    <w:multiLevelType w:val="multilevel"/>
    <w:tmpl w:val="7A0F56D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7A0F56D7"/>
    <w:multiLevelType w:val="multilevel"/>
    <w:tmpl w:val="7A0F56D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7A0F56D8"/>
    <w:multiLevelType w:val="hybridMultilevel"/>
    <w:tmpl w:val="7A0F56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7A0F56D9"/>
    <w:multiLevelType w:val="multilevel"/>
    <w:tmpl w:val="7A0F56D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7A0F56DA"/>
    <w:multiLevelType w:val="multilevel"/>
    <w:tmpl w:val="7A0F56D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7A0F56DB"/>
    <w:multiLevelType w:val="multilevel"/>
    <w:tmpl w:val="7A0F56D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7A0F56DC"/>
    <w:multiLevelType w:val="hybridMultilevel"/>
    <w:tmpl w:val="7A0F56D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7A0F56DD"/>
    <w:multiLevelType w:val="multilevel"/>
    <w:tmpl w:val="7A0F56D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7A0F56DE"/>
    <w:multiLevelType w:val="hybridMultilevel"/>
    <w:tmpl w:val="7A0F56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7A0F56DF"/>
    <w:multiLevelType w:val="hybridMultilevel"/>
    <w:tmpl w:val="7A0F56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A0F56E0"/>
    <w:multiLevelType w:val="multilevel"/>
    <w:tmpl w:val="7A0F56E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7A0F56E1"/>
    <w:multiLevelType w:val="multilevel"/>
    <w:tmpl w:val="7A0F56E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7A0F56E2"/>
    <w:multiLevelType w:val="hybridMultilevel"/>
    <w:tmpl w:val="7A0F56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7A0F56E3"/>
    <w:multiLevelType w:val="multilevel"/>
    <w:tmpl w:val="7A0F56E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7A0F56E4"/>
    <w:multiLevelType w:val="hybridMultilevel"/>
    <w:tmpl w:val="7A0F56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7A0F56E5"/>
    <w:multiLevelType w:val="hybridMultilevel"/>
    <w:tmpl w:val="7A0F56E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7A0F56E6"/>
    <w:multiLevelType w:val="hybridMultilevel"/>
    <w:tmpl w:val="7A0F56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7A0F56E7"/>
    <w:multiLevelType w:val="multilevel"/>
    <w:tmpl w:val="7A0F56E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7A0F56E8"/>
    <w:multiLevelType w:val="hybridMultilevel"/>
    <w:tmpl w:val="7A0F56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7A0F56E9"/>
    <w:multiLevelType w:val="hybridMultilevel"/>
    <w:tmpl w:val="7A0F56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7A0F56EA"/>
    <w:multiLevelType w:val="multilevel"/>
    <w:tmpl w:val="7A0F56E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7A0F56EB"/>
    <w:multiLevelType w:val="hybridMultilevel"/>
    <w:tmpl w:val="7A0F56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7A0F56EC"/>
    <w:multiLevelType w:val="multilevel"/>
    <w:tmpl w:val="7A0F56E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7A0F56ED"/>
    <w:multiLevelType w:val="hybridMultilevel"/>
    <w:tmpl w:val="7A0F56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7A0F56EE"/>
    <w:multiLevelType w:val="multilevel"/>
    <w:tmpl w:val="7A0F56E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7A0F56EF"/>
    <w:multiLevelType w:val="hybridMultilevel"/>
    <w:tmpl w:val="7A0F56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7A0F56F0"/>
    <w:multiLevelType w:val="multilevel"/>
    <w:tmpl w:val="7A0F56F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7A0F56F1"/>
    <w:multiLevelType w:val="multilevel"/>
    <w:tmpl w:val="7A0F56F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7A0F56F2"/>
    <w:multiLevelType w:val="multilevel"/>
    <w:tmpl w:val="7A0F56F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7A0F56F3"/>
    <w:multiLevelType w:val="hybridMultilevel"/>
    <w:tmpl w:val="7A0F56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7A0F56F4"/>
    <w:multiLevelType w:val="multilevel"/>
    <w:tmpl w:val="7A0F56F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7A0F56F5"/>
    <w:multiLevelType w:val="multilevel"/>
    <w:tmpl w:val="7A0F56F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7A0F56F6"/>
    <w:multiLevelType w:val="hybridMultilevel"/>
    <w:tmpl w:val="7A0F56F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7A0F56F7"/>
    <w:multiLevelType w:val="multilevel"/>
    <w:tmpl w:val="7A0F56F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7A0F56F8"/>
    <w:multiLevelType w:val="multilevel"/>
    <w:tmpl w:val="7A0F56F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7A0F56F9"/>
    <w:multiLevelType w:val="hybridMultilevel"/>
    <w:tmpl w:val="7A0F56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7A0F56FA"/>
    <w:multiLevelType w:val="multilevel"/>
    <w:tmpl w:val="7A0F56F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7A0F56FB"/>
    <w:multiLevelType w:val="hybridMultilevel"/>
    <w:tmpl w:val="7A0F56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7A0F56FC"/>
    <w:multiLevelType w:val="hybridMultilevel"/>
    <w:tmpl w:val="7A0F56F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7A0F56FD"/>
    <w:multiLevelType w:val="multilevel"/>
    <w:tmpl w:val="7A0F56F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7A0F56FE"/>
    <w:multiLevelType w:val="hybridMultilevel"/>
    <w:tmpl w:val="7A0F56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7A0F56FF"/>
    <w:multiLevelType w:val="hybridMultilevel"/>
    <w:tmpl w:val="7A0F56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7A0F5700"/>
    <w:multiLevelType w:val="multilevel"/>
    <w:tmpl w:val="7A0F570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7A0F5701"/>
    <w:multiLevelType w:val="hybridMultilevel"/>
    <w:tmpl w:val="7A0F57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7A0F5702"/>
    <w:multiLevelType w:val="multilevel"/>
    <w:tmpl w:val="7A0F570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7A0F5703"/>
    <w:multiLevelType w:val="hybridMultilevel"/>
    <w:tmpl w:val="7A0F57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7A0F5704"/>
    <w:multiLevelType w:val="hybridMultilevel"/>
    <w:tmpl w:val="7A0F570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7A0F5705"/>
    <w:multiLevelType w:val="multilevel"/>
    <w:tmpl w:val="7A0F570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7A0F5706"/>
    <w:multiLevelType w:val="multilevel"/>
    <w:tmpl w:val="7A0F570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7A0F5707"/>
    <w:multiLevelType w:val="multilevel"/>
    <w:tmpl w:val="7A0F570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7A0F5708"/>
    <w:multiLevelType w:val="multilevel"/>
    <w:tmpl w:val="7A0F570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7A0F5709"/>
    <w:multiLevelType w:val="hybridMultilevel"/>
    <w:tmpl w:val="7A0F57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7A0F570A"/>
    <w:multiLevelType w:val="hybridMultilevel"/>
    <w:tmpl w:val="7A0F570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7A0F570B"/>
    <w:multiLevelType w:val="hybridMultilevel"/>
    <w:tmpl w:val="7A0F570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7A0F570C"/>
    <w:multiLevelType w:val="multilevel"/>
    <w:tmpl w:val="7A0F570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7A0F570D"/>
    <w:multiLevelType w:val="multilevel"/>
    <w:tmpl w:val="7A0F570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7A0F570E"/>
    <w:multiLevelType w:val="hybridMultilevel"/>
    <w:tmpl w:val="7A0F57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7A0F570F"/>
    <w:multiLevelType w:val="hybridMultilevel"/>
    <w:tmpl w:val="7A0F570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6">
    <w:nsid w:val="7A0F5710"/>
    <w:multiLevelType w:val="multilevel"/>
    <w:tmpl w:val="7A0F571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7A0F5711"/>
    <w:multiLevelType w:val="multilevel"/>
    <w:tmpl w:val="7A0F571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7A0F5712"/>
    <w:multiLevelType w:val="multilevel"/>
    <w:tmpl w:val="7A0F571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7A0F5713"/>
    <w:multiLevelType w:val="hybridMultilevel"/>
    <w:tmpl w:val="7A0F571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7A0F5714"/>
    <w:multiLevelType w:val="multilevel"/>
    <w:tmpl w:val="7A0F571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7A0F5715"/>
    <w:multiLevelType w:val="hybridMultilevel"/>
    <w:tmpl w:val="7A0F571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7A0F5716"/>
    <w:multiLevelType w:val="hybridMultilevel"/>
    <w:tmpl w:val="7A0F571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3">
    <w:nsid w:val="7A0F5717"/>
    <w:multiLevelType w:val="multilevel"/>
    <w:tmpl w:val="7A0F571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7A0F5718"/>
    <w:multiLevelType w:val="multilevel"/>
    <w:tmpl w:val="7A0F571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7A0F5719"/>
    <w:multiLevelType w:val="multilevel"/>
    <w:tmpl w:val="7A0F571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7A0F571A"/>
    <w:multiLevelType w:val="multilevel"/>
    <w:tmpl w:val="7A0F571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7A0F571B"/>
    <w:multiLevelType w:val="multilevel"/>
    <w:tmpl w:val="7A0F571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7A0F571C"/>
    <w:multiLevelType w:val="hybridMultilevel"/>
    <w:tmpl w:val="7A0F571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7A0F571D"/>
    <w:multiLevelType w:val="hybridMultilevel"/>
    <w:tmpl w:val="7A0F571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0">
    <w:nsid w:val="7A0F571E"/>
    <w:multiLevelType w:val="multilevel"/>
    <w:tmpl w:val="7A0F571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7A0F571F"/>
    <w:multiLevelType w:val="hybridMultilevel"/>
    <w:tmpl w:val="7A0F571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2">
    <w:nsid w:val="7A0F5720"/>
    <w:multiLevelType w:val="multilevel"/>
    <w:tmpl w:val="7A0F572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7A0F5721"/>
    <w:multiLevelType w:val="hybridMultilevel"/>
    <w:tmpl w:val="7A0F572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4">
    <w:nsid w:val="7A0F5722"/>
    <w:multiLevelType w:val="multilevel"/>
    <w:tmpl w:val="7A0F572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7A0F5723"/>
    <w:multiLevelType w:val="hybridMultilevel"/>
    <w:tmpl w:val="7A0F572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6">
    <w:nsid w:val="7A0F5724"/>
    <w:multiLevelType w:val="multilevel"/>
    <w:tmpl w:val="7A0F572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7A0F5725"/>
    <w:multiLevelType w:val="hybridMultilevel"/>
    <w:tmpl w:val="7A0F572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7A0F5726"/>
    <w:multiLevelType w:val="multilevel"/>
    <w:tmpl w:val="7A0F572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7A0F5727"/>
    <w:multiLevelType w:val="hybridMultilevel"/>
    <w:tmpl w:val="7A0F572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7A0F5728"/>
    <w:multiLevelType w:val="multilevel"/>
    <w:tmpl w:val="7A0F572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7A0F5729"/>
    <w:multiLevelType w:val="hybridMultilevel"/>
    <w:tmpl w:val="7A0F572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2">
    <w:nsid w:val="7A0F572A"/>
    <w:multiLevelType w:val="multilevel"/>
    <w:tmpl w:val="7A0F572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7A0F572B"/>
    <w:multiLevelType w:val="multilevel"/>
    <w:tmpl w:val="7A0F572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7A0F572C"/>
    <w:multiLevelType w:val="hybridMultilevel"/>
    <w:tmpl w:val="7A0F57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5">
    <w:nsid w:val="7A0F572D"/>
    <w:multiLevelType w:val="hybridMultilevel"/>
    <w:tmpl w:val="7A0F572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6">
    <w:nsid w:val="7A0F572E"/>
    <w:multiLevelType w:val="hybridMultilevel"/>
    <w:tmpl w:val="7A0F572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7">
    <w:nsid w:val="7A0F572F"/>
    <w:multiLevelType w:val="multilevel"/>
    <w:tmpl w:val="7A0F572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7A0F5730"/>
    <w:multiLevelType w:val="hybridMultilevel"/>
    <w:tmpl w:val="7A0F573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9">
    <w:nsid w:val="7A0F5731"/>
    <w:multiLevelType w:val="multilevel"/>
    <w:tmpl w:val="7A0F573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7A0F5732"/>
    <w:multiLevelType w:val="multilevel"/>
    <w:tmpl w:val="7A0F573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7A0F5733"/>
    <w:multiLevelType w:val="multilevel"/>
    <w:tmpl w:val="7A0F573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7A0F5734"/>
    <w:multiLevelType w:val="multilevel"/>
    <w:tmpl w:val="7A0F573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7A0F5735"/>
    <w:multiLevelType w:val="multilevel"/>
    <w:tmpl w:val="7A0F573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7A0F5736"/>
    <w:multiLevelType w:val="multilevel"/>
    <w:tmpl w:val="7A0F573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7A0F5737"/>
    <w:multiLevelType w:val="hybridMultilevel"/>
    <w:tmpl w:val="7A0F573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6">
    <w:nsid w:val="7A0F5738"/>
    <w:multiLevelType w:val="multilevel"/>
    <w:tmpl w:val="7A0F573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7A0F5739"/>
    <w:multiLevelType w:val="hybridMultilevel"/>
    <w:tmpl w:val="7A0F573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8">
    <w:nsid w:val="7A0F573A"/>
    <w:multiLevelType w:val="hybridMultilevel"/>
    <w:tmpl w:val="7A0F573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9">
    <w:nsid w:val="7A0F573B"/>
    <w:multiLevelType w:val="multilevel"/>
    <w:tmpl w:val="7A0F573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7A0F573C"/>
    <w:multiLevelType w:val="hybridMultilevel"/>
    <w:tmpl w:val="7A0F573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1">
    <w:nsid w:val="7A0F573D"/>
    <w:multiLevelType w:val="multilevel"/>
    <w:tmpl w:val="7A0F573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7A0F573E"/>
    <w:multiLevelType w:val="hybridMultilevel"/>
    <w:tmpl w:val="7A0F573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3">
    <w:nsid w:val="7A0F573F"/>
    <w:multiLevelType w:val="multilevel"/>
    <w:tmpl w:val="7A0F573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7A0F5740"/>
    <w:multiLevelType w:val="hybridMultilevel"/>
    <w:tmpl w:val="7A0F574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5">
    <w:nsid w:val="7A0F5741"/>
    <w:multiLevelType w:val="hybridMultilevel"/>
    <w:tmpl w:val="7A0F574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6">
    <w:nsid w:val="7A0F5742"/>
    <w:multiLevelType w:val="multilevel"/>
    <w:tmpl w:val="7A0F574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7A0F5743"/>
    <w:multiLevelType w:val="multilevel"/>
    <w:tmpl w:val="7A0F574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7A0F5744"/>
    <w:multiLevelType w:val="hybridMultilevel"/>
    <w:tmpl w:val="7A0F574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9">
    <w:nsid w:val="7A0F5745"/>
    <w:multiLevelType w:val="hybridMultilevel"/>
    <w:tmpl w:val="7A0F57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0">
    <w:nsid w:val="7A0F5746"/>
    <w:multiLevelType w:val="multilevel"/>
    <w:tmpl w:val="7A0F574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7A0F5747"/>
    <w:multiLevelType w:val="hybridMultilevel"/>
    <w:tmpl w:val="7A0F574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2">
    <w:nsid w:val="7A0F5748"/>
    <w:multiLevelType w:val="multilevel"/>
    <w:tmpl w:val="7A0F574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7A0F5749"/>
    <w:multiLevelType w:val="multilevel"/>
    <w:tmpl w:val="7A0F574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7A0F574A"/>
    <w:multiLevelType w:val="multilevel"/>
    <w:tmpl w:val="7A0F574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7A0F574B"/>
    <w:multiLevelType w:val="multilevel"/>
    <w:tmpl w:val="7A0F574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7A0F574C"/>
    <w:multiLevelType w:val="multilevel"/>
    <w:tmpl w:val="7A0F574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7A0F574D"/>
    <w:multiLevelType w:val="hybridMultilevel"/>
    <w:tmpl w:val="7A0F57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8">
    <w:nsid w:val="7A0F574E"/>
    <w:multiLevelType w:val="hybridMultilevel"/>
    <w:tmpl w:val="7A0F574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9">
    <w:nsid w:val="7A0F574F"/>
    <w:multiLevelType w:val="multilevel"/>
    <w:tmpl w:val="7A0F574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7A0F5750"/>
    <w:multiLevelType w:val="multilevel"/>
    <w:tmpl w:val="7A0F575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7A0F5751"/>
    <w:multiLevelType w:val="hybridMultilevel"/>
    <w:tmpl w:val="7A0F57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2">
    <w:nsid w:val="7A0F5752"/>
    <w:multiLevelType w:val="hybridMultilevel"/>
    <w:tmpl w:val="7A0F575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3">
    <w:nsid w:val="7A0F5753"/>
    <w:multiLevelType w:val="multilevel"/>
    <w:tmpl w:val="7A0F575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7A0F5754"/>
    <w:multiLevelType w:val="hybridMultilevel"/>
    <w:tmpl w:val="7A0F575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5">
    <w:nsid w:val="7A0F5755"/>
    <w:multiLevelType w:val="multilevel"/>
    <w:tmpl w:val="7A0F575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7A0F5756"/>
    <w:multiLevelType w:val="multilevel"/>
    <w:tmpl w:val="7A0F575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82CAD"/>
    <w:rsid w:val="00094DCB"/>
    <w:rsid w:val="000A286B"/>
    <w:rsid w:val="000A3182"/>
    <w:rsid w:val="000B2CE0"/>
    <w:rsid w:val="000B77DE"/>
    <w:rsid w:val="000C4D0B"/>
    <w:rsid w:val="000E4BB0"/>
    <w:rsid w:val="000F0FFB"/>
    <w:rsid w:val="00100D56"/>
    <w:rsid w:val="00110663"/>
    <w:rsid w:val="001262F4"/>
    <w:rsid w:val="0014481F"/>
    <w:rsid w:val="001553D5"/>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C677C"/>
    <w:rsid w:val="003D6901"/>
    <w:rsid w:val="003E0018"/>
    <w:rsid w:val="00402A69"/>
    <w:rsid w:val="004079DD"/>
    <w:rsid w:val="004352D2"/>
    <w:rsid w:val="00435BD0"/>
    <w:rsid w:val="00440C96"/>
    <w:rsid w:val="004544C1"/>
    <w:rsid w:val="00461F79"/>
    <w:rsid w:val="004742D1"/>
    <w:rsid w:val="00494EF5"/>
    <w:rsid w:val="004A0D36"/>
    <w:rsid w:val="004D6206"/>
    <w:rsid w:val="004D628A"/>
    <w:rsid w:val="004F7B8D"/>
    <w:rsid w:val="00511235"/>
    <w:rsid w:val="005237DD"/>
    <w:rsid w:val="0052528F"/>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63DCC"/>
    <w:rsid w:val="007776F4"/>
    <w:rsid w:val="00783000"/>
    <w:rsid w:val="0078571F"/>
    <w:rsid w:val="007A3262"/>
    <w:rsid w:val="007A6F22"/>
    <w:rsid w:val="007C400F"/>
    <w:rsid w:val="007E0862"/>
    <w:rsid w:val="007F3764"/>
    <w:rsid w:val="007F40CB"/>
    <w:rsid w:val="00815840"/>
    <w:rsid w:val="008217C0"/>
    <w:rsid w:val="00822231"/>
    <w:rsid w:val="00836DA7"/>
    <w:rsid w:val="00856B0E"/>
    <w:rsid w:val="00857CA5"/>
    <w:rsid w:val="0088719C"/>
    <w:rsid w:val="008D637B"/>
    <w:rsid w:val="008D76CF"/>
    <w:rsid w:val="008E0529"/>
    <w:rsid w:val="008E0894"/>
    <w:rsid w:val="0091750E"/>
    <w:rsid w:val="0092012B"/>
    <w:rsid w:val="0092725C"/>
    <w:rsid w:val="00947FB9"/>
    <w:rsid w:val="009533DF"/>
    <w:rsid w:val="009B3902"/>
    <w:rsid w:val="009B4645"/>
    <w:rsid w:val="009E7D74"/>
    <w:rsid w:val="009F728F"/>
    <w:rsid w:val="00A44FCE"/>
    <w:rsid w:val="00A534AE"/>
    <w:rsid w:val="00A64EB7"/>
    <w:rsid w:val="00A6666A"/>
    <w:rsid w:val="00A74796"/>
    <w:rsid w:val="00A93F22"/>
    <w:rsid w:val="00AA4169"/>
    <w:rsid w:val="00AC4135"/>
    <w:rsid w:val="00AC4BAD"/>
    <w:rsid w:val="00AC54C6"/>
    <w:rsid w:val="00AD0040"/>
    <w:rsid w:val="00AD249B"/>
    <w:rsid w:val="00B270AD"/>
    <w:rsid w:val="00B50508"/>
    <w:rsid w:val="00B76941"/>
    <w:rsid w:val="00B825D9"/>
    <w:rsid w:val="00BA02B5"/>
    <w:rsid w:val="00BA4EB6"/>
    <w:rsid w:val="00BC3707"/>
    <w:rsid w:val="00BC5955"/>
    <w:rsid w:val="00BD493A"/>
    <w:rsid w:val="00BF5187"/>
    <w:rsid w:val="00C11E16"/>
    <w:rsid w:val="00C12143"/>
    <w:rsid w:val="00C258BA"/>
    <w:rsid w:val="00C379FA"/>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DE0792"/>
    <w:rsid w:val="00E03CF9"/>
    <w:rsid w:val="00E14E29"/>
    <w:rsid w:val="00E218C0"/>
    <w:rsid w:val="00E55987"/>
    <w:rsid w:val="00E65CB6"/>
    <w:rsid w:val="00EB5D9C"/>
    <w:rsid w:val="00EB76E2"/>
    <w:rsid w:val="00F117EE"/>
    <w:rsid w:val="00F461CF"/>
    <w:rsid w:val="00F64BDD"/>
    <w:rsid w:val="00F76D81"/>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F1CA0"/>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spacing w:before="120"/>
    </w:pPr>
    <w:rPr>
      <w:rFonts w:asciiTheme="minorHAnsi" w:hAnsiTheme="minorHAnsi" w:cstheme="minorHAnsi"/>
      <w:b/>
      <w:bCs/>
      <w:i/>
      <w:iCs/>
      <w:sz w:val="24"/>
      <w:szCs w:val="24"/>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spacing w:before="120"/>
      <w:ind w:left="220"/>
    </w:pPr>
    <w:rPr>
      <w:rFonts w:asciiTheme="minorHAnsi" w:hAnsiTheme="minorHAnsi" w:cstheme="minorHAnsi"/>
      <w:b/>
      <w:bCs/>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ind w:left="440"/>
    </w:pPr>
    <w:rPr>
      <w:rFonts w:asciiTheme="minorHAnsi" w:hAnsiTheme="minorHAnsi" w:cstheme="minorHAnsi"/>
      <w:sz w:val="20"/>
      <w:szCs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paragraph" w:styleId="TOCHeading">
    <w:name w:val="TOC Heading"/>
    <w:basedOn w:val="Heading1"/>
    <w:next w:val="Normal"/>
    <w:uiPriority w:val="39"/>
    <w:unhideWhenUsed/>
    <w:qFormat/>
    <w:rsid w:val="0088719C"/>
    <w:pPr>
      <w:pageBreakBefore w:val="0"/>
      <w:widowControl/>
      <w:numPr>
        <w:numId w:val="0"/>
      </w:numPr>
      <w:autoSpaceDE/>
      <w:autoSpaceDN/>
      <w:spacing w:before="480" w:after="0" w:line="276" w:lineRule="auto"/>
      <w:outlineLvl w:val="9"/>
    </w:pPr>
    <w:rPr>
      <w:rFonts w:asciiTheme="majorHAnsi" w:hAnsiTheme="majorHAnsi"/>
      <w:b/>
      <w:bCs/>
      <w:sz w:val="28"/>
      <w:szCs w:val="28"/>
    </w:rPr>
  </w:style>
  <w:style w:type="paragraph" w:styleId="TOC4">
    <w:name w:val="toc 4"/>
    <w:basedOn w:val="Normal"/>
    <w:next w:val="Normal"/>
    <w:autoRedefine/>
    <w:uiPriority w:val="39"/>
    <w:semiHidden/>
    <w:unhideWhenUsed/>
    <w:rsid w:val="0088719C"/>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8719C"/>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8719C"/>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8719C"/>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8719C"/>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8719C"/>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tracker.ietf.org/doc/html/rfc8141#section-1.2.2" TargetMode="External"/><Relationship Id="rId18" Type="http://schemas.openxmlformats.org/officeDocument/2006/relationships/hyperlink" Target="https://knowledge.broadcom.com/external/article/394731/" TargetMode="External"/><Relationship Id="rId26" Type="http://schemas.openxmlformats.org/officeDocument/2006/relationships/hyperlink" Target="https://techdocs.broadcom.com/us/en/vmware-cis/vcf/vsphere-supervisor-services-and-standalone-components/latest/using-supervisor-services/using-secret-store-service-with-vsphere-supervisor.html" TargetMode="External"/><Relationship Id="rId39" Type="http://schemas.openxmlformats.org/officeDocument/2006/relationships/customXml" Target="../customXml/item4.xml"/><Relationship Id="rId21" Type="http://schemas.openxmlformats.org/officeDocument/2006/relationships/hyperlink" Target="https://openid.net/specs/openid-connect-core-1_0.html" TargetMode="External"/><Relationship Id="rId34" Type="http://schemas.openxmlformats.org/officeDocument/2006/relationships/theme" Target="theme/theme1.xml"/><Relationship Id="rId12" Type="http://schemas.openxmlformats.org/officeDocument/2006/relationships/hyperlink" Target="https://datatracker.ietf.org/doc/html/rfc6749" TargetMode="External"/><Relationship Id="rId17" Type="http://schemas.openxmlformats.org/officeDocument/2006/relationships/hyperlink" Target="http://www.java.com" TargetMode="External"/><Relationship Id="rId25" Type="http://schemas.openxmlformats.org/officeDocument/2006/relationships/hyperlink" Target="https://techdocs.broadcom.com/us/en/vmware-cis/dsm/data-services-manager/9-0/using-vmware-data-services-manager-with-vmware-cloud-foundation.html" TargetMode="External"/><Relationship Id="rId33" Type="http://schemas.openxmlformats.org/officeDocument/2006/relationships/footer" Target="footer1.xml"/><Relationship Id="rId7" Type="http://schemas.openxmlformats.org/officeDocument/2006/relationships/hyperlink" Target="http://www.vmware.com/" TargetMode="External"/><Relationship Id="rId38" Type="http://schemas.openxmlformats.org/officeDocument/2006/relationships/customXml" Target="../customXml/item3.xml"/><Relationship Id="rId16" Type="http://schemas.openxmlformats.org/officeDocument/2006/relationships/hyperlink" Target="https://knowledge.broadcom.com/external/article?legacyId=59674" TargetMode="External"/><Relationship Id="rId2" Type="http://schemas.openxmlformats.org/officeDocument/2006/relationships/webSettings" Target="webSettings.xml"/><Relationship Id="rId20" Type="http://schemas.openxmlformats.org/officeDocument/2006/relationships/hyperlink" Target="https://datatracker.ietf.org/doc/html/rfc6749#section-6" TargetMode="External"/><Relationship Id="rId29" Type="http://schemas.openxmlformats.org/officeDocument/2006/relationships/hyperlink" Target="https://freemarker.apache.org/docs/dgui_quickstart_template.html" TargetMode="External"/><Relationship Id="rId1" Type="http://schemas.openxmlformats.org/officeDocument/2006/relationships/settings" Target="settings.xml"/><Relationship Id="rId11" Type="http://schemas.openxmlformats.org/officeDocument/2006/relationships/hyperlink" Target="GUID-5e144873-dfdf-4cc9-ad26-6fd8570d3b7f-en.zip" TargetMode="External"/><Relationship Id="rId24" Type="http://schemas.openxmlformats.org/officeDocument/2006/relationships/hyperlink" Target="https://developer.broadcom.com/xapis/" TargetMode="External"/><Relationship Id="rId32" Type="http://schemas.openxmlformats.org/officeDocument/2006/relationships/header" Target="header1.xml"/><Relationship Id="rId6" Type="http://schemas.openxmlformats.org/officeDocument/2006/relationships/hyperlink" Target="https://docs.vmware.com/" TargetMode="External"/><Relationship Id="rId37" Type="http://schemas.openxmlformats.org/officeDocument/2006/relationships/customXml" Target="../customXml/item2.xml"/><Relationship Id="rId15" Type="http://schemas.openxmlformats.org/officeDocument/2006/relationships/hyperlink" Target="https://csrc.nist.gov/projects/cryptographic-module-validation-program/certificate/4743" TargetMode="External"/><Relationship Id="rId23" Type="http://schemas.openxmlformats.org/officeDocument/2006/relationships/hyperlink" Target="https://openid.net/specs/openid-connect-core-1_0.html#UserInfo" TargetMode="External"/><Relationship Id="rId28" Type="http://schemas.openxmlformats.org/officeDocument/2006/relationships/hyperlink" Target="https://freemarker.apache.org/" TargetMode="External"/><Relationship Id="rId36" Type="http://schemas.openxmlformats.org/officeDocument/2006/relationships/styles" Target="styles.xml"/><Relationship Id="rId5" Type="http://schemas.openxmlformats.org/officeDocument/2006/relationships/image" Target="media/image1.png"/><Relationship Id="rId10" Type="http://schemas.openxmlformats.org/officeDocument/2006/relationships/hyperlink" Target="https://developer.broadcom.com/xapis/provider-infrastructure-apis/latest/" TargetMode="External"/><Relationship Id="rId19" Type="http://schemas.openxmlformats.org/officeDocument/2006/relationships/hyperlink" Target="https://oauth.net/2/pkce/" TargetMode="External"/><Relationship Id="rId31" Type="http://schemas.openxmlformats.org/officeDocument/2006/relationships/hyperlink" Target="https://techdocs.broadcom.com/us/en/vmware-cis/nsx/vmware-nsx/4-2/installation-guide.html" TargetMode="External"/><Relationship Id="rId14" Type="http://schemas.openxmlformats.org/officeDocument/2006/relationships/hyperlink" Target="https://datatracker.ietf.org/doc/html/rfc8628#section-3.1" TargetMode="External"/><Relationship Id="rId22" Type="http://schemas.openxmlformats.org/officeDocument/2006/relationships/hyperlink" Target="https://openid.net/specs/openid-connect-core-1_0.html#CodeFlowAuth" TargetMode="External"/><Relationship Id="rId27" Type="http://schemas.openxmlformats.org/officeDocument/2006/relationships/hyperlink" Target="https://github.com/vmware/" TargetMode="External"/><Relationship Id="rId30" Type="http://schemas.openxmlformats.org/officeDocument/2006/relationships/hyperlink" Target="https://techdocs.broadcom.com/us/en/vmware-cis/nsx/vmware-nsx/4-2/administration-guide.html" TargetMode="External"/><Relationship Id="rId35" Type="http://schemas.openxmlformats.org/officeDocument/2006/relationships/numbering" Target="numbering.xml"/><Relationship Id="rId4" Type="http://schemas.openxmlformats.org/officeDocument/2006/relationships/customXml" Target="../customXml/item1.xml"/><Relationship Id="rId9" Type="http://schemas.openxmlformats.org/officeDocument/2006/relationships/hyperlink" Target="https://tools.ietf.org/html/rfc1123" TargetMode="External"/><Relationship Id="rId8" Type="http://schemas.openxmlformats.org/officeDocument/2006/relationships/hyperlink" Target="https://docs.vmware.com/copyright-trademark.html" TargetMode="External"/><Relationship Id="rId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6E5847C8-BA62-AC45-B7B8-4FCF341A8BA5}">
  <ds:schemaRefs>
    <ds:schemaRef ds:uri="http://schemas.openxmlformats.org/officeDocument/2006/bibliography"/>
  </ds:schemaRefs>
</ds:datastoreItem>
</file>

<file path=customXml/itemProps2.xml><?xml version="1.0" encoding="utf-8"?>
<ds:datastoreItem xmlns:ds="http://schemas.openxmlformats.org/officeDocument/2006/customXml" ds:itemID="{82E42B49-7E5C-4772-A58D-B134FBBC2B95}"/>
</file>

<file path=customXml/itemProps3.xml><?xml version="1.0" encoding="utf-8"?>
<ds:datastoreItem xmlns:ds="http://schemas.openxmlformats.org/officeDocument/2006/customXml" ds:itemID="{C7F4CDC1-F451-46B3-A5F1-F18680DF3D59}"/>
</file>

<file path=customXml/itemProps4.xml><?xml version="1.0" encoding="utf-8"?>
<ds:datastoreItem xmlns:ds="http://schemas.openxmlformats.org/officeDocument/2006/customXml" ds:itemID="{6A4ABF91-067B-425F-90CC-AF933D260FB2}"/>
</file>

<file path=docProps/app.xml><?xml version="1.0" encoding="utf-8"?>
<Properties xmlns="http://schemas.openxmlformats.org/officeDocument/2006/extended-properties" xmlns:vt="http://schemas.openxmlformats.org/officeDocument/2006/docPropsVTypes">
  <Template>Normal.dotm</Template>
  <TotalTime>147</TotalTime>
  <Pages>180</Pages>
  <Words>83</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Services - Provider Management Guide for VMware Cloud Foundation Automation</dc:title>
  <dc:creator>VMware, Inc.</dc:creator>
  <cp:lastModifiedBy>Ananth Sivagurunathan</cp:lastModifiedBy>
  <cp:revision>52</cp:revision>
  <dcterms:created xsi:type="dcterms:W3CDTF">2022-05-31T18:02:00Z</dcterms:created>
  <dcterms:modified xsi:type="dcterms:W3CDTF">2025-09-08T23:32:00Z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