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Deploying VMware Cloud Foundation Operations Orchestrator</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6"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32D1FD36">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Pr="00FF1CA0" w:rsidR="007A3262">
        <w:rPr>
          <w:rFonts w:cs="Arial"/>
          <w:color w:val="323232"/>
          <w:sz w:val="18"/>
        </w:rPr>
        <w:t>5</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8"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Pr>
          <w:rFonts w:cs="Arial"/>
        </w:rPr>
        <w:fldChar w:fldCharType="begin"/>
      </w:r>
      <w:r>
        <w:rPr>
          <w:rFonts w:cs="Arial"/>
        </w:rPr>
        <w:instrText xml:space="preserve"> TOC \o "1-5" \h \z \u </w:instrText>
      </w:r>
      <w:r>
        <w:rPr>
          <w:rFonts w:cs="Arial"/>
        </w:rPr>
        <w:fldChar w:fldCharType="separate"/>
      </w:r>
      <w:hyperlink w:anchor="_Toc256000032" w:history="1">
        <w:r>
          <w:rPr>
            <w:rStyle w:val="Hyperlink"/>
          </w:rPr>
          <w:t>1.</w:t>
        </w:r>
        <w:r>
          <w:rPr>
            <w:rFonts w:asciiTheme="minorHAnsi" w:hAnsiTheme="minorHAnsi"/>
            <w:noProof/>
            <w:sz w:val="22"/>
          </w:rPr>
          <w:tab/>
        </w:r>
        <w:r>
          <w:rPr>
            <w:rStyle w:val="Hyperlink"/>
          </w:rPr>
          <w:t>Deploying VCF Operations orchestrator</w:t>
        </w:r>
        <w:r>
          <w:tab/>
        </w:r>
        <w:r>
          <w:fldChar w:fldCharType="begin"/>
        </w:r>
        <w:r>
          <w:instrText xml:space="preserve"> PAGEREF _Toc256000032 \h </w:instrText>
        </w:r>
        <w:r>
          <w:fldChar w:fldCharType="separate"/>
        </w:r>
        <w:r>
          <w:t>4</w:t>
        </w:r>
        <w:r>
          <w:fldChar w:fldCharType="end"/>
        </w:r>
      </w:hyperlink>
    </w:p>
    <w:p>
      <w:pPr>
        <w:pStyle w:val="TOC2"/>
        <w:rPr>
          <w:rFonts w:asciiTheme="minorHAnsi" w:hAnsiTheme="minorHAnsi"/>
          <w:noProof/>
          <w:sz w:val="22"/>
        </w:rPr>
      </w:pPr>
      <w:hyperlink w:anchor="_Toc256000033" w:history="1">
        <w:r>
          <w:rPr>
            <w:rStyle w:val="Hyperlink"/>
          </w:rPr>
          <w:t>Configuring the VCF Operations orchestrator authentication provider with the command line interface</w:t>
        </w:r>
        <w:r>
          <w:tab/>
        </w:r>
        <w:r>
          <w:fldChar w:fldCharType="begin"/>
        </w:r>
        <w:r>
          <w:instrText xml:space="preserve"> PAGEREF _Toc256000033 \h </w:instrText>
        </w:r>
        <w:r>
          <w:fldChar w:fldCharType="separate"/>
        </w:r>
        <w:r>
          <w:t>6</w:t>
        </w:r>
        <w:r>
          <w:fldChar w:fldCharType="end"/>
        </w:r>
      </w:hyperlink>
    </w:p>
    <w:p>
      <w:pPr>
        <w:pStyle w:val="TOC3"/>
        <w:rPr>
          <w:rFonts w:asciiTheme="minorHAnsi" w:hAnsiTheme="minorHAnsi"/>
          <w:noProof/>
          <w:sz w:val="22"/>
        </w:rPr>
      </w:pPr>
      <w:hyperlink w:anchor="_Toc256000034" w:history="1">
        <w:r>
          <w:rPr>
            <w:rStyle w:val="Hyperlink"/>
          </w:rPr>
          <w:t>Retrieving the current authentication provider</w:t>
        </w:r>
        <w:r>
          <w:tab/>
        </w:r>
        <w:r>
          <w:fldChar w:fldCharType="begin"/>
        </w:r>
        <w:r>
          <w:instrText xml:space="preserve"> PAGEREF _Toc256000034 \h </w:instrText>
        </w:r>
        <w:r>
          <w:fldChar w:fldCharType="separate"/>
        </w:r>
        <w:r>
          <w:t>6</w:t>
        </w:r>
        <w:r>
          <w:fldChar w:fldCharType="end"/>
        </w:r>
      </w:hyperlink>
    </w:p>
    <w:p>
      <w:pPr>
        <w:pStyle w:val="TOC3"/>
        <w:rPr>
          <w:rFonts w:asciiTheme="minorHAnsi" w:hAnsiTheme="minorHAnsi"/>
          <w:noProof/>
          <w:sz w:val="22"/>
        </w:rPr>
      </w:pPr>
      <w:hyperlink w:anchor="_Toc256000035" w:history="1">
        <w:r>
          <w:rPr>
            <w:rStyle w:val="Hyperlink"/>
          </w:rPr>
          <w:t>Configure the authentication provider by using a guided wizard</w:t>
        </w:r>
        <w:r>
          <w:tab/>
        </w:r>
        <w:r>
          <w:fldChar w:fldCharType="begin"/>
        </w:r>
        <w:r>
          <w:instrText xml:space="preserve"> PAGEREF _Toc256000035 \h </w:instrText>
        </w:r>
        <w:r>
          <w:fldChar w:fldCharType="separate"/>
        </w:r>
        <w:r>
          <w:t>6</w:t>
        </w:r>
        <w:r>
          <w:fldChar w:fldCharType="end"/>
        </w:r>
      </w:hyperlink>
    </w:p>
    <w:p>
      <w:pPr>
        <w:pStyle w:val="TOC3"/>
        <w:rPr>
          <w:rFonts w:asciiTheme="minorHAnsi" w:hAnsiTheme="minorHAnsi"/>
          <w:noProof/>
          <w:sz w:val="22"/>
        </w:rPr>
      </w:pPr>
      <w:hyperlink w:anchor="_Toc256000036" w:history="1">
        <w:r>
          <w:rPr>
            <w:rStyle w:val="Hyperlink"/>
          </w:rPr>
          <w:t>Configure the authentication provider by using predefined parameters</w:t>
        </w:r>
        <w:r>
          <w:tab/>
        </w:r>
        <w:r>
          <w:fldChar w:fldCharType="begin"/>
        </w:r>
        <w:r>
          <w:instrText xml:space="preserve"> PAGEREF _Toc256000036 \h </w:instrText>
        </w:r>
        <w:r>
          <w:fldChar w:fldCharType="separate"/>
        </w:r>
        <w:r>
          <w:t>6</w:t>
        </w:r>
        <w:r>
          <w:fldChar w:fldCharType="end"/>
        </w:r>
      </w:hyperlink>
    </w:p>
    <w:p>
      <w:pPr>
        <w:pStyle w:val="TOC3"/>
        <w:rPr>
          <w:rFonts w:asciiTheme="minorHAnsi" w:hAnsiTheme="minorHAnsi"/>
          <w:noProof/>
          <w:sz w:val="22"/>
        </w:rPr>
      </w:pPr>
      <w:hyperlink w:anchor="_Toc256000037" w:history="1">
        <w:r>
          <w:rPr>
            <w:rStyle w:val="Hyperlink"/>
          </w:rPr>
          <w:t>Example authentication configurations</w:t>
        </w:r>
        <w:r>
          <w:tab/>
        </w:r>
        <w:r>
          <w:fldChar w:fldCharType="begin"/>
        </w:r>
        <w:r>
          <w:instrText xml:space="preserve"> PAGEREF _Toc256000037 \h </w:instrText>
        </w:r>
        <w:r>
          <w:fldChar w:fldCharType="separate"/>
        </w:r>
        <w:r>
          <w:t>7</w:t>
        </w:r>
        <w:r>
          <w:fldChar w:fldCharType="end"/>
        </w:r>
      </w:hyperlink>
    </w:p>
    <w:p>
      <w:pPr>
        <w:pStyle w:val="TOC3"/>
        <w:rPr>
          <w:rFonts w:asciiTheme="minorHAnsi" w:hAnsiTheme="minorHAnsi"/>
          <w:noProof/>
          <w:sz w:val="22"/>
        </w:rPr>
      </w:pPr>
      <w:hyperlink w:anchor="_Toc256000038" w:history="1">
        <w:r>
          <w:rPr>
            <w:rStyle w:val="Hyperlink"/>
          </w:rPr>
          <w:t>Unregister an authentication provider</w:t>
        </w:r>
        <w:r>
          <w:tab/>
        </w:r>
        <w:r>
          <w:fldChar w:fldCharType="begin"/>
        </w:r>
        <w:r>
          <w:instrText xml:space="preserve"> PAGEREF _Toc256000038 \h </w:instrText>
        </w:r>
        <w:r>
          <w:fldChar w:fldCharType="separate"/>
        </w:r>
        <w:r>
          <w:t>8</w:t>
        </w:r>
        <w:r>
          <w:fldChar w:fldCharType="end"/>
        </w:r>
      </w:hyperlink>
    </w:p>
    <w:p>
      <w:pPr>
        <w:pStyle w:val="TOC3"/>
        <w:rPr>
          <w:rFonts w:asciiTheme="minorHAnsi" w:hAnsiTheme="minorHAnsi"/>
          <w:noProof/>
          <w:sz w:val="22"/>
        </w:rPr>
      </w:pPr>
      <w:hyperlink w:anchor="_Toc256000039" w:history="1">
        <w:r>
          <w:rPr>
            <w:rStyle w:val="Hyperlink"/>
          </w:rPr>
          <w:t>CLI command logs</w:t>
        </w:r>
        <w:r>
          <w:tab/>
        </w:r>
        <w:r>
          <w:fldChar w:fldCharType="begin"/>
        </w:r>
        <w:r>
          <w:instrText xml:space="preserve"> PAGEREF _Toc256000039 \h </w:instrText>
        </w:r>
        <w:r>
          <w:fldChar w:fldCharType="separate"/>
        </w:r>
        <w:r>
          <w:t>8</w:t>
        </w:r>
        <w:r>
          <w:fldChar w:fldCharType="end"/>
        </w:r>
      </w:hyperlink>
    </w:p>
    <w:p>
      <w:pPr>
        <w:pStyle w:val="TOC1"/>
        <w:rPr>
          <w:rFonts w:asciiTheme="minorHAnsi" w:hAnsiTheme="minorHAnsi"/>
          <w:noProof/>
          <w:sz w:val="22"/>
        </w:rPr>
      </w:pPr>
      <w:hyperlink w:anchor="_Toc256000040" w:history="1">
        <w:r>
          <w:rPr>
            <w:rStyle w:val="Hyperlink"/>
          </w:rPr>
          <w:t>2.</w:t>
        </w:r>
        <w:r>
          <w:rPr>
            <w:rFonts w:asciiTheme="minorHAnsi" w:hAnsiTheme="minorHAnsi"/>
            <w:noProof/>
            <w:sz w:val="22"/>
          </w:rPr>
          <w:tab/>
        </w:r>
        <w:r>
          <w:rPr>
            <w:rStyle w:val="Hyperlink"/>
          </w:rPr>
          <w:t>Manual Deployment and Configuration of Components for Advanced Architectures for VMware Cloud Foundation and VMware vSphere Foundation</w:t>
        </w:r>
        <w:r>
          <w:tab/>
        </w:r>
        <w:r>
          <w:fldChar w:fldCharType="begin"/>
        </w:r>
        <w:r>
          <w:instrText xml:space="preserve"> PAGEREF _Toc256000040 \h </w:instrText>
        </w:r>
        <w:r>
          <w:fldChar w:fldCharType="separate"/>
        </w:r>
        <w:r>
          <w:t>9</w:t>
        </w:r>
        <w:r>
          <w:fldChar w:fldCharType="end"/>
        </w:r>
      </w:hyperlink>
    </w:p>
    <w:p>
      <w:pPr>
        <w:pStyle w:val="TOC2"/>
        <w:rPr>
          <w:rFonts w:asciiTheme="minorHAnsi" w:hAnsiTheme="minorHAnsi"/>
          <w:noProof/>
          <w:sz w:val="22"/>
        </w:rPr>
      </w:pPr>
      <w:hyperlink w:anchor="_Toc256000041" w:history="1">
        <w:r>
          <w:rPr>
            <w:rStyle w:val="Hyperlink"/>
          </w:rPr>
          <w:t>Configure Cluster for Continuous Availability</w:t>
        </w:r>
        <w:r>
          <w:tab/>
        </w:r>
        <w:r>
          <w:fldChar w:fldCharType="begin"/>
        </w:r>
        <w:r>
          <w:instrText xml:space="preserve"> PAGEREF _Toc256000041 \h </w:instrText>
        </w:r>
        <w:r>
          <w:fldChar w:fldCharType="separate"/>
        </w:r>
        <w:r>
          <w:t>9</w:t>
        </w:r>
        <w:r>
          <w:fldChar w:fldCharType="end"/>
        </w:r>
      </w:hyperlink>
    </w:p>
    <w:p>
      <w:pPr>
        <w:pStyle w:val="TOC2"/>
        <w:rPr>
          <w:rFonts w:asciiTheme="minorHAnsi" w:hAnsiTheme="minorHAnsi"/>
          <w:noProof/>
          <w:sz w:val="22"/>
        </w:rPr>
      </w:pPr>
      <w:hyperlink w:anchor="_Toc256000042" w:history="1">
        <w:r>
          <w:rPr>
            <w:rStyle w:val="Hyperlink"/>
          </w:rPr>
          <w:t>Configure Cluster for High Availability</w:t>
        </w:r>
        <w:r>
          <w:tab/>
        </w:r>
        <w:r>
          <w:fldChar w:fldCharType="begin"/>
        </w:r>
        <w:r>
          <w:instrText xml:space="preserve"> PAGEREF _Toc256000042 \h </w:instrText>
        </w:r>
        <w:r>
          <w:fldChar w:fldCharType="separate"/>
        </w:r>
        <w:r>
          <w:t>12</w:t>
        </w:r>
        <w:r>
          <w:fldChar w:fldCharType="end"/>
        </w:r>
      </w:hyperlink>
    </w:p>
    <w:p>
      <w:pPr>
        <w:pStyle w:val="TOC1"/>
        <w:rPr>
          <w:rFonts w:asciiTheme="minorHAnsi" w:hAnsiTheme="minorHAnsi"/>
          <w:noProof/>
          <w:sz w:val="22"/>
        </w:rPr>
      </w:pPr>
      <w:hyperlink w:anchor="_Toc256000043" w:history="1">
        <w:r>
          <w:rPr>
            <w:rStyle w:val="Hyperlink"/>
          </w:rPr>
          <w:t>3.</w:t>
        </w:r>
        <w:r>
          <w:rPr>
            <w:rFonts w:asciiTheme="minorHAnsi" w:hAnsiTheme="minorHAnsi"/>
            <w:noProof/>
            <w:sz w:val="22"/>
          </w:rPr>
          <w:tab/>
        </w:r>
        <w:r>
          <w:rPr>
            <w:rStyle w:val="Hyperlink"/>
          </w:rPr>
          <w:t>Deploying VCF Management Components with Custom Networking</w:t>
        </w:r>
        <w:r>
          <w:tab/>
        </w:r>
        <w:r>
          <w:fldChar w:fldCharType="begin"/>
        </w:r>
        <w:r>
          <w:instrText xml:space="preserve"> PAGEREF _Toc256000043 \h </w:instrText>
        </w:r>
        <w:r>
          <w:fldChar w:fldCharType="separate"/>
        </w:r>
        <w:r>
          <w:t>15</w:t>
        </w:r>
        <w:r>
          <w:fldChar w:fldCharType="end"/>
        </w:r>
      </w:hyperlink>
    </w:p>
    <w:p>
      <w:pPr>
        <w:pStyle w:val="TOC2"/>
        <w:rPr>
          <w:rFonts w:asciiTheme="minorHAnsi" w:hAnsiTheme="minorHAnsi"/>
          <w:noProof/>
          <w:sz w:val="22"/>
        </w:rPr>
      </w:pPr>
      <w:hyperlink w:anchor="_Toc256000044" w:history="1">
        <w:r>
          <w:rPr>
            <w:rStyle w:val="Hyperlink"/>
          </w:rPr>
          <w:t>Deploy VCF Management Components on the Shared Management Network</w:t>
        </w:r>
        <w:r>
          <w:tab/>
        </w:r>
        <w:r>
          <w:fldChar w:fldCharType="begin"/>
        </w:r>
        <w:r>
          <w:instrText xml:space="preserve"> PAGEREF _Toc256000044 \h </w:instrText>
        </w:r>
        <w:r>
          <w:fldChar w:fldCharType="separate"/>
        </w:r>
        <w:r>
          <w:t>15</w:t>
        </w:r>
        <w:r>
          <w:fldChar w:fldCharType="end"/>
        </w:r>
      </w:hyperlink>
    </w:p>
    <w:p>
      <w:pPr>
        <w:pStyle w:val="TOC2"/>
        <w:rPr>
          <w:rFonts w:asciiTheme="minorHAnsi" w:hAnsiTheme="minorHAnsi"/>
          <w:noProof/>
          <w:sz w:val="22"/>
        </w:rPr>
      </w:pPr>
      <w:hyperlink w:anchor="_Toc256000045" w:history="1">
        <w:r>
          <w:rPr>
            <w:rStyle w:val="Hyperlink"/>
          </w:rPr>
          <w:t>Deploy VCF Management Components on a Dedicated Management Network</w:t>
        </w:r>
        <w:r>
          <w:tab/>
        </w:r>
        <w:r>
          <w:fldChar w:fldCharType="begin"/>
        </w:r>
        <w:r>
          <w:instrText xml:space="preserve"> PAGEREF _Toc256000045 \h </w:instrText>
        </w:r>
        <w:r>
          <w:fldChar w:fldCharType="separate"/>
        </w:r>
        <w:r>
          <w:t>16</w:t>
        </w:r>
        <w:r>
          <w:fldChar w:fldCharType="end"/>
        </w:r>
      </w:hyperlink>
    </w:p>
    <w:p>
      <w:pPr>
        <w:pStyle w:val="TOC2"/>
        <w:rPr>
          <w:rFonts w:asciiTheme="minorHAnsi" w:hAnsiTheme="minorHAnsi"/>
          <w:noProof/>
          <w:sz w:val="22"/>
        </w:rPr>
      </w:pPr>
      <w:hyperlink w:anchor="_Toc256000046" w:history="1">
        <w:r>
          <w:rPr>
            <w:rStyle w:val="Hyperlink"/>
          </w:rPr>
          <w:t>Deploy VCF Management Components on an NSX Overlay Segment</w:t>
        </w:r>
        <w:r>
          <w:tab/>
        </w:r>
        <w:r>
          <w:fldChar w:fldCharType="begin"/>
        </w:r>
        <w:r>
          <w:instrText xml:space="preserve"> PAGEREF _Toc256000046 \h </w:instrText>
        </w:r>
        <w:r>
          <w:fldChar w:fldCharType="separate"/>
        </w:r>
        <w:r>
          <w:t>17</w:t>
        </w:r>
        <w:r>
          <w:fldChar w:fldCharType="end"/>
        </w:r>
      </w:hyperlink>
    </w:p>
    <w:p>
      <w:pPr>
        <w:pStyle w:val="TOC2"/>
        <w:rPr>
          <w:rFonts w:asciiTheme="minorHAnsi" w:hAnsiTheme="minorHAnsi"/>
          <w:noProof/>
          <w:sz w:val="22"/>
        </w:rPr>
      </w:pPr>
      <w:hyperlink w:anchor="_Toc256000047" w:history="1">
        <w:r>
          <w:rPr>
            <w:rStyle w:val="Hyperlink"/>
          </w:rPr>
          <w:t>Deploy VCF Management Components on an NSX VLAN Segment</w:t>
        </w:r>
        <w:r>
          <w:tab/>
        </w:r>
        <w:r>
          <w:fldChar w:fldCharType="begin"/>
        </w:r>
        <w:r>
          <w:instrText xml:space="preserve"> PAGEREF _Toc256000047 \h </w:instrText>
        </w:r>
        <w:r>
          <w:fldChar w:fldCharType="separate"/>
        </w:r>
        <w:r>
          <w:t>19</w:t>
        </w:r>
        <w:r>
          <w:fldChar w:fldCharType="end"/>
        </w:r>
      </w:hyperlink>
    </w:p>
    <w:p w:rsidR="00317810" w:rsidRPr="00FF1CA0" w:rsidP="00317810">
      <w:pPr>
        <w:rPr>
          <w:rFonts w:cs="Arial"/>
          <w:b/>
          <w:bCs/>
          <w:noProof/>
        </w:rPr>
      </w:pPr>
      <w:r>
        <w:rPr>
          <w:rFonts w:cs="Arial"/>
        </w:rPr>
        <w:fldChar w:fldCharType="end"/>
      </w:r>
    </w:p>
    <w:p>
      <w:pPr>
        <w:pStyle w:val="Heading1"/>
      </w:pPr>
      <w:bookmarkStart w:id="2" w:name="_Toc256000032"/>
      <w:r>
        <w:t>Deploying VCF Operations orchestrator</w:t>
      </w:r>
      <w:bookmarkEnd w:id="2"/>
    </w:p>
    <w:p>
      <w:pPr>
        <w:pStyle w:val="BodyText"/>
      </w:pPr>
      <w:r>
        <w:t xml:space="preserve">Before you can access the </w:t>
      </w:r>
      <w:r>
        <w:t>VCF Operations orchestrator</w:t>
      </w:r>
      <w:r>
        <w:t xml:space="preserve"> content in your VCF environment, deploy the </w:t>
      </w:r>
      <w:r>
        <w:t>VCF Operations orchestrator</w:t>
      </w:r>
      <w:r>
        <w:t xml:space="preserve"> appliance.</w:t>
      </w:r>
    </w:p>
    <w:p>
      <w:pPr>
        <w:pStyle w:val="BodyText"/>
      </w:pPr>
      <w:r>
        <w:rPr>
          <w:rStyle w:val="Strong"/>
        </w:rPr>
        <w:t>Prerequisites</w:t>
      </w:r>
    </w:p>
    <w:p>
      <w:pPr>
        <w:pStyle w:val="BodyText"/>
        <w:numPr>
          <w:numId w:val="8"/>
        </w:numPr>
      </w:pPr>
      <w:r>
        <w:t xml:space="preserve">Verify that you have a running </w:t>
      </w:r>
      <w:r>
        <w:t xml:space="preserve"> instance. The </w:t>
      </w:r>
      <w:r>
        <w:t xml:space="preserve"> version must be 9 or later.</w:t>
      </w:r>
    </w:p>
    <w:p>
      <w:pPr>
        <w:pStyle w:val="BodyText"/>
        <w:numPr>
          <w:numId w:val="8"/>
        </w:numPr>
      </w:pPr>
      <w:r>
        <w:t xml:space="preserve">Verify that the host on which you are deploying the </w:t>
      </w:r>
      <w:r>
        <w:t>VCF Operations orchestrator</w:t>
      </w:r>
      <w:r>
        <w:t xml:space="preserve"> appliance meets the minimum hardware requirements.</w:t>
      </w:r>
    </w:p>
    <w:p>
      <w:pPr>
        <w:pStyle w:val="BodyText"/>
        <w:numPr>
          <w:ilvl w:val="1"/>
          <w:numId w:val="8"/>
        </w:numPr>
      </w:pPr>
      <w:r>
        <w:t>4 CPUs</w:t>
      </w:r>
    </w:p>
    <w:p>
      <w:pPr>
        <w:pStyle w:val="BodyText"/>
        <w:numPr>
          <w:ilvl w:val="1"/>
          <w:numId w:val="8"/>
        </w:numPr>
      </w:pPr>
      <w:r>
        <w:t>12 GB of memory</w:t>
      </w:r>
    </w:p>
    <w:p>
      <w:pPr>
        <w:pStyle w:val="BodyText"/>
        <w:numPr>
          <w:ilvl w:val="1"/>
          <w:numId w:val="8"/>
        </w:numPr>
      </w:pPr>
      <w:r>
        <w:t>200 GB hard disk</w:t>
      </w:r>
    </w:p>
    <w:p>
      <w:pPr>
        <w:pStyle w:val="BodyText"/>
        <w:pBdr>
          <w:top w:val="single" w:sz="8" w:space="2" w:color="D3D3D3"/>
          <w:bottom w:val="single" w:sz="8" w:space="2" w:color="D3D3D3"/>
        </w:pBdr>
        <w:ind w:left="480"/>
      </w:pPr>
      <w:r>
        <w:rPr>
          <w:rStyle w:val="NoteLeadernote"/>
        </w:rPr>
        <w:t>Note</w:t>
        <w:tab/>
      </w:r>
      <w:r>
        <w:t xml:space="preserve">Do not reduce the default memory size, because the </w:t>
      </w:r>
      <w:r>
        <w:t>VCF Operations orchestrator</w:t>
      </w:r>
      <w:r>
        <w:t xml:space="preserve"> server requires at least 8 GB of free memory.</w:t>
      </w:r>
    </w:p>
    <w:p>
      <w:pPr>
        <w:pStyle w:val="BodyText"/>
        <w:numPr>
          <w:numId w:val="8"/>
        </w:numPr>
      </w:pPr>
      <w:r>
        <w:t xml:space="preserve">If your system is isolated and without Internet access, you must download the </w:t>
      </w:r>
      <w:r>
        <w:rPr>
          <w:rStyle w:val="InlineCode"/>
        </w:rPr>
        <w:t>.ova</w:t>
      </w:r>
      <w:r>
        <w:t xml:space="preserve"> file for the appliance from the Broadcom support portal.</w:t>
      </w:r>
    </w:p>
    <w:p>
      <w:pPr>
        <w:pStyle w:val="BodyText"/>
      </w:pPr>
      <w:r>
        <w:rPr>
          <w:rStyle w:val="Strong"/>
        </w:rPr>
        <w:t>Procedure</w:t>
      </w:r>
    </w:p>
    <w:p>
      <w:pPr>
        <w:pStyle w:val="BodyText"/>
        <w:numPr>
          <w:numId w:val="9"/>
        </w:numPr>
      </w:pPr>
      <w:r>
        <w:t xml:space="preserve">Log in to the vSphere Client as an </w:t>
      </w:r>
      <w:r>
        <w:rPr>
          <w:rStyle w:val="InlineUI"/>
        </w:rPr>
        <w:t>administrator</w:t>
      </w:r>
      <w:r>
        <w:t>.</w:t>
      </w:r>
    </w:p>
    <w:p>
      <w:pPr>
        <w:pStyle w:val="BodyText"/>
        <w:numPr>
          <w:numId w:val="9"/>
        </w:numPr>
      </w:pPr>
      <w:r>
        <w:t>Select an inventory object that is a valid parent object of a virtual machine, such as a data center, folder, cluster, resource pool, or host.</w:t>
      </w:r>
    </w:p>
    <w:p>
      <w:pPr>
        <w:pStyle w:val="BodyText"/>
        <w:numPr>
          <w:numId w:val="9"/>
        </w:numPr>
      </w:pPr>
      <w:r>
        <w:t xml:space="preserve">Select </w:t>
      </w:r>
      <w:r>
        <w:rPr>
          <w:rStyle w:val="InlineUI"/>
        </w:rPr>
        <w:t>Actions</w:t>
      </w:r>
      <w:r>
        <w:rPr>
          <w:rStyle w:val="InlineUI"/>
        </w:rPr>
        <w:t xml:space="preserve"> &gt; </w:t>
      </w:r>
      <w:r>
        <w:rPr>
          <w:rStyle w:val="InlineUI"/>
        </w:rPr>
        <w:t>Deploy OVF Template</w:t>
      </w:r>
      <w:r>
        <w:t>.</w:t>
      </w:r>
    </w:p>
    <w:p>
      <w:pPr>
        <w:pStyle w:val="BodyText"/>
        <w:numPr>
          <w:numId w:val="9"/>
        </w:numPr>
      </w:pPr>
      <w:r>
        <w:t xml:space="preserve">Enter the file path or the URL to the </w:t>
      </w:r>
      <w:r>
        <w:rPr>
          <w:rStyle w:val="InlineCode"/>
        </w:rPr>
        <w:t>.ova</w:t>
      </w:r>
      <w:r>
        <w:t xml:space="preserve"> file and click </w:t>
      </w:r>
      <w:r>
        <w:rPr>
          <w:rStyle w:val="InlineUI"/>
        </w:rPr>
        <w:t>Next</w:t>
      </w:r>
      <w:r>
        <w:t>.</w:t>
      </w:r>
    </w:p>
    <w:p>
      <w:pPr>
        <w:pStyle w:val="BodyText"/>
        <w:numPr>
          <w:numId w:val="9"/>
        </w:numPr>
      </w:pPr>
      <w:r>
        <w:t xml:space="preserve">Enter a name and location for the </w:t>
      </w:r>
      <w:r>
        <w:t>VCF Operations orchestrator</w:t>
      </w:r>
      <w:r>
        <w:t xml:space="preserve"> appliance, and click </w:t>
      </w:r>
      <w:r>
        <w:rPr>
          <w:rStyle w:val="InlineUI"/>
        </w:rPr>
        <w:t>Next</w:t>
      </w:r>
      <w:r>
        <w:t>.</w:t>
      </w:r>
    </w:p>
    <w:p>
      <w:pPr>
        <w:pStyle w:val="BodyText"/>
        <w:numPr>
          <w:numId w:val="9"/>
        </w:numPr>
      </w:pPr>
      <w:r>
        <w:t xml:space="preserve">Select a host, cluster, resource pool, or vApp as a destination on which you want the appliance to run, and click </w:t>
      </w:r>
      <w:r>
        <w:rPr>
          <w:rStyle w:val="InlineUI"/>
        </w:rPr>
        <w:t>Next</w:t>
      </w:r>
      <w:r>
        <w:t>.</w:t>
      </w:r>
    </w:p>
    <w:p>
      <w:pPr>
        <w:pStyle w:val="BodyText"/>
        <w:numPr>
          <w:numId w:val="9"/>
        </w:numPr>
      </w:pPr>
      <w:r>
        <w:t xml:space="preserve">Review the deployment details, and click </w:t>
      </w:r>
      <w:r>
        <w:rPr>
          <w:rStyle w:val="InlineUI"/>
        </w:rPr>
        <w:t>Next</w:t>
      </w:r>
      <w:r>
        <w:t>.</w:t>
      </w:r>
    </w:p>
    <w:p>
      <w:pPr>
        <w:pStyle w:val="BodyText"/>
        <w:numPr>
          <w:numId w:val="9"/>
        </w:numPr>
      </w:pPr>
      <w:r>
        <w:t xml:space="preserve">Accept the terms in the license agreement and click </w:t>
      </w:r>
      <w:r>
        <w:rPr>
          <w:rStyle w:val="InlineUI"/>
        </w:rPr>
        <w:t>Next</w:t>
      </w:r>
      <w:r>
        <w:t>.</w:t>
      </w:r>
    </w:p>
    <w:p>
      <w:pPr>
        <w:pStyle w:val="BodyText"/>
        <w:numPr>
          <w:numId w:val="9"/>
        </w:numPr>
      </w:pPr>
      <w:r>
        <w:t xml:space="preserve">Select the storage format you want to use for the </w:t>
      </w:r>
      <w:r>
        <w:t>VCF Operations orchestrator</w:t>
      </w:r>
      <w:r>
        <w:t xml:space="preserve"> appliance.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2"/>
        <w:gridCol w:w="769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Format</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Thick Provisioned Lazy Zeroed</w:t>
            </w:r>
          </w:p>
        </w:tc>
        <w:tc>
          <w:tcPr>
            <w:tcBorders>
              <w:left w:val="nil"/>
              <w:right w:val="nil"/>
            </w:tcBorders>
          </w:tcPr>
          <w:p>
            <w:pPr>
              <w:pStyle w:val="TableBodyText"/>
            </w:pPr>
            <w:r>
              <w:t>Creates a virtual disk in a default thick format. The space required for the virtual disk is allocated when the virtual disk is created. If any data remains on the physical device, it is not erased during creation, but is zeroed out on demand later on first write from the virtual machine.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Thick Provisioned Eager Zeroed</w:t>
            </w:r>
          </w:p>
        </w:tc>
        <w:tc>
          <w:tcPr>
            <w:tcBorders>
              <w:left w:val="nil"/>
              <w:right w:val="nil"/>
            </w:tcBorders>
          </w:tcPr>
          <w:p>
            <w:pPr>
              <w:pStyle w:val="TableBodyText"/>
            </w:pPr>
            <w:r>
              <w:t>Supports clustering features such as Fault Tolerance. The space required for the virtual disk is allocated when the virtual disk is created. If any data remains on the physical device, it is zeroed out when the virtual disk is created. It might take much longer to create disks in this format than to create disks in other formats.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Thin Provisioned Format</w:t>
            </w:r>
          </w:p>
        </w:tc>
        <w:tc>
          <w:tcPr>
            <w:tcBorders>
              <w:left w:val="nil"/>
              <w:right w:val="nil"/>
            </w:tcBorders>
          </w:tcPr>
          <w:p>
            <w:pPr>
              <w:pStyle w:val="TableBodyText"/>
            </w:pPr>
            <w:r>
              <w:t>Saves hard disk space. For the thin disk, you provision as much datastore space as the disk requires based on the value that you select for the disk size. The thin disk starts small and, at first, uses only as much datastore space as the disk needs for its initial operations.</w:t>
            </w:r>
          </w:p>
        </w:tc>
      </w:tr>
    </w:tbl>
    <w:p>
      <w:pPr>
        <w:pStyle w:val="BodyText"/>
        <w:numPr>
          <w:numId w:val="9"/>
        </w:numPr>
        <w:spacing w:before="240"/>
      </w:pPr>
      <w:r>
        <w:t xml:space="preserve">Click </w:t>
      </w:r>
      <w:r>
        <w:rPr>
          <w:rStyle w:val="InlineUI"/>
        </w:rPr>
        <w:t>Next</w:t>
      </w:r>
      <w:r>
        <w:t>.</w:t>
      </w:r>
    </w:p>
    <w:p>
      <w:pPr>
        <w:pStyle w:val="BodyText"/>
        <w:numPr>
          <w:numId w:val="9"/>
        </w:numPr>
      </w:pPr>
      <w:r>
        <w:t xml:space="preserve">Configure the network settings and enter the </w:t>
      </w:r>
      <w:r>
        <w:rPr>
          <w:rStyle w:val="InlineUI"/>
        </w:rPr>
        <w:t>root</w:t>
      </w:r>
      <w:r>
        <w:t xml:space="preserve"> password.</w:t>
      </w:r>
    </w:p>
    <w:p>
      <w:pPr>
        <w:pStyle w:val="BodyText"/>
        <w:ind w:left="480"/>
      </w:pPr>
      <w:r>
        <w:t xml:space="preserve">When configuring the network settings of the </w:t>
      </w:r>
      <w:r>
        <w:t>VCF Operations orchestrator</w:t>
      </w:r>
      <w:r>
        <w:t xml:space="preserve"> appliance, you must use the IPv4 protocol. For both DHCP and Static network configurations, you must add a fully qualified domain name (FQDN) for your </w:t>
      </w:r>
      <w:r>
        <w:t>VCF Operations orchestrator</w:t>
      </w:r>
      <w:r>
        <w:t xml:space="preserve"> appliance.</w:t>
      </w:r>
    </w:p>
    <w:p>
      <w:pPr>
        <w:pStyle w:val="BodyText"/>
        <w:ind w:left="480"/>
      </w:pPr>
      <w:r>
        <w:t xml:space="preserve">If the host name displayed in the shell of the deployed </w:t>
      </w:r>
      <w:r>
        <w:t>VCF Operations orchestrator</w:t>
      </w:r>
      <w:r>
        <w:t xml:space="preserve"> appliance is </w:t>
      </w:r>
      <w:r>
        <w:rPr>
          <w:rStyle w:val="InlineVar"/>
        </w:rPr>
        <w:t>photon-machine</w:t>
      </w:r>
      <w:r>
        <w:t>, the preceding network configuration requirements are not met.</w:t>
      </w:r>
    </w:p>
    <w:p>
      <w:pPr>
        <w:pStyle w:val="BodyText"/>
        <w:numPr>
          <w:numId w:val="9"/>
        </w:numPr>
      </w:pPr>
      <w:r>
        <w:t xml:space="preserve">(Optional) </w:t>
      </w:r>
      <w:r>
        <w:t xml:space="preserve">Configure additional network settings for the </w:t>
      </w:r>
      <w:r>
        <w:t>VCF Operations orchestrator</w:t>
      </w:r>
      <w:r>
        <w:t xml:space="preserve"> appliance, such as enabling SSH access.</w:t>
      </w:r>
    </w:p>
    <w:p>
      <w:pPr>
        <w:pStyle w:val="BodyText"/>
        <w:pBdr>
          <w:top w:val="single" w:sz="8" w:space="2" w:color="D3D3D3"/>
          <w:bottom w:val="single" w:sz="8" w:space="2" w:color="D3D3D3"/>
        </w:pBdr>
        <w:ind w:left="480"/>
      </w:pPr>
      <w:r>
        <w:rPr>
          <w:rStyle w:val="NoteLeadernote"/>
        </w:rPr>
        <w:t>Note</w:t>
        <w:tab/>
      </w:r>
      <w:r>
        <w:t>When configuring a Kubernetes network, the values of the internal cluster CIDR and internal service CIDR must allow for at least 1024 hosts. Because of this requirement, the network mask value must be 22 or less. Network mask values higher than 22 are invalid. The Kubernetes network properties have to following default values: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36"/>
        <w:gridCol w:w="1669"/>
        <w:gridCol w:w="5075"/>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rPr>
                <w:rStyle w:val="InlineCode"/>
              </w:rPr>
              <w:t>Kubernetes network property</w:t>
            </w:r>
          </w:p>
        </w:tc>
        <w:tc>
          <w:tcPr>
            <w:tcBorders>
              <w:left w:val="nil"/>
              <w:right w:val="nil"/>
            </w:tcBorders>
          </w:tcPr>
          <w:p>
            <w:pPr>
              <w:pStyle w:val="TableBodyText"/>
            </w:pPr>
            <w:r>
              <w:rPr>
                <w:rStyle w:val="InlineCode"/>
              </w:rPr>
              <w:t>Default value</w:t>
            </w:r>
          </w:p>
        </w:tc>
        <w:tc>
          <w:tcPr>
            <w:tcBorders>
              <w:left w:val="nil"/>
              <w:right w:val="nil"/>
            </w:tcBorders>
          </w:tcPr>
          <w:p>
            <w:pPr>
              <w:pStyle w:val="TableBodyText"/>
            </w:pPr>
            <w:r>
              <w:rPr>
                <w:rStyle w:val="InlineCode"/>
              </w:rPr>
              <w:t>Property description</w:t>
            </w:r>
          </w:p>
        </w:tc>
      </w:tr>
      <w:tr>
        <w:tblPrEx>
          <w:tblInd w:w="480" w:type="dxa"/>
          <w:tblCellMar>
            <w:left w:w="108" w:type="dxa"/>
            <w:right w:w="108" w:type="dxa"/>
          </w:tblCellMar>
        </w:tblPrEx>
        <w:trPr>
          <w:cantSplit/>
        </w:trPr>
        <w:tc>
          <w:tcPr>
            <w:tcBorders>
              <w:left w:val="nil"/>
              <w:right w:val="nil"/>
            </w:tcBorders>
          </w:tcPr>
          <w:p>
            <w:pPr>
              <w:pStyle w:val="TableBodyText"/>
            </w:pPr>
            <w:r>
              <w:t>Kubernetes internal cluster CIDR</w:t>
            </w:r>
          </w:p>
        </w:tc>
        <w:tc>
          <w:tcPr>
            <w:tcBorders>
              <w:left w:val="nil"/>
              <w:right w:val="nil"/>
            </w:tcBorders>
          </w:tcPr>
          <w:p>
            <w:pPr>
              <w:pStyle w:val="TableBodyText"/>
            </w:pPr>
            <w:r>
              <w:t>10.244.0.0/22</w:t>
            </w:r>
          </w:p>
        </w:tc>
        <w:tc>
          <w:tcPr>
            <w:tcBorders>
              <w:left w:val="nil"/>
              <w:right w:val="nil"/>
            </w:tcBorders>
          </w:tcPr>
          <w:p>
            <w:pPr>
              <w:pStyle w:val="TableBodyText"/>
            </w:pPr>
            <w:r>
              <w:t>The CIDR used for pods running inside the Kubernetes cluster.</w:t>
            </w:r>
          </w:p>
        </w:tc>
      </w:tr>
      <w:tr>
        <w:tblPrEx>
          <w:tblInd w:w="480" w:type="dxa"/>
          <w:tblCellMar>
            <w:left w:w="108" w:type="dxa"/>
            <w:right w:w="108" w:type="dxa"/>
          </w:tblCellMar>
        </w:tblPrEx>
        <w:trPr>
          <w:cantSplit/>
        </w:trPr>
        <w:tc>
          <w:tcPr>
            <w:tcBorders>
              <w:left w:val="nil"/>
              <w:right w:val="nil"/>
            </w:tcBorders>
          </w:tcPr>
          <w:p>
            <w:pPr>
              <w:pStyle w:val="TableBodyText"/>
            </w:pPr>
            <w:r>
              <w:t>Kubernetes internal service CIDR</w:t>
            </w:r>
          </w:p>
        </w:tc>
        <w:tc>
          <w:tcPr>
            <w:tcBorders>
              <w:left w:val="nil"/>
              <w:right w:val="nil"/>
            </w:tcBorders>
          </w:tcPr>
          <w:p>
            <w:pPr>
              <w:pStyle w:val="TableBodyText"/>
            </w:pPr>
            <w:r>
              <w:t>10.244.4.0/22</w:t>
            </w:r>
          </w:p>
        </w:tc>
        <w:tc>
          <w:tcPr>
            <w:tcBorders>
              <w:left w:val="nil"/>
              <w:right w:val="nil"/>
            </w:tcBorders>
          </w:tcPr>
          <w:p>
            <w:pPr>
              <w:pStyle w:val="TableBodyText"/>
            </w:pPr>
            <w:r>
              <w:t>The CIDR used for Kubernetes services inside the Kubernetes cluster.</w:t>
            </w:r>
          </w:p>
        </w:tc>
      </w:tr>
    </w:tbl>
    <w:p>
      <w:pPr>
        <w:pStyle w:val="BodyText"/>
        <w:pBdr>
          <w:top w:val="single" w:sz="8" w:space="2" w:color="D3D3D3"/>
          <w:bottom w:val="single" w:sz="8" w:space="2" w:color="D3D3D3"/>
        </w:pBdr>
        <w:spacing w:before="240"/>
      </w:pPr>
      <w:r>
        <w:rPr>
          <w:rStyle w:val="NoteLeadernote"/>
        </w:rPr>
        <w:t>Note</w:t>
        <w:tab/>
      </w:r>
      <w:r>
        <w:t>You can also change the Kubernetes CIDR network properties after deployment.</w:t>
      </w:r>
    </w:p>
    <w:p>
      <w:pPr>
        <w:pStyle w:val="BodyText"/>
        <w:numPr>
          <w:numId w:val="9"/>
        </w:numPr>
      </w:pPr>
      <w:r>
        <w:t xml:space="preserve">Click </w:t>
      </w:r>
      <w:r>
        <w:rPr>
          <w:rStyle w:val="InlineUI"/>
        </w:rPr>
        <w:t>Next</w:t>
      </w:r>
      <w:r>
        <w:t>.</w:t>
      </w:r>
    </w:p>
    <w:p>
      <w:pPr>
        <w:pStyle w:val="BodyText"/>
        <w:numPr>
          <w:numId w:val="9"/>
        </w:numPr>
      </w:pPr>
      <w:r>
        <w:t xml:space="preserve">Review the </w:t>
      </w:r>
      <w:r>
        <w:rPr>
          <w:rStyle w:val="InlineUI"/>
        </w:rPr>
        <w:t>Ready to complete</w:t>
      </w:r>
      <w:r>
        <w:t xml:space="preserve"> page and click </w:t>
      </w:r>
      <w:r>
        <w:rPr>
          <w:rStyle w:val="InlineUI"/>
        </w:rPr>
        <w:t>Finish</w:t>
      </w:r>
      <w:r>
        <w:t>.</w:t>
      </w:r>
    </w:p>
    <w:p>
      <w:pPr>
        <w:pStyle w:val="BodyText"/>
      </w:pPr>
      <w:r>
        <w:rPr>
          <w:rStyle w:val="Strong"/>
        </w:rPr>
        <w:t>Results</w:t>
      </w:r>
    </w:p>
    <w:p>
      <w:pPr>
        <w:pStyle w:val="BodyText"/>
      </w:pPr>
      <w:r>
        <w:t xml:space="preserve">The </w:t>
      </w:r>
      <w:r>
        <w:t>VCF Operations orchestrator</w:t>
      </w:r>
      <w:r>
        <w:t xml:space="preserve"> appliance is successfully deployed.</w:t>
      </w:r>
    </w:p>
    <w:p>
      <w:pPr>
        <w:pStyle w:val="BodyText"/>
      </w:pPr>
      <w:r>
        <w:rPr>
          <w:rStyle w:val="Strong"/>
        </w:rPr>
        <w:t>What to do next</w:t>
      </w:r>
    </w:p>
    <w:p>
      <w:pPr>
        <w:pStyle w:val="BodyText"/>
      </w:pPr>
      <w:r>
        <w:t xml:space="preserve">Log in to the </w:t>
      </w:r>
      <w:r>
        <w:t>VCF Operations orchestrator</w:t>
      </w:r>
      <w:r>
        <w:t xml:space="preserve"> appliance command line as </w:t>
      </w:r>
      <w:r>
        <w:rPr>
          <w:rStyle w:val="InlineUI"/>
        </w:rPr>
        <w:t>root</w:t>
      </w:r>
      <w:r>
        <w:t xml:space="preserve"> and confirm that you can perform a forward or reverse DNS lookup.</w:t>
      </w:r>
    </w:p>
    <w:p>
      <w:pPr>
        <w:pStyle w:val="BodyText"/>
        <w:numPr>
          <w:numId w:val="10"/>
        </w:numPr>
      </w:pPr>
      <w:r>
        <w:t xml:space="preserve">To perform a forward DNS lookup, run the </w:t>
      </w:r>
      <w:r>
        <w:rPr>
          <w:rStyle w:val="InlineCode"/>
        </w:rPr>
        <w:t>nslookup</w:t>
      </w:r>
      <w:r>
        <w:rPr>
          <w:rStyle w:val="InlineVar"/>
        </w:rPr>
        <w:t>your_orchestrator_FQDN</w:t>
      </w:r>
      <w:r>
        <w:t xml:space="preserve"> command. The command must return the </w:t>
      </w:r>
      <w:r>
        <w:t>VCF Operations orchestrator</w:t>
      </w:r>
      <w:r>
        <w:t xml:space="preserve"> appliance IP address.</w:t>
      </w:r>
    </w:p>
    <w:p>
      <w:pPr>
        <w:pStyle w:val="BodyText"/>
        <w:numPr>
          <w:numId w:val="10"/>
        </w:numPr>
      </w:pPr>
      <w:r>
        <w:t xml:space="preserve">To perform a reverse DNS lookup, run the </w:t>
      </w:r>
      <w:r>
        <w:rPr>
          <w:rStyle w:val="InlineCode"/>
        </w:rPr>
        <w:t>nslookup</w:t>
      </w:r>
      <w:r>
        <w:rPr>
          <w:rStyle w:val="InlineVar"/>
        </w:rPr>
        <w:t xml:space="preserve"> your_orchestrator_IP</w:t>
      </w:r>
      <w:r>
        <w:t xml:space="preserve"> command. The command must return the </w:t>
      </w:r>
      <w:r>
        <w:t>VCF Operations orchestrator</w:t>
      </w:r>
      <w:r>
        <w:t xml:space="preserve"> appliance FQDN.</w:t>
      </w:r>
    </w:p>
    <w:p>
      <w:pPr>
        <w:pStyle w:val="BodyText"/>
        <w:pBdr>
          <w:top w:val="single" w:sz="8" w:space="2" w:color="D3D3D3"/>
          <w:bottom w:val="single" w:sz="8" w:space="2" w:color="D3D3D3"/>
        </w:pBdr>
      </w:pPr>
      <w:r>
        <w:rPr>
          <w:rStyle w:val="NoteLeadernote"/>
        </w:rPr>
        <w:t>Note</w:t>
        <w:tab/>
      </w:r>
      <w:r>
        <w:t>If you have not enabled SSH during deployment, you can also perform DNS lookups from the virtual machine console in vSphere Client.</w:t>
      </w:r>
    </w:p>
    <w:p>
      <w:pPr>
        <w:pStyle w:val="BodyText"/>
      </w:pPr>
      <w:r>
        <w:t xml:space="preserve">If you encounter problems with your </w:t>
      </w:r>
      <w:r>
        <w:t>VCF Operations orchestrator</w:t>
      </w:r>
      <w:r>
        <w:t xml:space="preserve"> deployment, go to </w:t>
      </w:r>
      <w:hyperlink r:id="rId9" w:tooltip="KB 93142" w:history="1">
        <w:r>
          <w:rPr>
            <w:color w:val="0000FF"/>
            <w:u w:val="single"/>
          </w:rPr>
          <w:t>KB 93142</w:t>
        </w:r>
      </w:hyperlink>
      <w:r>
        <w:t>.</w:t>
      </w:r>
    </w:p>
    <w:p>
      <w:pPr>
        <w:pStyle w:val="Heading2"/>
      </w:pPr>
      <w:bookmarkStart w:id="3" w:name="_Toc256000033"/>
      <w:r>
        <w:t>Configuring the VCF Operations orchestrator authentication provider with the command line interface</w:t>
      </w:r>
      <w:bookmarkEnd w:id="3"/>
    </w:p>
    <w:p>
      <w:pPr>
        <w:pStyle w:val="BodyText"/>
      </w:pPr>
      <w:r>
        <w:t xml:space="preserve">То use your deployed </w:t>
      </w:r>
      <w:r>
        <w:t>VCF Operations orchestrator</w:t>
      </w:r>
      <w:r>
        <w:t xml:space="preserve">, you must authenticate the deployment through the command line interface (CLI). </w:t>
      </w:r>
      <w:r>
        <w:t xml:space="preserve">To use these commands, you must log in to the </w:t>
      </w:r>
      <w:r>
        <w:t>VCF Operations orchestrator</w:t>
      </w:r>
      <w:r>
        <w:t xml:space="preserve"> as a </w:t>
      </w:r>
      <w:r>
        <w:rPr>
          <w:rStyle w:val="InlineUI"/>
        </w:rPr>
        <w:t>root</w:t>
      </w:r>
      <w:r>
        <w:t xml:space="preserve"> user.</w:t>
      </w:r>
    </w:p>
    <w:p>
      <w:pPr>
        <w:pStyle w:val="SectionHeading3"/>
      </w:pPr>
      <w:bookmarkStart w:id="4" w:name="_Toc256000034"/>
      <w:r>
        <w:t>Retrieving the current authentication provider</w:t>
      </w:r>
      <w:bookmarkEnd w:id="4"/>
    </w:p>
    <w:p>
      <w:pPr>
        <w:pStyle w:val="BodyText"/>
      </w:pPr>
      <w:r>
        <w:t>You can retrieve the current authentication provider by running the following command:</w:t>
      </w:r>
    </w:p>
    <w:p>
      <w:pPr>
        <w:pStyle w:val="CodeBlock"/>
      </w:pPr>
      <w:r>
        <w:t xml:space="preserve">
        </w:t>
      </w:r>
      <w:r>
        <w:rPr>
          <w:rStyle w:val="InlineCode"/>
        </w:rPr>
        <w:t>vracli vro authentication</w:t>
      </w:r>
      <w:r>
        <w:t xml:space="preserve">
      </w:t>
      </w:r>
    </w:p>
    <w:p>
      <w:pPr>
        <w:pStyle w:val="SectionHeading3"/>
      </w:pPr>
      <w:bookmarkStart w:id="5" w:name="_Toc256000035"/>
      <w:r>
        <w:t>Configure the authentication provider by using a guided wizard</w:t>
      </w:r>
      <w:bookmarkEnd w:id="5"/>
    </w:p>
    <w:p>
      <w:pPr>
        <w:pStyle w:val="BodyText"/>
      </w:pPr>
      <w:r>
        <w:t>To configure the authentication provider by using a guided configuration wizard, run the following command:</w:t>
      </w:r>
    </w:p>
    <w:p>
      <w:pPr>
        <w:pStyle w:val="CodeBlock"/>
      </w:pPr>
      <w:r>
        <w:t xml:space="preserve">
        </w:t>
      </w:r>
      <w:r>
        <w:rPr>
          <w:rStyle w:val="InlineCode"/>
        </w:rPr>
        <w:t>vracli vro authentication wizard</w:t>
      </w:r>
      <w:r>
        <w:t xml:space="preserve">
      </w:t>
      </w:r>
    </w:p>
    <w:p>
      <w:pPr>
        <w:pStyle w:val="BodyText"/>
      </w:pPr>
      <w:r>
        <w:t>After running the authentication wizard command, you are prompted to provide the necessary authentication provider information such as the type of authentication provider, hostname, and password.</w:t>
      </w:r>
    </w:p>
    <w:p>
      <w:pPr>
        <w:pStyle w:val="BodyText"/>
      </w:pPr>
      <w:r>
        <w:t xml:space="preserve">To finish the configuring the authentication provider, restart the the </w:t>
      </w:r>
      <w:r>
        <w:t>VCF Operations orchestrator</w:t>
      </w:r>
      <w:r>
        <w:t xml:space="preserve"> server:</w:t>
      </w:r>
    </w:p>
    <w:p>
      <w:pPr>
        <w:pStyle w:val="CodeBlock"/>
      </w:pPr>
      <w:r>
        <w:t xml:space="preserve">
  kubectl -n prelude delete pods -lapp=vco-app
      </w:t>
      </w:r>
    </w:p>
    <w:p>
      <w:pPr>
        <w:pStyle w:val="SectionHeading3"/>
      </w:pPr>
      <w:bookmarkStart w:id="6" w:name="_Toc256000036"/>
      <w:r>
        <w:t>Configure the authentication provider by using predefined parameters</w:t>
      </w:r>
      <w:bookmarkEnd w:id="6"/>
    </w:p>
    <w:p>
      <w:pPr>
        <w:pStyle w:val="BodyText"/>
      </w:pPr>
      <w:r>
        <w:t xml:space="preserve">To configure the authentication provider by using predefined configuration parameters, run the </w:t>
      </w:r>
      <w:r>
        <w:rPr>
          <w:rStyle w:val="InlineCode"/>
        </w:rPr>
        <w:t>vracli vro authentication set</w:t>
      </w:r>
      <w:r>
        <w:t xml:space="preserve"> command. The command can have the following parameters: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7"/>
        <w:gridCol w:w="2245"/>
        <w:gridCol w:w="60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w:t>
            </w:r>
            <w:r>
              <w:t xml:space="preserve"> or </w:t>
            </w:r>
            <w:r>
              <w:rPr>
                <w:rStyle w:val="InlineCode"/>
              </w:rPr>
              <w:t>--provider</w:t>
            </w:r>
          </w:p>
        </w:tc>
        <w:tc>
          <w:tcPr>
            <w:tcBorders>
              <w:left w:val="nil"/>
              <w:right w:val="nil"/>
            </w:tcBorders>
          </w:tcPr>
          <w:p>
            <w:pPr>
              <w:pStyle w:val="TableBodyText"/>
            </w:pPr>
            <w:r>
              <w:t>Required</w:t>
            </w:r>
          </w:p>
        </w:tc>
        <w:tc>
          <w:tcPr>
            <w:tcBorders>
              <w:left w:val="nil"/>
              <w:right w:val="nil"/>
            </w:tcBorders>
          </w:tcPr>
          <w:p>
            <w:pPr>
              <w:pStyle w:val="TableBodyText"/>
            </w:pPr>
            <w:r>
              <w:t xml:space="preserve">This parameter defines the authentication provider type. The parameter value can be either </w:t>
            </w:r>
            <w:r>
              <w:rPr>
                <w:rStyle w:val="InlineCode"/>
              </w:rPr>
              <w:t>tm</w:t>
            </w:r>
            <w:r>
              <w:t xml:space="preserve">, </w:t>
            </w:r>
            <w:r>
              <w:rPr>
                <w:rStyle w:val="InlineCode"/>
              </w:rPr>
              <w:t>vsphere</w:t>
            </w:r>
            <w:r>
              <w:t xml:space="preserve">, or </w:t>
            </w:r>
            <w:r>
              <w:rPr>
                <w:rStyle w:val="InlineCode"/>
              </w:rPr>
              <w:t>vidb</w:t>
            </w:r>
            <w:r>
              <w:t xml:space="preserve"> depending on the authentication provider - </w:t>
            </w:r>
            <w:r>
              <w:t>VCF Automation</w:t>
            </w:r>
            <w:r>
              <w:t>, vSphere, or VCF SSO.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-hn</w:t>
            </w:r>
            <w:r>
              <w:t xml:space="preserve"> or </w:t>
            </w:r>
            <w:r>
              <w:rPr>
                <w:rStyle w:val="InlineCode"/>
              </w:rPr>
              <w:t>--hostname</w:t>
            </w:r>
          </w:p>
        </w:tc>
        <w:tc>
          <w:tcPr>
            <w:tcBorders>
              <w:left w:val="nil"/>
              <w:right w:val="nil"/>
            </w:tcBorders>
          </w:tcPr>
          <w:p>
            <w:pPr>
              <w:pStyle w:val="TableBodyText"/>
            </w:pPr>
            <w:r>
              <w:t>Required</w:t>
            </w:r>
          </w:p>
        </w:tc>
        <w:tc>
          <w:tcPr>
            <w:tcBorders>
              <w:left w:val="nil"/>
              <w:right w:val="nil"/>
            </w:tcBorders>
          </w:tcPr>
          <w:p>
            <w:pPr>
              <w:pStyle w:val="TableBodyText"/>
            </w:pPr>
            <w:r>
              <w:t>The hostname or URL of the authentication provider you want to configure. Both options are applicable.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-u</w:t>
            </w:r>
            <w:r>
              <w:t xml:space="preserve"> or </w:t>
            </w:r>
            <w:r>
              <w:rPr>
                <w:rStyle w:val="InlineCode"/>
              </w:rPr>
              <w:t>--username</w:t>
            </w:r>
          </w:p>
        </w:tc>
        <w:tc>
          <w:tcPr>
            <w:tcBorders>
              <w:left w:val="nil"/>
              <w:right w:val="nil"/>
            </w:tcBorders>
          </w:tcPr>
          <w:p>
            <w:pPr>
              <w:pStyle w:val="TableBodyText"/>
            </w:pPr>
            <w:r>
              <w:t>Required</w:t>
            </w:r>
          </w:p>
        </w:tc>
        <w:tc>
          <w:tcPr>
            <w:tcBorders>
              <w:left w:val="nil"/>
              <w:right w:val="nil"/>
            </w:tcBorders>
          </w:tcPr>
          <w:p>
            <w:pPr>
              <w:pStyle w:val="TableBodyText"/>
            </w:pPr>
            <w:r>
              <w:t>The username of the administrator associated with the authentication provider.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--password-file</w:t>
            </w:r>
          </w:p>
        </w:tc>
        <w:tc>
          <w:tcPr>
            <w:tcBorders>
              <w:left w:val="nil"/>
              <w:right w:val="nil"/>
            </w:tcBorders>
          </w:tcPr>
          <w:p>
            <w:pPr>
              <w:pStyle w:val="TableBodyText"/>
            </w:pPr>
            <w:r>
              <w:t>Optional</w:t>
            </w:r>
          </w:p>
        </w:tc>
        <w:tc>
          <w:tcPr>
            <w:tcBorders>
              <w:left w:val="nil"/>
              <w:right w:val="nil"/>
            </w:tcBorders>
          </w:tcPr>
          <w:p>
            <w:pPr>
              <w:pStyle w:val="TableBodyText"/>
            </w:pPr>
            <w:r>
              <w:t xml:space="preserve">The path to a file containing the password of the administrator account for the authentication provider. If left empty, you receive a prompt for adding the password data. The password file must be stored inside the </w:t>
            </w:r>
            <w:r>
              <w:rPr>
                <w:rStyle w:val="InlineCode"/>
              </w:rPr>
              <w:t>/data/vco/usr/lib/vco</w:t>
            </w:r>
            <w:r>
              <w:t xml:space="preserve"> directory of the </w:t>
            </w:r>
            <w:r>
              <w:t>VCF Operations orchestrator</w:t>
            </w:r>
            <w:r>
              <w:t xml:space="preserve"> appliance. When adding the parameter in the command, exclude the </w:t>
            </w:r>
            <w:r>
              <w:rPr>
                <w:rStyle w:val="InlineCode"/>
              </w:rPr>
              <w:t>/data/vco</w:t>
            </w:r>
            <w:r>
              <w:t xml:space="preserve"> part of the filepath.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--admin-group</w:t>
            </w:r>
          </w:p>
        </w:tc>
        <w:tc>
          <w:tcPr>
            <w:tcBorders>
              <w:left w:val="nil"/>
              <w:right w:val="nil"/>
            </w:tcBorders>
          </w:tcPr>
          <w:p>
            <w:pPr>
              <w:pStyle w:val="TableBodyText"/>
            </w:pPr>
            <w:r>
              <w:t xml:space="preserve">Required for </w:t>
            </w:r>
            <w:r>
              <w:t xml:space="preserve"> authetnication providers. Ignored for other authentication providers.</w:t>
            </w:r>
          </w:p>
        </w:tc>
        <w:tc>
          <w:tcPr>
            <w:tcBorders>
              <w:left w:val="nil"/>
              <w:right w:val="nil"/>
            </w:tcBorders>
          </w:tcPr>
          <w:p>
            <w:pPr>
              <w:pStyle w:val="TableBodyText"/>
            </w:pPr>
            <w:r>
              <w:t xml:space="preserve">Parameter for adding the </w:t>
            </w:r>
            <w:r>
              <w:t>VCF Operations orchestrator</w:t>
            </w:r>
            <w:r>
              <w:t xml:space="preserve"> administrators group of the specified </w:t>
            </w:r>
            <w:r>
              <w:t xml:space="preserve"> deployment.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--admin-group-domain</w:t>
            </w:r>
          </w:p>
        </w:tc>
        <w:tc>
          <w:tcPr>
            <w:tcBorders>
              <w:left w:val="nil"/>
              <w:right w:val="nil"/>
            </w:tcBorders>
          </w:tcPr>
          <w:p>
            <w:pPr>
              <w:pStyle w:val="TableBodyText"/>
            </w:pPr>
            <w:r>
              <w:t xml:space="preserve">Required for </w:t>
            </w:r>
            <w:r>
              <w:t xml:space="preserve"> authetnication providers. Ignored for other authentication providers.</w:t>
            </w:r>
          </w:p>
        </w:tc>
        <w:tc>
          <w:tcPr>
            <w:tcBorders>
              <w:left w:val="nil"/>
              <w:right w:val="nil"/>
            </w:tcBorders>
          </w:tcPr>
          <w:p>
            <w:pPr>
              <w:pStyle w:val="TableBodyText"/>
            </w:pPr>
            <w:r>
              <w:t>This parameter defines the administrator group domain.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-k</w:t>
            </w:r>
            <w:r>
              <w:t xml:space="preserve"> or </w:t>
            </w:r>
            <w:r>
              <w:rPr>
                <w:rStyle w:val="InlineCode"/>
              </w:rPr>
              <w:t>--ignore-certificate</w:t>
            </w:r>
          </w:p>
        </w:tc>
        <w:tc>
          <w:tcPr>
            <w:tcBorders>
              <w:left w:val="nil"/>
              <w:right w:val="nil"/>
            </w:tcBorders>
          </w:tcPr>
          <w:p>
            <w:pPr>
              <w:pStyle w:val="TableBodyText"/>
            </w:pPr>
            <w:r>
              <w:t>Optional</w:t>
            </w:r>
          </w:p>
        </w:tc>
        <w:tc>
          <w:tcPr>
            <w:tcBorders>
              <w:left w:val="nil"/>
              <w:right w:val="nil"/>
            </w:tcBorders>
          </w:tcPr>
          <w:p>
            <w:pPr>
              <w:pStyle w:val="TableBodyText"/>
            </w:pPr>
            <w:r>
              <w:t>Using this parameter, the authentication process is configured to automatically trust the certificate of the authentication provider.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-f</w:t>
            </w:r>
            <w:r>
              <w:t xml:space="preserve"> or </w:t>
            </w:r>
            <w:r>
              <w:rPr>
                <w:rStyle w:val="InlineCode"/>
              </w:rPr>
              <w:t>--force</w:t>
            </w:r>
          </w:p>
        </w:tc>
        <w:tc>
          <w:tcPr>
            <w:tcBorders>
              <w:left w:val="nil"/>
              <w:right w:val="nil"/>
            </w:tcBorders>
          </w:tcPr>
          <w:p>
            <w:pPr>
              <w:pStyle w:val="TableBodyText"/>
            </w:pPr>
            <w:r>
              <w:t>Optional</w:t>
            </w:r>
          </w:p>
        </w:tc>
        <w:tc>
          <w:tcPr>
            <w:tcBorders>
              <w:left w:val="nil"/>
              <w:right w:val="nil"/>
            </w:tcBorders>
          </w:tcPr>
          <w:p>
            <w:pPr>
              <w:pStyle w:val="TableBodyText"/>
            </w:pPr>
            <w:r>
              <w:t>Using this parameter, you are not prompted for confirmation if the specified authentication provider is already configured.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--fqdn</w:t>
            </w:r>
          </w:p>
        </w:tc>
        <w:tc>
          <w:tcPr>
            <w:tcBorders>
              <w:left w:val="nil"/>
              <w:right w:val="nil"/>
            </w:tcBorders>
          </w:tcPr>
          <w:p>
            <w:pPr>
              <w:pStyle w:val="TableBodyText"/>
            </w:pPr>
            <w:r>
              <w:t>Optional</w:t>
            </w:r>
          </w:p>
        </w:tc>
        <w:tc>
          <w:tcPr>
            <w:tcBorders>
              <w:left w:val="nil"/>
              <w:right w:val="nil"/>
            </w:tcBorders>
          </w:tcPr>
          <w:p>
            <w:pPr>
              <w:pStyle w:val="TableBodyText"/>
            </w:pPr>
            <w:r>
              <w:t xml:space="preserve">This parameter defines the external address of the </w:t>
            </w:r>
            <w:r>
              <w:t>VCF Operations orchestrator</w:t>
            </w:r>
            <w:r>
              <w:t xml:space="preserve"> server.</w:t>
            </w:r>
          </w:p>
          <w:p>
            <w:pPr>
              <w:pStyle w:val="TableBodyText"/>
              <w:pBdr>
                <w:top w:val="single" w:sz="8" w:space="2" w:color="D3D3D3"/>
                <w:bottom w:val="single" w:sz="8" w:space="2" w:color="D3D3D3"/>
              </w:pBdr>
            </w:pPr>
            <w:r>
              <w:rPr>
                <w:rStyle w:val="NoteLeadernote"/>
              </w:rPr>
              <w:t>Note</w:t>
              <w:tab/>
            </w:r>
            <w:r>
              <w:t xml:space="preserve">You can retrieve the FQDN address for your environment by running the </w:t>
            </w:r>
            <w:r>
              <w:rPr>
                <w:rStyle w:val="InlineCode"/>
              </w:rPr>
              <w:t>nslookup &lt;your_orchestrator_IP&gt;</w:t>
            </w:r>
            <w:r>
              <w:t xml:space="preserve"> command.</w:t>
            </w:r>
          </w:p>
        </w:tc>
      </w:tr>
    </w:tbl>
    <w:p>
      <w:pPr>
        <w:pStyle w:val="SectionHeading3"/>
        <w:spacing w:before="320"/>
      </w:pPr>
      <w:bookmarkStart w:id="7" w:name="_Toc256000037"/>
      <w:r>
        <w:t>Example authentication configurations</w:t>
      </w:r>
      <w:bookmarkEnd w:id="7"/>
    </w:p>
    <w:p>
      <w:pPr>
        <w:pStyle w:val="CodeBlock"/>
      </w:pPr>
      <w:r>
        <w:t xml:space="preserve">
vracli vro authentication set -f -k -p tm -u &lt;username&gt; -hn &lt;vcfa_hostname&gt; --fqdn &lt;deployment_fqdn&gt; --tenant &lt;tenant_ID&gt;
Enter credentials for authentication (could be API token, Bearer Token, Password): *******
The authentication provider has been successfully registered.
      </w:t>
      </w:r>
    </w:p>
    <w:p>
      <w:pPr>
        <w:pStyle w:val="CodeBlock"/>
      </w:pPr>
      <w:r>
        <w:t xml:space="preserve">
vracli vro authentication set -f -k -p vsphere -u &lt;username&gt; -hn &lt;vsphere_hostname&gt;  --fqdn &lt;deployment_fqdn&gt; --tenant &lt;tenant_ID&gt; --admin-group=&lt;admin_group_ID&gt; --admin-group-domain=&lt;admin_group_domain&gt;
      </w:t>
      </w:r>
    </w:p>
    <w:p>
      <w:pPr>
        <w:pStyle w:val="BodyText"/>
      </w:pPr>
      <w:r>
        <w:t xml:space="preserve">To finish the configuring the authentication provider, restart the the </w:t>
      </w:r>
      <w:r>
        <w:t>VCF Operations orchestrator</w:t>
      </w:r>
      <w:r>
        <w:t xml:space="preserve"> server:</w:t>
      </w:r>
    </w:p>
    <w:p>
      <w:pPr>
        <w:pStyle w:val="CodeBlock"/>
      </w:pPr>
      <w:r>
        <w:t xml:space="preserve">
        </w:t>
      </w:r>
      <w:r>
        <w:rPr>
          <w:rStyle w:val="InlineCode"/>
        </w:rPr>
        <w:t>kubectl -n prelude scale deployment vco-app --replicas=0kubectl -n prelude scale deployment vco-app --replicas=1</w:t>
      </w:r>
      <w:r>
        <w:t xml:space="preserve">
      </w:t>
      </w:r>
    </w:p>
    <w:p>
      <w:pPr>
        <w:pStyle w:val="SectionHeading3"/>
      </w:pPr>
      <w:bookmarkStart w:id="8" w:name="_Toc256000038"/>
      <w:r>
        <w:t>Unregister an authentication provider</w:t>
      </w:r>
      <w:bookmarkEnd w:id="8"/>
    </w:p>
    <w:p>
      <w:pPr>
        <w:pStyle w:val="BodyText"/>
      </w:pPr>
      <w:r>
        <w:t xml:space="preserve">You can unregister the current authentication provider by running the </w:t>
      </w:r>
      <w:r>
        <w:rPr>
          <w:rStyle w:val="InlineCode"/>
        </w:rPr>
        <w:t>vracli vro authentication unregister</w:t>
      </w:r>
      <w:r>
        <w:t xml:space="preserve"> command. This command can have the following parameters: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7"/>
        <w:gridCol w:w="1396"/>
        <w:gridCol w:w="71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-u</w:t>
            </w:r>
            <w:r>
              <w:t xml:space="preserve"> or </w:t>
            </w:r>
            <w:r>
              <w:rPr>
                <w:rStyle w:val="InlineCode"/>
              </w:rPr>
              <w:t>--username</w:t>
            </w:r>
          </w:p>
        </w:tc>
        <w:tc>
          <w:tcPr>
            <w:tcBorders>
              <w:left w:val="nil"/>
              <w:right w:val="nil"/>
            </w:tcBorders>
          </w:tcPr>
          <w:p>
            <w:pPr>
              <w:pStyle w:val="TableBodyText"/>
            </w:pPr>
            <w:r>
              <w:t>Required</w:t>
            </w:r>
          </w:p>
        </w:tc>
        <w:tc>
          <w:tcPr>
            <w:tcBorders>
              <w:left w:val="nil"/>
              <w:right w:val="nil"/>
            </w:tcBorders>
          </w:tcPr>
          <w:p>
            <w:pPr>
              <w:pStyle w:val="TableBodyText"/>
            </w:pPr>
            <w:r>
              <w:t>The username of the administrator associated with the authentication provider.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--password-file</w:t>
            </w:r>
          </w:p>
        </w:tc>
        <w:tc>
          <w:tcPr>
            <w:tcBorders>
              <w:left w:val="nil"/>
              <w:right w:val="nil"/>
            </w:tcBorders>
          </w:tcPr>
          <w:p>
            <w:pPr>
              <w:pStyle w:val="TableBodyText"/>
            </w:pPr>
            <w:r>
              <w:t>Optional</w:t>
            </w:r>
          </w:p>
        </w:tc>
        <w:tc>
          <w:tcPr>
            <w:tcBorders>
              <w:left w:val="nil"/>
              <w:right w:val="nil"/>
            </w:tcBorders>
          </w:tcPr>
          <w:p>
            <w:pPr>
              <w:pStyle w:val="TableBodyText"/>
            </w:pPr>
            <w:r>
              <w:t xml:space="preserve">The path to a file containing the password of the administrator account for the authentication provider. If left empty, you receive a prompt for adding the password data. The password file must be stored inside the </w:t>
            </w:r>
            <w:r>
              <w:rPr>
                <w:rStyle w:val="InlineCode"/>
              </w:rPr>
              <w:t>/data/vco/usr/lib/vco</w:t>
            </w:r>
            <w:r>
              <w:t xml:space="preserve"> directory of the appliance. When including the parameter in the command, exclude the </w:t>
            </w:r>
            <w:r>
              <w:rPr>
                <w:rStyle w:val="InlineCode"/>
              </w:rPr>
              <w:t>/data/vco</w:t>
            </w:r>
            <w:r>
              <w:t xml:space="preserve"> part of the filepath.</w:t>
            </w:r>
          </w:p>
        </w:tc>
      </w:tr>
    </w:tbl>
    <w:p>
      <w:pPr>
        <w:pStyle w:val="SectionHeading3"/>
        <w:spacing w:before="320"/>
      </w:pPr>
      <w:bookmarkStart w:id="9" w:name="_Toc256000039"/>
      <w:r>
        <w:t>CLI command logs</w:t>
      </w:r>
      <w:bookmarkEnd w:id="9"/>
    </w:p>
    <w:p>
      <w:pPr>
        <w:pStyle w:val="BodyText"/>
      </w:pPr>
      <w:r>
        <w:t>VCF Operations orchestrator</w:t>
      </w:r>
      <w:r>
        <w:t xml:space="preserve"> CLI commands print their logs in the </w:t>
      </w:r>
      <w:r>
        <w:rPr>
          <w:rStyle w:val="InlineCode"/>
        </w:rPr>
        <w:t>/services-logs/prelude/vco-app/file-logs/vco-server-app_cfg-cli.log</w:t>
      </w:r>
      <w:r>
        <w:t xml:space="preserve"> file. When a command returns a result different than zero and the standard output does not show a specific error, the exception is visible in this file.</w:t>
      </w:r>
    </w:p>
    <w:p>
      <w:pPr>
        <w:pStyle w:val="Heading1"/>
      </w:pPr>
      <w:bookmarkStart w:id="10" w:name="_Toc256000040"/>
      <w:r>
        <w:t>Manual Deployment and Configuration of Components for Advanced Architectures for VMware Cloud Foundation and VMware vSphere Foundation</w:t>
      </w:r>
      <w:bookmarkEnd w:id="10"/>
    </w:p>
    <w:p>
      <w:pPr>
        <w:pStyle w:val="BodyText"/>
      </w:pPr>
      <w:r>
        <w:t xml:space="preserve">Certain VCF components support architectures that are not automated by </w:t>
      </w:r>
      <w:r>
        <w:t>VCF Installer</w:t>
      </w:r>
      <w:r>
        <w:t>. You manually deploy and configure components to achieve the required states.</w:t>
      </w:r>
    </w:p>
    <w:p>
      <w:pPr>
        <w:pStyle w:val="Heading2"/>
      </w:pPr>
      <w:bookmarkStart w:id="11" w:name="_Toc256000041"/>
      <w:r>
        <w:t>Configure Cluster for Continuous Availability</w:t>
      </w:r>
      <w:bookmarkEnd w:id="11"/>
    </w:p>
    <w:p>
      <w:pPr>
        <w:pStyle w:val="BodyText"/>
      </w:pPr>
      <w:r>
        <w:t>VCF Installer</w:t>
      </w:r>
      <w:r>
        <w:t xml:space="preserve"> supports the deployment of </w:t>
      </w:r>
      <w:r>
        <w:t xml:space="preserve"> in either Simple mode or High Availability mode during the initial VCF deployment. After the initial deployment, the </w:t>
      </w:r>
      <w:r>
        <w:t xml:space="preserve"> cluster can be converted to a continuous availability architecture</w:t>
      </w:r>
    </w:p>
    <w:p>
      <w:pPr>
        <w:pStyle w:val="BodyText"/>
      </w:pPr>
      <w:r>
        <w:rPr>
          <w:rStyle w:val="Strong"/>
        </w:rPr>
        <w:t>Prerequisites</w:t>
      </w:r>
    </w:p>
    <w:p>
      <w:pPr>
        <w:pStyle w:val="BodyText"/>
      </w:pPr>
      <w:r>
        <w:t xml:space="preserve">Identify three separate fault domains for the installation of the </w:t>
      </w:r>
      <w:r>
        <w:t xml:space="preserve"> primary node and data nodes, the </w:t>
      </w:r>
      <w:r>
        <w:t xml:space="preserve"> primary replica node and data nodes, and the witness node, respectively. The fault domains can be located in either a different workload domain, a separate availability zone, or a different region. In a continuous availability architecture, there must be at least one primary node and one data node within the primary fault domain. Additionally, the replica fault domain should have the same number of nodes as the primary fault domain, and there should be one witness node in the witness fault domain. The </w:t>
      </w:r>
      <w:r>
        <w:t xml:space="preserve"> nodes in the primary fault domain, the </w:t>
      </w:r>
      <w:r>
        <w:t xml:space="preserve"> nodes in the replica fault domain, and the witness node in the witness fault domain must be able to communicate over the network, despite being in separate fault domains. Consult the </w:t>
      </w:r>
      <w:r>
        <w:t xml:space="preserve"> sizing guidelines for the sizing and network latency requirements between the three distinct fault domains.</w:t>
      </w:r>
    </w:p>
    <w:p>
      <w:pPr>
        <w:pStyle w:val="BodyText"/>
      </w:pPr>
      <w:r>
        <w:rPr>
          <w:rStyle w:val="Strong"/>
        </w:rPr>
        <w:t>Procedure</w:t>
      </w:r>
    </w:p>
    <w:p>
      <w:pPr>
        <w:pStyle w:val="BodyText"/>
        <w:numPr>
          <w:numId w:val="11"/>
        </w:numPr>
      </w:pPr>
      <w:r>
        <w:t xml:space="preserve">Deploy </w:t>
      </w:r>
      <w:r>
        <w:t xml:space="preserve"> using </w:t>
      </w:r>
      <w:r>
        <w:t>VCF Installer</w:t>
      </w:r>
      <w:r>
        <w:t xml:space="preserve"> in either Simple mode or High Availability mode within the fault domain designated for the primary node.</w:t>
      </w:r>
    </w:p>
    <w:p>
      <w:pPr>
        <w:pStyle w:val="BodyText"/>
        <w:numPr>
          <w:numId w:val="11"/>
        </w:numPr>
      </w:pPr>
      <w:r>
        <w:t>Deploy the witness node in the fault domain designated for it, by following these steps:</w:t>
      </w:r>
    </w:p>
    <w:p>
      <w:pPr>
        <w:pStyle w:val="BodyText"/>
        <w:numPr>
          <w:ilvl w:val="1"/>
          <w:numId w:val="11"/>
        </w:numPr>
      </w:pPr>
      <w:r>
        <w:t xml:space="preserve">Download the </w:t>
      </w:r>
      <w:r>
        <w:t xml:space="preserve"> ova file from the Broadcom support portal.</w:t>
      </w:r>
    </w:p>
    <w:p>
      <w:pPr>
        <w:pStyle w:val="BodyText"/>
        <w:numPr>
          <w:ilvl w:val="1"/>
          <w:numId w:val="11"/>
        </w:numPr>
      </w:pPr>
      <w:r>
        <w:t xml:space="preserve">Upload the </w:t>
      </w:r>
      <w:r>
        <w:t xml:space="preserve"> ova file to the vCenter in the fault domain designated for the witness node.</w:t>
      </w:r>
    </w:p>
    <w:p>
      <w:pPr>
        <w:pStyle w:val="BodyText"/>
        <w:numPr>
          <w:ilvl w:val="1"/>
          <w:numId w:val="11"/>
        </w:numPr>
      </w:pPr>
      <w:r>
        <w:t xml:space="preserve">Deploy the </w:t>
      </w:r>
      <w:r>
        <w:t xml:space="preserve"> OVF template and select </w:t>
      </w:r>
      <w:r>
        <w:rPr>
          <w:rStyle w:val="InlineUI"/>
        </w:rPr>
        <w:t>Witness</w:t>
      </w:r>
      <w:r>
        <w:t xml:space="preserve"> as the configuration for deployment.</w:t>
      </w:r>
    </w:p>
    <w:p>
      <w:pPr>
        <w:pStyle w:val="BodyText"/>
        <w:numPr>
          <w:ilvl w:val="1"/>
          <w:numId w:val="11"/>
        </w:numPr>
      </w:pPr>
      <w:r>
        <w:t>Note down the IP address and the hostname of the witness node.</w:t>
      </w:r>
    </w:p>
    <w:p>
      <w:pPr>
        <w:pStyle w:val="BodyText"/>
        <w:numPr>
          <w:ilvl w:val="1"/>
          <w:numId w:val="11"/>
        </w:numPr>
      </w:pPr>
      <w:r>
        <w:t xml:space="preserve">Log in to the </w:t>
      </w:r>
      <w:r>
        <w:t xml:space="preserve"> administrator console in the primary fault domain.</w:t>
      </w:r>
    </w:p>
    <w:p>
      <w:pPr>
        <w:pStyle w:val="BodyText"/>
        <w:numPr>
          <w:ilvl w:val="1"/>
          <w:numId w:val="11"/>
        </w:numPr>
      </w:pPr>
      <w:r>
        <w:t xml:space="preserve">Add the newly deployed witness node to the </w:t>
      </w:r>
      <w:r>
        <w:t xml:space="preserve"> cluster using the IP address and hostname of the witness node, as recorded in the previous steps.</w:t>
      </w:r>
    </w:p>
    <w:p>
      <w:pPr>
        <w:pStyle w:val="BodyText"/>
        <w:numPr>
          <w:numId w:val="11"/>
        </w:numPr>
      </w:pPr>
      <w:r>
        <w:t xml:space="preserve">If </w:t>
      </w:r>
      <w:r>
        <w:t xml:space="preserve"> was deployed in a High Availability architecture during the initial setup, follow the steps below:</w:t>
      </w:r>
    </w:p>
    <w:p>
      <w:pPr>
        <w:pStyle w:val="BodyText"/>
        <w:numPr>
          <w:ilvl w:val="1"/>
          <w:numId w:val="11"/>
        </w:numPr>
      </w:pPr>
      <w:r>
        <w:t xml:space="preserve">Deactivate High Availability in the </w:t>
      </w:r>
      <w:r>
        <w:t xml:space="preserve"> administrator console.</w:t>
      </w:r>
    </w:p>
    <w:p>
      <w:pPr>
        <w:pStyle w:val="BodyText"/>
        <w:numPr>
          <w:ilvl w:val="1"/>
          <w:numId w:val="11"/>
        </w:numPr>
      </w:pPr>
      <w:r>
        <w:t>The primary replica cluster node is converted into a standard data node within the cluster, which can then be removed if an extra data node is not needed. The remaining nodes in the cluster maintain their current roles.</w:t>
      </w:r>
    </w:p>
    <w:p>
      <w:pPr>
        <w:pStyle w:val="BodyText"/>
        <w:numPr>
          <w:ilvl w:val="1"/>
          <w:numId w:val="11"/>
        </w:numPr>
      </w:pPr>
      <w:r>
        <w:t xml:space="preserve">Ensure that the </w:t>
      </w:r>
      <w:r>
        <w:t xml:space="preserve"> cluster has at-least one primary node and one data node in the primary fault domain. Consult the </w:t>
      </w:r>
      <w:r>
        <w:t xml:space="preserve"> sizing guidelines for the maximum number of data nodes that can be added in the primary fault domain. Note that the number of </w:t>
      </w:r>
      <w:r>
        <w:t xml:space="preserve"> nodes in the primary fault domain and the replica fault domain must be equal.</w:t>
      </w:r>
    </w:p>
    <w:p>
      <w:pPr>
        <w:pStyle w:val="BodyText"/>
        <w:numPr>
          <w:numId w:val="11"/>
        </w:numPr>
      </w:pPr>
      <w:r>
        <w:t xml:space="preserve">Deploy the same number of </w:t>
      </w:r>
      <w:r>
        <w:t xml:space="preserve"> nodes in the designated replica fault domain as in the primary fault domain, following the steps below:</w:t>
      </w:r>
    </w:p>
    <w:p>
      <w:pPr>
        <w:pStyle w:val="BodyText"/>
        <w:numPr>
          <w:ilvl w:val="1"/>
          <w:numId w:val="11"/>
        </w:numPr>
      </w:pPr>
      <w:r>
        <w:t xml:space="preserve">If the designated replica fault domain is managed by the </w:t>
      </w:r>
      <w:r>
        <w:t xml:space="preserve"> in the primary fault domain, then use the lifecycle management capability within </w:t>
      </w:r>
      <w:r>
        <w:t xml:space="preserve"> to add the same number of </w:t>
      </w:r>
      <w:r>
        <w:t xml:space="preserve"> nodes in the replica fault domain as in the primary fault domain.</w:t>
      </w:r>
    </w:p>
    <w:p>
      <w:pPr>
        <w:pStyle w:val="BodyText"/>
        <w:numPr>
          <w:ilvl w:val="1"/>
          <w:numId w:val="11"/>
        </w:numPr>
      </w:pPr>
      <w:r>
        <w:t xml:space="preserve">If the designated replica fault domain is NOT managed by the </w:t>
      </w:r>
      <w:r>
        <w:t xml:space="preserve"> in the primary fault domain, then continue with the the steps.</w:t>
      </w:r>
    </w:p>
    <w:p>
      <w:pPr>
        <w:pStyle w:val="BodyText"/>
        <w:numPr>
          <w:ilvl w:val="1"/>
          <w:numId w:val="11"/>
        </w:numPr>
      </w:pPr>
      <w:r>
        <w:t xml:space="preserve">Download the </w:t>
      </w:r>
      <w:r>
        <w:t xml:space="preserve"> ova file from the Broadcom support portal.</w:t>
      </w:r>
    </w:p>
    <w:p>
      <w:pPr>
        <w:pStyle w:val="BodyText"/>
        <w:numPr>
          <w:ilvl w:val="1"/>
          <w:numId w:val="11"/>
        </w:numPr>
      </w:pPr>
      <w:r>
        <w:t xml:space="preserve">Upload the </w:t>
      </w:r>
      <w:r>
        <w:t xml:space="preserve"> ova file to the vCenter in the fault domain designated for the replica fault domain.</w:t>
      </w:r>
    </w:p>
    <w:p>
      <w:pPr>
        <w:pStyle w:val="BodyText"/>
        <w:numPr>
          <w:ilvl w:val="1"/>
          <w:numId w:val="11"/>
        </w:numPr>
      </w:pPr>
      <w:r>
        <w:t xml:space="preserve">Use the </w:t>
      </w:r>
      <w:r>
        <w:t xml:space="preserve"> OVF template to deploy an equal number of </w:t>
      </w:r>
      <w:r>
        <w:t xml:space="preserve"> nodes as in the primary fault domain, ensuring that the selected size matches that of the nodes deployed in the primary fault domain.</w:t>
      </w:r>
    </w:p>
    <w:p>
      <w:pPr>
        <w:pStyle w:val="BodyText"/>
        <w:numPr>
          <w:ilvl w:val="1"/>
          <w:numId w:val="11"/>
        </w:numPr>
      </w:pPr>
      <w:r>
        <w:t xml:space="preserve">Note down the IP address and the hostname of the </w:t>
      </w:r>
      <w:r>
        <w:t xml:space="preserve"> nodes deployed in the replica fault domain.</w:t>
      </w:r>
    </w:p>
    <w:p>
      <w:pPr>
        <w:pStyle w:val="BodyText"/>
        <w:numPr>
          <w:ilvl w:val="1"/>
          <w:numId w:val="11"/>
        </w:numPr>
      </w:pPr>
      <w:r>
        <w:t xml:space="preserve">Log in to the </w:t>
      </w:r>
      <w:r>
        <w:t xml:space="preserve"> administrator console in the primary fault domain.</w:t>
      </w:r>
    </w:p>
    <w:p>
      <w:pPr>
        <w:pStyle w:val="BodyText"/>
        <w:numPr>
          <w:ilvl w:val="1"/>
          <w:numId w:val="11"/>
        </w:numPr>
      </w:pPr>
      <w:r>
        <w:t xml:space="preserve">Add the newly deployed </w:t>
      </w:r>
      <w:r>
        <w:t xml:space="preserve"> nodes in the replica fault domain using their IP address and hostnames to the </w:t>
      </w:r>
      <w:r>
        <w:t xml:space="preserve"> cluster in the primary fault domain.</w:t>
      </w:r>
    </w:p>
    <w:p>
      <w:pPr>
        <w:pStyle w:val="BodyText"/>
        <w:numPr>
          <w:numId w:val="11"/>
        </w:numPr>
      </w:pPr>
      <w:r>
        <w:t xml:space="preserve">Click </w:t>
      </w:r>
      <w:r>
        <w:t>Activate CA</w:t>
      </w:r>
      <w:r>
        <w:t xml:space="preserve"> in the </w:t>
      </w:r>
      <w:r>
        <w:t xml:space="preserve"> Admin console.</w:t>
      </w:r>
    </w:p>
    <w:p>
      <w:pPr>
        <w:pStyle w:val="BodyText"/>
        <w:numPr>
          <w:numId w:val="11"/>
        </w:numPr>
      </w:pPr>
      <w:r>
        <w:t>The Continuous Availability wizard opens. The Witness node exists outside the fault domains. The primary node is already assigned to Fault Domain. Perform the following steps:</w:t>
      </w:r>
    </w:p>
    <w:p>
      <w:pPr>
        <w:pStyle w:val="BodyText"/>
        <w:numPr>
          <w:ilvl w:val="1"/>
          <w:numId w:val="11"/>
        </w:numPr>
      </w:pPr>
      <w:r>
        <w:t xml:space="preserve">To pair with the </w:t>
      </w:r>
      <w:r>
        <w:t xml:space="preserve"> nodes in the primary fault domain, move the </w:t>
      </w:r>
      <w:r>
        <w:t xml:space="preserve"> data nodes deployed in the replica fault domain to Fault Domain.</w:t>
      </w:r>
    </w:p>
    <w:p>
      <w:pPr>
        <w:pStyle w:val="BodyText"/>
        <w:numPr>
          <w:ilvl w:val="1"/>
          <w:numId w:val="11"/>
        </w:numPr>
      </w:pPr>
      <w:r>
        <w:t xml:space="preserve">Ensure an even distribution of </w:t>
      </w:r>
      <w:r>
        <w:t xml:space="preserve"> nodes between the primary and replica fault domains to enable Continuous Availability. The number of nodes in both fault domains must be equal.</w:t>
      </w:r>
    </w:p>
    <w:p>
      <w:pPr>
        <w:pStyle w:val="BodyText"/>
        <w:numPr>
          <w:numId w:val="11"/>
        </w:numPr>
      </w:pPr>
      <w:r>
        <w:t xml:space="preserve">After successfully activating CA, navigate to </w:t>
      </w:r>
      <w:r>
        <w:rPr>
          <w:rStyle w:val="InlineUI"/>
        </w:rPr>
        <w:t>Lifecycle</w:t>
      </w:r>
      <w:r>
        <w:t xml:space="preserve"> under </w:t>
      </w:r>
      <w:r>
        <w:rPr>
          <w:rStyle w:val="InlineUI"/>
        </w:rPr>
        <w:t>Fleet Management</w:t>
      </w:r>
      <w:r>
        <w:t xml:space="preserve"> within the </w:t>
      </w:r>
      <w:r>
        <w:t xml:space="preserve"> console and click </w:t>
      </w:r>
      <w:r>
        <w:rPr>
          <w:rStyle w:val="InlineUI"/>
        </w:rPr>
        <w:t>trigger inventory sync</w:t>
      </w:r>
      <w:r>
        <w:t xml:space="preserve"> on the Operations component.</w:t>
      </w:r>
    </w:p>
    <w:p>
      <w:pPr>
        <w:pStyle w:val="BodyText"/>
      </w:pPr>
      <w:r>
        <w:rPr>
          <w:rStyle w:val="Strong"/>
        </w:rPr>
        <w:t>Results</w:t>
      </w:r>
    </w:p>
    <w:p>
      <w:pPr>
        <w:pStyle w:val="BodyText"/>
      </w:pPr>
      <w:r>
        <w:t xml:space="preserve">The Lifecycle page for the </w:t>
      </w:r>
      <w:r>
        <w:t xml:space="preserve"> component now displays Continuous Availability as the configuration for the </w:t>
      </w:r>
      <w:r>
        <w:t xml:space="preserve"> cluster.</w:t>
      </w:r>
    </w:p>
    <w:p>
      <w:pPr>
        <w:pStyle w:val="BodyText"/>
      </w:pPr>
      <w:r>
        <w:t xml:space="preserve"> Analytics Node Data Storage and Fault Domain Behavior</w:t>
      </w:r>
    </w:p>
    <w:p>
      <w:pPr>
        <w:pStyle w:val="BodyText"/>
      </w:pPr>
      <w:r>
        <w:t xml:space="preserve"> uses a robust architecture to ensure data availability and fault tolerance across analytics nodes. Data is stored in pairs of analytics nodes distributed across two fault domains, ensuring continuous availability and synchronization. Each object is stored in two nodes (primary and replica) across fault domains, providing redundancy and resilience in case of failures.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Key Concepts of Data Storage and Fault Domain Behavior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3"/>
        <w:gridCol w:w="74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Key Concept</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Storage and Synchronization</w:t>
            </w:r>
          </w:p>
        </w:tc>
        <w:tc>
          <w:tcPr>
            <w:tcBorders>
              <w:left w:val="nil"/>
              <w:right w:val="nil"/>
            </w:tcBorders>
          </w:tcPr>
          <w:p>
            <w:pPr>
              <w:pStyle w:val="TableBodyText"/>
            </w:pPr>
            <w:r>
              <w:t xml:space="preserve">When an object is discovered, </w:t>
            </w:r>
            <w:r>
              <w:t xml:space="preserve"> determines the primary node to store the data and automatically replicates it to its paired node in the other fault domain.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Synchronization between the primary and replica nodes ensures data consistency across fault domains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Fault Domain Resilience</w:t>
            </w:r>
          </w:p>
        </w:tc>
        <w:tc>
          <w:tcPr>
            <w:tcBorders>
              <w:left w:val="nil"/>
              <w:right w:val="nil"/>
            </w:tcBorders>
          </w:tcPr>
          <w:p>
            <w:pPr>
              <w:pStyle w:val="TableBodyText"/>
            </w:pPr>
            <w:r>
              <w:t>Each fault domain contains half of the analytics nodes, and each node has a paired replica in the other fault domain.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The cluster continues to function without data loss as long as one node from each pair is available.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Continuous Availability</w:t>
            </w:r>
          </w:p>
        </w:tc>
        <w:tc>
          <w:tcPr>
            <w:tcBorders>
              <w:left w:val="nil"/>
              <w:right w:val="nil"/>
            </w:tcBorders>
          </w:tcPr>
          <w:p>
            <w:pPr>
              <w:pStyle w:val="TableBodyText"/>
            </w:pPr>
            <w:r>
              <w:t>The cluster can tolerate the loss of one fault domain or individual nodes without data loss, but the system will operate in a degraded state until the issue is resolved.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Latency and Network Requirements</w:t>
            </w:r>
          </w:p>
        </w:tc>
        <w:tc>
          <w:tcPr>
            <w:tcBorders>
              <w:left w:val="nil"/>
              <w:right w:val="nil"/>
            </w:tcBorders>
          </w:tcPr>
          <w:p>
            <w:pPr>
              <w:pStyle w:val="TableBodyText"/>
            </w:pPr>
            <w:r>
              <w:t>Latency between fault domains must be &lt;10 ms, with peaks up to 20 ms during 20-second intervals. High latency can impact synchronization but does not stop the process.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Witness Node Role</w:t>
            </w:r>
          </w:p>
        </w:tc>
        <w:tc>
          <w:tcPr>
            <w:tcBorders>
              <w:left w:val="nil"/>
              <w:right w:val="nil"/>
            </w:tcBorders>
          </w:tcPr>
          <w:p>
            <w:pPr>
              <w:pStyle w:val="TableBodyText"/>
            </w:pPr>
            <w:r>
              <w:t>The witness node ensures cluster health and determines which fault domain remains online during communication failures.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Key Scenario and Behavior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30"/>
        <w:gridCol w:w="73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Scenario</w:t>
            </w:r>
          </w:p>
        </w:tc>
        <w:tc>
          <w:tcPr>
            <w:tcBorders>
              <w:left w:val="nil"/>
              <w:right w:val="nil"/>
            </w:tcBorders>
            <w:shd w:val="clear" w:color="auto" w:fill="E1E1E1"/>
            <w:tcMar>
              <w:top w:w="60" w:type="dxa"/>
              <w:bottom w:w="60" w:type="dxa"/>
            </w:tcMar>
          </w:tcPr>
          <w:p>
            <w:pPr>
              <w:pStyle w:val="TableHeaderText"/>
            </w:pPr>
            <w:r>
              <w:t>Behavior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Data Storage</w:t>
            </w:r>
          </w:p>
        </w:tc>
        <w:tc>
          <w:tcPr>
            <w:tcBorders>
              <w:left w:val="nil"/>
              <w:right w:val="nil"/>
            </w:tcBorders>
          </w:tcPr>
          <w:p>
            <w:pPr>
              <w:pStyle w:val="TableBodyText"/>
            </w:pPr>
            <w:r>
              <w:t>Data is stored in a primary node and replicated to its paired node in the other fault domain.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Loss of One Fault Domain</w:t>
            </w:r>
          </w:p>
        </w:tc>
        <w:tc>
          <w:tcPr>
            <w:tcBorders>
              <w:left w:val="nil"/>
              <w:right w:val="nil"/>
            </w:tcBorders>
          </w:tcPr>
          <w:p>
            <w:pPr>
              <w:pStyle w:val="TableBodyText"/>
            </w:pPr>
            <w:r>
              <w:t>The cluster operates in a degraded state but continues without data loss. The fault domain must be repaired or replaced to restore full functionality.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Loss of Two Nodes in One Fault Domain</w:t>
            </w:r>
          </w:p>
        </w:tc>
        <w:tc>
          <w:tcPr>
            <w:tcBorders>
              <w:left w:val="nil"/>
              <w:right w:val="nil"/>
            </w:tcBorders>
          </w:tcPr>
          <w:p>
            <w:pPr>
              <w:pStyle w:val="TableBodyText"/>
            </w:pPr>
            <w:r>
              <w:t>The cluster continues to operate as long as one node from each pair is available.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Loss of Connectivity Between Fault Domains</w:t>
            </w:r>
          </w:p>
        </w:tc>
        <w:tc>
          <w:tcPr>
            <w:tcBorders>
              <w:left w:val="nil"/>
              <w:right w:val="nil"/>
            </w:tcBorders>
          </w:tcPr>
          <w:p>
            <w:pPr>
              <w:pStyle w:val="TableBodyText"/>
            </w:pPr>
            <w:r>
              <w:t>One fault domain will go offline automatically. Once connectivity is restored, the admin must manually bring the fault domain back online to synchronize data.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Witness Node Unavailability</w:t>
            </w:r>
          </w:p>
        </w:tc>
        <w:tc>
          <w:tcPr>
            <w:tcBorders>
              <w:left w:val="nil"/>
              <w:right w:val="nil"/>
            </w:tcBorders>
          </w:tcPr>
          <w:p>
            <w:pPr>
              <w:pStyle w:val="TableBodyText"/>
            </w:pPr>
            <w:r>
              <w:t>If both fault domains are healthy, the witness node’s unavailability has no impact. If communication issues occur, the witness determines which fault domain remains online.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Node Replacement</w:t>
            </w:r>
          </w:p>
        </w:tc>
        <w:tc>
          <w:tcPr>
            <w:tcBorders>
              <w:left w:val="nil"/>
              <w:right w:val="nil"/>
            </w:tcBorders>
          </w:tcPr>
          <w:p>
            <w:pPr>
              <w:pStyle w:val="TableBodyText"/>
            </w:pPr>
            <w:r>
              <w:t>Use the "Replace nodes of cluster" functionality in the admin UI. Sync time depends on object count, historical data, network bandwidth, and cluster load.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Latency Exceeds 20 ms</w:t>
            </w:r>
          </w:p>
        </w:tc>
        <w:tc>
          <w:tcPr>
            <w:tcBorders>
              <w:left w:val="nil"/>
              <w:right w:val="nil"/>
            </w:tcBorders>
          </w:tcPr>
          <w:p>
            <w:pPr>
              <w:pStyle w:val="TableBodyText"/>
            </w:pPr>
            <w:r>
              <w:t>Synchronization continues but may be delayed. Latency must return to &lt;10 ms for optimal performance.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Primary Node Failover</w:t>
            </w:r>
          </w:p>
        </w:tc>
        <w:tc>
          <w:tcPr>
            <w:tcBorders>
              <w:left w:val="nil"/>
              <w:right w:val="nil"/>
            </w:tcBorders>
          </w:tcPr>
          <w:p>
            <w:pPr>
              <w:pStyle w:val="TableBodyText"/>
            </w:pPr>
            <w:r>
              <w:t>If the primary node becomes unavailable, the primary replica node is promoted. The original primary node becomes the replica when it returns online.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Entire Fault Domain Replacement</w:t>
            </w:r>
          </w:p>
        </w:tc>
        <w:tc>
          <w:tcPr>
            <w:tcBorders>
              <w:left w:val="nil"/>
              <w:right w:val="nil"/>
            </w:tcBorders>
          </w:tcPr>
          <w:p>
            <w:pPr>
              <w:pStyle w:val="TableBodyText"/>
            </w:pPr>
            <w:r>
              <w:t>If a fault domain is unrecoverable, it can be replaced with</w:t>
            </w:r>
          </w:p>
          <w:p>
            <w:pPr>
              <w:pStyle w:val="TableBodyText"/>
            </w:pPr>
            <w:r>
              <w:t>newly deployed nodes. The admin UI allows replacing the</w:t>
            </w:r>
          </w:p>
          <w:p>
            <w:pPr>
              <w:pStyle w:val="TableBodyText"/>
            </w:pPr>
            <w:r>
              <w:t>primary replica node.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Load Balancer Support</w:t>
            </w:r>
          </w:p>
        </w:tc>
        <w:tc>
          <w:tcPr>
            <w:tcBorders>
              <w:left w:val="nil"/>
              <w:right w:val="nil"/>
            </w:tcBorders>
          </w:tcPr>
          <w:p>
            <w:pPr>
              <w:pStyle w:val="TableBodyText"/>
            </w:pPr>
            <w:r>
              <w:t>Load balancers are supported for continuous availability.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Node Reboot or Offline</w:t>
            </w:r>
          </w:p>
        </w:tc>
        <w:tc>
          <w:tcPr>
            <w:tcBorders>
              <w:left w:val="nil"/>
              <w:right w:val="nil"/>
            </w:tcBorders>
          </w:tcPr>
          <w:p>
            <w:pPr>
              <w:pStyle w:val="TableBodyText"/>
            </w:pPr>
            <w:r>
              <w:t>Nodes automatically resume operation after reboot or being brought offline/online. No additional steps are required.</w:t>
            </w:r>
          </w:p>
        </w:tc>
      </w:tr>
    </w:tbl>
    <w:p>
      <w:pPr>
        <w:pStyle w:val="Heading2"/>
        <w:spacing w:before="320"/>
      </w:pPr>
      <w:bookmarkStart w:id="12" w:name="_Toc256000042"/>
      <w:r>
        <w:t>Configure Cluster for High Availability</w:t>
      </w:r>
      <w:bookmarkEnd w:id="12"/>
    </w:p>
    <w:p>
      <w:pPr>
        <w:pStyle w:val="BodyText"/>
      </w:pPr>
      <w:r>
        <w:t>VCF Installer</w:t>
      </w:r>
      <w:r>
        <w:t xml:space="preserve"> supports the manual deployment of </w:t>
      </w:r>
      <w:r>
        <w:t xml:space="preserve"> in Simple mode for </w:t>
      </w:r>
      <w:r>
        <w:t>VMware vSphere Foundation</w:t>
      </w:r>
      <w:r>
        <w:t xml:space="preserve">. After the initial deployment, the VCF Operations cluster can be converted to a high availability architecture. To activate high availability (HA) for a </w:t>
      </w:r>
      <w:r>
        <w:t xml:space="preserve"> cluster, specify one of the data nodes to become a replica of the primary node.</w:t>
      </w:r>
    </w:p>
    <w:p>
      <w:pPr>
        <w:pStyle w:val="BodyText"/>
        <w:pBdr>
          <w:top w:val="single" w:sz="8" w:space="2" w:color="D3D3D3"/>
          <w:bottom w:val="single" w:sz="8" w:space="2" w:color="D3D3D3"/>
        </w:pBdr>
      </w:pPr>
      <w:r>
        <w:rPr>
          <w:rStyle w:val="NoteLeadernote"/>
        </w:rPr>
        <w:t>Note</w:t>
        <w:tab/>
      </w:r>
      <w:r>
        <w:t>If the cluster is running, activating HA restarts the cluster.</w:t>
      </w:r>
    </w:p>
    <w:p>
      <w:pPr>
        <w:pStyle w:val="BodyText"/>
      </w:pPr>
      <w:r>
        <w:t xml:space="preserve">You can add HA to the </w:t>
      </w:r>
      <w:r>
        <w:t xml:space="preserve"> cluster at installation time or after </w:t>
      </w:r>
      <w:r>
        <w:t xml:space="preserve"> is up and running. Adding HA at installation is less intrusive because the cluster has not yet started.</w:t>
      </w:r>
    </w:p>
    <w:p>
      <w:pPr>
        <w:pStyle w:val="BodyText"/>
      </w:pPr>
      <w:r>
        <w:rPr>
          <w:rStyle w:val="Strong"/>
        </w:rPr>
        <w:t>Prerequisites</w:t>
      </w:r>
    </w:p>
    <w:p>
      <w:pPr>
        <w:pStyle w:val="BodyText"/>
        <w:numPr>
          <w:numId w:val="12"/>
        </w:numPr>
      </w:pPr>
      <w:r>
        <w:t>Create and configure the primary node.</w:t>
      </w:r>
    </w:p>
    <w:p>
      <w:pPr>
        <w:pStyle w:val="BodyText"/>
        <w:numPr>
          <w:numId w:val="12"/>
        </w:numPr>
      </w:pPr>
      <w:r>
        <w:t>Create and configure a data node with a static IP address.</w:t>
      </w:r>
    </w:p>
    <w:p>
      <w:pPr>
        <w:pStyle w:val="BodyText"/>
        <w:numPr>
          <w:numId w:val="12"/>
        </w:numPr>
      </w:pPr>
      <w:r>
        <w:t>Note the fully qualified domain name (FQDN) or IP address of the primary node.</w:t>
      </w:r>
    </w:p>
    <w:p>
      <w:pPr>
        <w:pStyle w:val="BodyText"/>
      </w:pPr>
      <w:r>
        <w:rPr>
          <w:rStyle w:val="Strong"/>
        </w:rPr>
        <w:t>Procedure</w:t>
      </w:r>
    </w:p>
    <w:p>
      <w:pPr>
        <w:pStyle w:val="BodyText"/>
        <w:numPr>
          <w:numId w:val="13"/>
        </w:numPr>
      </w:pPr>
      <w:r>
        <w:t>In a Web browser, navigate to the primary node administration interface.</w:t>
      </w:r>
    </w:p>
    <w:p>
      <w:pPr>
        <w:pStyle w:val="BodyText"/>
        <w:ind w:left="480"/>
      </w:pPr>
      <w:r>
        <w:t>https://</w:t>
      </w:r>
      <w:r>
        <w:rPr>
          <w:rStyle w:val="InlineVar"/>
        </w:rPr>
        <w:t>primary-node-name-or-ip-address</w:t>
      </w:r>
      <w:r>
        <w:t>/admin</w:t>
      </w:r>
    </w:p>
    <w:p>
      <w:pPr>
        <w:pStyle w:val="BodyText"/>
        <w:numPr>
          <w:numId w:val="13"/>
        </w:numPr>
      </w:pPr>
      <w:r>
        <w:t xml:space="preserve">Enter the </w:t>
      </w:r>
      <w:r>
        <w:t xml:space="preserve"> administrator user name of </w:t>
      </w:r>
      <w:r>
        <w:t>admin</w:t>
      </w:r>
      <w:r>
        <w:t>.</w:t>
      </w:r>
    </w:p>
    <w:p>
      <w:pPr>
        <w:pStyle w:val="BodyText"/>
        <w:numPr>
          <w:numId w:val="13"/>
        </w:numPr>
      </w:pPr>
      <w:r>
        <w:t xml:space="preserve">Enter the </w:t>
      </w:r>
      <w:r>
        <w:t xml:space="preserve"> administrator password and click </w:t>
      </w:r>
      <w:r>
        <w:rPr>
          <w:rStyle w:val="InlineUI"/>
        </w:rPr>
        <w:t>Log In</w:t>
      </w:r>
      <w:r>
        <w:t>.</w:t>
      </w:r>
    </w:p>
    <w:p>
      <w:pPr>
        <w:pStyle w:val="BodyText"/>
        <w:numPr>
          <w:numId w:val="13"/>
        </w:numPr>
      </w:pPr>
      <w:r>
        <w:t xml:space="preserve">To add a new data node, click </w:t>
      </w:r>
      <w:r>
        <w:rPr>
          <w:rStyle w:val="InlineUI"/>
        </w:rPr>
        <w:t>Add new Nodes</w:t>
      </w:r>
      <w:r>
        <w:t>.</w:t>
      </w:r>
    </w:p>
    <w:p>
      <w:pPr>
        <w:pStyle w:val="BodyText"/>
        <w:numPr>
          <w:ilvl w:val="1"/>
          <w:numId w:val="13"/>
        </w:numPr>
      </w:pPr>
      <w:r>
        <w:t xml:space="preserve">In the </w:t>
      </w:r>
      <w:r>
        <w:rPr>
          <w:rStyle w:val="InlineUI"/>
        </w:rPr>
        <w:t>Add new nodes to cluster</w:t>
      </w:r>
      <w:r>
        <w:t xml:space="preserve"> wizard, click the </w:t>
      </w:r>
      <w:r>
        <w:rPr>
          <w:rStyle w:val="InlineUI"/>
        </w:rPr>
        <w:t>Add Nodes</w:t>
      </w:r>
      <w:r>
        <w:t xml:space="preserve"> icon.</w:t>
      </w:r>
    </w:p>
    <w:p>
      <w:pPr>
        <w:pStyle w:val="BodyText"/>
        <w:numPr>
          <w:ilvl w:val="1"/>
          <w:numId w:val="13"/>
        </w:numPr>
      </w:pPr>
      <w:r>
        <w:t xml:space="preserve">For </w:t>
      </w:r>
      <w:r>
        <w:rPr>
          <w:rStyle w:val="InlineUI"/>
        </w:rPr>
        <w:t>Node Name</w:t>
      </w:r>
      <w:r>
        <w:t>, enter a generic name to identify the node.</w:t>
      </w:r>
    </w:p>
    <w:p>
      <w:pPr>
        <w:pStyle w:val="BodyText"/>
        <w:numPr>
          <w:ilvl w:val="1"/>
          <w:numId w:val="13"/>
        </w:numPr>
      </w:pPr>
      <w:r>
        <w:t xml:space="preserve">For </w:t>
      </w:r>
      <w:r>
        <w:rPr>
          <w:rStyle w:val="InlineUI"/>
        </w:rPr>
        <w:t>Node Address</w:t>
      </w:r>
      <w:r>
        <w:t>, enter the IP address of the node you want to add.</w:t>
      </w:r>
    </w:p>
    <w:p>
      <w:pPr>
        <w:pStyle w:val="BodyText"/>
        <w:numPr>
          <w:ilvl w:val="1"/>
          <w:numId w:val="13"/>
        </w:numPr>
      </w:pPr>
      <w:r>
        <w:t xml:space="preserve">For </w:t>
      </w:r>
      <w:r>
        <w:rPr>
          <w:rStyle w:val="InlineUI"/>
        </w:rPr>
        <w:t>Current Cluster Role</w:t>
      </w:r>
      <w:r>
        <w:t xml:space="preserve">, select </w:t>
      </w:r>
      <w:r>
        <w:rPr>
          <w:rStyle w:val="InlineUI"/>
        </w:rPr>
        <w:t>Data</w:t>
      </w:r>
      <w:r>
        <w:t>, to add a data node to be used as the primary replica node.</w:t>
      </w:r>
    </w:p>
    <w:p>
      <w:pPr>
        <w:pStyle w:val="BodyText"/>
        <w:numPr>
          <w:ilvl w:val="1"/>
          <w:numId w:val="13"/>
        </w:numPr>
      </w:pPr>
      <w:r>
        <w:t xml:space="preserve">Click </w:t>
      </w:r>
      <w:r>
        <w:rPr>
          <w:rStyle w:val="InlineUI"/>
        </w:rPr>
        <w:t>Save</w:t>
      </w:r>
      <w:r>
        <w:t xml:space="preserve">, review and close the thumbprint information, and then click </w:t>
      </w:r>
      <w:r>
        <w:rPr>
          <w:rStyle w:val="InlineUI"/>
        </w:rPr>
        <w:t>Next</w:t>
      </w:r>
      <w:r>
        <w:t>.</w:t>
      </w:r>
    </w:p>
    <w:p>
      <w:pPr>
        <w:pStyle w:val="BodyText"/>
        <w:numPr>
          <w:ilvl w:val="1"/>
          <w:numId w:val="13"/>
        </w:numPr>
      </w:pPr>
      <w:r>
        <w:t xml:space="preserve">For </w:t>
      </w:r>
      <w:r>
        <w:rPr>
          <w:rStyle w:val="InlineUI"/>
        </w:rPr>
        <w:t>Primary Node Password</w:t>
      </w:r>
      <w:r>
        <w:t xml:space="preserve">, enter the administrator password used during log in, and then click </w:t>
      </w:r>
      <w:r>
        <w:rPr>
          <w:rStyle w:val="InlineUI"/>
        </w:rPr>
        <w:t>Finish</w:t>
      </w:r>
      <w:r>
        <w:t>.</w:t>
      </w:r>
    </w:p>
    <w:p>
      <w:pPr>
        <w:pStyle w:val="BodyText"/>
        <w:ind w:left="480"/>
      </w:pPr>
      <w:r>
        <w:t xml:space="preserve">If the cluster was online, the administration interface displays that the cluster initialization is in progress as the new data node gets added to the </w:t>
      </w:r>
      <w:r>
        <w:t xml:space="preserve"> cluster. You must wait for the cluster to come </w:t>
      </w:r>
      <w:r>
        <w:rPr>
          <w:rStyle w:val="InlineUI"/>
        </w:rPr>
        <w:t>Online</w:t>
      </w:r>
      <w:r>
        <w:t xml:space="preserve"> again before activating HA.</w:t>
      </w:r>
    </w:p>
    <w:p>
      <w:pPr>
        <w:pStyle w:val="BodyText"/>
        <w:numPr>
          <w:numId w:val="13"/>
        </w:numPr>
      </w:pPr>
      <w:r>
        <w:t xml:space="preserve">Under High Availability, click </w:t>
      </w:r>
      <w:r>
        <w:rPr>
          <w:rStyle w:val="InlineUI"/>
        </w:rPr>
        <w:t>Activate</w:t>
      </w:r>
      <w:r>
        <w:t>.</w:t>
      </w:r>
    </w:p>
    <w:p>
      <w:pPr>
        <w:pStyle w:val="BodyText"/>
        <w:numPr>
          <w:numId w:val="13"/>
        </w:numPr>
      </w:pPr>
      <w:r>
        <w:t xml:space="preserve">In the </w:t>
      </w:r>
      <w:r>
        <w:rPr>
          <w:rStyle w:val="InlineUI"/>
        </w:rPr>
        <w:t>Activate High Availability</w:t>
      </w:r>
      <w:r>
        <w:t xml:space="preserve"> wizard, select a data node to serve as the replica for the primary node, and click </w:t>
      </w:r>
      <w:r>
        <w:rPr>
          <w:rStyle w:val="InlineUI"/>
        </w:rPr>
        <w:t>OK</w:t>
      </w:r>
      <w:r>
        <w:t>.</w:t>
      </w:r>
    </w:p>
    <w:p>
      <w:pPr>
        <w:pStyle w:val="BodyText"/>
        <w:numPr>
          <w:numId w:val="13"/>
        </w:numPr>
      </w:pPr>
      <w:r>
        <w:t xml:space="preserve">To activate HA, you must restart your cluster. Review the </w:t>
      </w:r>
      <w:r>
        <w:rPr>
          <w:rStyle w:val="InlineUI"/>
        </w:rPr>
        <w:t>Confirm Cluster Restart</w:t>
      </w:r>
      <w:r>
        <w:t xml:space="preserve"> message and click </w:t>
      </w:r>
      <w:r>
        <w:rPr>
          <w:rStyle w:val="InlineUI"/>
        </w:rPr>
        <w:t>Yes</w:t>
      </w:r>
      <w:r>
        <w:t>.</w:t>
      </w:r>
    </w:p>
    <w:p>
      <w:pPr>
        <w:pStyle w:val="BodyText"/>
        <w:ind w:left="480"/>
      </w:pPr>
      <w:r>
        <w:t xml:space="preserve">If the cluster was online, the administration interface displays progress as </w:t>
      </w:r>
      <w:r>
        <w:t xml:space="preserve"> configures, synchronizes, and rebalances the cluster for HA.</w:t>
      </w:r>
    </w:p>
    <w:p>
      <w:pPr>
        <w:pStyle w:val="BodyText"/>
        <w:numPr>
          <w:numId w:val="13"/>
        </w:numPr>
      </w:pPr>
      <w:r>
        <w:t>If the primary node and replica node go offline, and the primary remains offline for any reason while the replica goes online, the replica node does not take over the primary role, take the entire cluster offline, including data nodes and log in to the replica node command-line console as a root.</w:t>
      </w:r>
    </w:p>
    <w:p>
      <w:pPr>
        <w:pStyle w:val="BodyText"/>
        <w:numPr>
          <w:numId w:val="13"/>
        </w:numPr>
      </w:pPr>
      <w:r>
        <w:t xml:space="preserve">Open </w:t>
      </w:r>
      <w:r>
        <w:rPr>
          <w:rStyle w:val="InlineCode"/>
        </w:rPr>
        <w:t>$ALIVE_BASE/persistence/persistence.properties</w:t>
      </w:r>
      <w:r>
        <w:t xml:space="preserve"> in a text editor.</w:t>
      </w:r>
    </w:p>
    <w:p>
      <w:pPr>
        <w:pStyle w:val="BodyText"/>
        <w:numPr>
          <w:numId w:val="13"/>
        </w:numPr>
      </w:pPr>
      <w:r>
        <w:t>Locate and set the following properties:</w:t>
      </w:r>
    </w:p>
    <w:p>
      <w:pPr>
        <w:pStyle w:val="CodeBlock"/>
        <w:ind w:left="480"/>
      </w:pPr>
      <w:r>
        <w:t>db.role=PRIMARY
db.driver=/data/vcops/xdb/vcops.bootstrap</w:t>
      </w:r>
    </w:p>
    <w:p>
      <w:pPr>
        <w:pStyle w:val="BodyText"/>
        <w:numPr>
          <w:numId w:val="13"/>
        </w:numPr>
      </w:pPr>
      <w:r>
        <w:t xml:space="preserve">Save and close </w:t>
      </w:r>
      <w:r>
        <w:rPr>
          <w:rStyle w:val="InlineVar"/>
        </w:rPr>
        <w:t>persistence.properties</w:t>
      </w:r>
      <w:r>
        <w:t>.</w:t>
      </w:r>
    </w:p>
    <w:p>
      <w:pPr>
        <w:pStyle w:val="BodyText"/>
        <w:numPr>
          <w:numId w:val="13"/>
        </w:numPr>
      </w:pPr>
      <w:r>
        <w:t>In the administration interface, bring the replica node online, and verify that it becomes the primary node and bring the remaining cluster nodes online.</w:t>
      </w:r>
    </w:p>
    <w:p>
      <w:pPr>
        <w:pStyle w:val="BodyText"/>
      </w:pPr>
      <w:r>
        <w:rPr>
          <w:rStyle w:val="Strong"/>
        </w:rPr>
        <w:t>Results</w:t>
      </w:r>
    </w:p>
    <w:p>
      <w:pPr>
        <w:pStyle w:val="BodyText"/>
      </w:pPr>
      <w:r>
        <w:t xml:space="preserve">High Availability is activated on your </w:t>
      </w:r>
      <w:r>
        <w:t xml:space="preserve"> cluster.</w:t>
      </w:r>
    </w:p>
    <w:p>
      <w:pPr>
        <w:pStyle w:val="BodyText"/>
      </w:pPr>
      <w:r>
        <w:rPr>
          <w:rStyle w:val="Strong"/>
        </w:rPr>
        <w:t>What to do next</w:t>
      </w:r>
    </w:p>
    <w:p>
      <w:pPr>
        <w:pStyle w:val="BodyText"/>
      </w:pPr>
      <w:r>
        <w:t>After creating a primary replica node, you have the following options.</w:t>
      </w:r>
    </w:p>
    <w:p>
      <w:pPr>
        <w:pStyle w:val="BodyText"/>
        <w:numPr>
          <w:numId w:val="14"/>
        </w:numPr>
      </w:pPr>
      <w:r>
        <w:t>New, unstarted clusters:</w:t>
      </w:r>
    </w:p>
    <w:p>
      <w:pPr>
        <w:pStyle w:val="BodyText"/>
        <w:numPr>
          <w:ilvl w:val="1"/>
          <w:numId w:val="14"/>
        </w:numPr>
      </w:pPr>
      <w:r>
        <w:t>Create and add data nodes.</w:t>
      </w:r>
    </w:p>
    <w:p>
      <w:pPr>
        <w:pStyle w:val="BodyText"/>
        <w:numPr>
          <w:ilvl w:val="1"/>
          <w:numId w:val="14"/>
        </w:numPr>
      </w:pPr>
      <w:r>
        <w:t xml:space="preserve">Click </w:t>
      </w:r>
      <w:r>
        <w:rPr>
          <w:rStyle w:val="InlineUI"/>
        </w:rPr>
        <w:t>Start</w:t>
      </w:r>
      <w:r>
        <w:t xml:space="preserve"> to start the cluster, and log in to finish configuring the product.</w:t>
      </w:r>
    </w:p>
    <w:p>
      <w:pPr>
        <w:pStyle w:val="BodyText"/>
        <w:ind w:left="960"/>
      </w:pPr>
      <w:r>
        <w:t>The cluster might take from 10 to 30 minutes to start, depending on the size of your cluster and nodes. Do not make changes or perform any actions on cluster nodes while the cluster is starting.</w:t>
      </w:r>
    </w:p>
    <w:p>
      <w:pPr>
        <w:pStyle w:val="BodyText"/>
        <w:numPr>
          <w:numId w:val="14"/>
        </w:numPr>
      </w:pPr>
      <w:r>
        <w:t>Established, running clusters:</w:t>
      </w:r>
    </w:p>
    <w:p>
      <w:pPr>
        <w:pStyle w:val="BodyText"/>
        <w:numPr>
          <w:ilvl w:val="1"/>
          <w:numId w:val="14"/>
        </w:numPr>
      </w:pPr>
      <w:r>
        <w:t>Create and add data nodes.</w:t>
      </w:r>
    </w:p>
    <w:p>
      <w:pPr>
        <w:pStyle w:val="BodyText"/>
        <w:numPr>
          <w:numId w:val="14"/>
        </w:numPr>
      </w:pPr>
      <w:r>
        <w:t xml:space="preserve">To deactivate high availability, click </w:t>
      </w:r>
      <w:r>
        <w:rPr>
          <w:rStyle w:val="InlineUI"/>
        </w:rPr>
        <w:t>Deactivate HA</w:t>
      </w:r>
      <w:r>
        <w:t xml:space="preserve"> and follow the steps in the admin UI. The deativation timeline depends on the cluster size and the data retention period. Please wait for the deactivation to complete.</w:t>
      </w:r>
    </w:p>
    <w:p>
      <w:pPr>
        <w:pStyle w:val="Heading1"/>
      </w:pPr>
      <w:bookmarkStart w:id="13" w:name="_Toc256000043"/>
      <w:r>
        <w:t>Deploying VCF Management Components with Custom Networking</w:t>
      </w:r>
      <w:bookmarkEnd w:id="13"/>
    </w:p>
    <w:p>
      <w:pPr>
        <w:pStyle w:val="BodyText"/>
      </w:pPr>
      <w:r>
        <w:t>If you skipped deployment of the VCF management components during initial deployment of a VCF Instance, you can use the SDDC Manager API to deploy them later.</w:t>
      </w:r>
    </w:p>
    <w:p>
      <w:pPr>
        <w:pStyle w:val="BodyText"/>
      </w:pPr>
      <w:r>
        <w:t>Using the SDDC Manager API, you can deploy the VCF management components to specific vSphere distributed port groups or NSX segment. There are four main options. You can deploy the VCF management components to a:</w:t>
      </w:r>
    </w:p>
    <w:p>
      <w:pPr>
        <w:pStyle w:val="BodyText"/>
        <w:numPr>
          <w:numId w:val="15"/>
        </w:numPr>
      </w:pPr>
      <w:r>
        <w:t>Shared management network</w:t>
      </w:r>
    </w:p>
    <w:p>
      <w:pPr>
        <w:pStyle w:val="BodyText"/>
        <w:numPr>
          <w:numId w:val="15"/>
        </w:numPr>
      </w:pPr>
      <w:r>
        <w:t>Dedicated management network</w:t>
      </w:r>
    </w:p>
    <w:p>
      <w:pPr>
        <w:pStyle w:val="BodyText"/>
        <w:numPr>
          <w:numId w:val="15"/>
        </w:numPr>
      </w:pPr>
      <w:r>
        <w:t>NSX overlay segment</w:t>
      </w:r>
    </w:p>
    <w:p>
      <w:pPr>
        <w:pStyle w:val="BodyText"/>
        <w:numPr>
          <w:numId w:val="15"/>
        </w:numPr>
      </w:pPr>
      <w:r>
        <w:t>NSX VLAN segment</w:t>
      </w:r>
    </w:p>
    <w:p>
      <w:pPr>
        <w:pStyle w:val="BodyText"/>
      </w:pPr>
      <w:r>
        <w:t>You can use custom networking to separate user-facing networks from management networks to meet regulatory and security requirements.</w:t>
      </w:r>
    </w:p>
    <w:p>
      <w:pPr>
        <w:pStyle w:val="BodyText"/>
      </w:pPr>
      <w:r>
        <w:t xml:space="preserve">For more information about each of these options, see </w:t>
      </w:r>
      <w:r>
        <w:t>Fleet Level Components Networking Models</w:t>
      </w:r>
      <w:r>
        <w:t>.</w:t>
      </w:r>
    </w:p>
    <w:p>
      <w:pPr>
        <w:pStyle w:val="Heading2"/>
      </w:pPr>
      <w:bookmarkStart w:id="14" w:name="_Toc256000044"/>
      <w:r>
        <w:t>Deploy VCF Management Components on the Shared Management Network</w:t>
      </w:r>
      <w:bookmarkEnd w:id="14"/>
    </w:p>
    <w:p>
      <w:pPr>
        <w:pStyle w:val="BodyText"/>
      </w:pPr>
      <w:r>
        <w:t>Use the SDDC Manager API to deploy the VCF management components using the same distributed port group as the VCF core components.</w:t>
      </w:r>
    </w:p>
    <w:p>
      <w:pPr>
        <w:pStyle w:val="BodyText"/>
      </w:pPr>
      <w:r>
        <w:t>Use this procedure to configure all VCF management components (</w:t>
      </w:r>
      <w:r>
        <w:t xml:space="preserve">, </w:t>
      </w:r>
      <w:r>
        <w:t>VCF Operations fleet management</w:t>
      </w:r>
      <w:r>
        <w:t xml:space="preserve">, </w:t>
      </w:r>
      <w:r>
        <w:t>VCF Operations collector</w:t>
      </w:r>
      <w:r>
        <w:t xml:space="preserve">, and </w:t>
      </w:r>
      <w:r>
        <w:t>VCF Automation</w:t>
      </w:r>
      <w:r>
        <w:t>) to use the same distributed port group as the core components (for example, vCenter).</w:t>
      </w:r>
    </w:p>
    <w:p>
      <w:pPr>
        <w:pStyle w:val="BodyText"/>
      </w:pPr>
      <w:r>
        <w:t xml:space="preserve">See the </w:t>
      </w:r>
      <w:hyperlink r:id="rId10" w:tooltip="SDDC Manager API Reference Guide" w:history="1">
        <w:r>
          <w:rPr>
            <w:color w:val="0000FF"/>
            <w:u w:val="single"/>
          </w:rPr>
          <w:t>SDDC Manager API Reference Guide</w:t>
        </w:r>
      </w:hyperlink>
      <w:r>
        <w:t xml:space="preserve"> for more information.</w:t>
      </w:r>
    </w:p>
    <w:p>
      <w:pPr>
        <w:pStyle w:val="BodyText"/>
      </w:pPr>
      <w:r>
        <w:rPr>
          <w:rStyle w:val="Strong"/>
        </w:rPr>
        <w:t>Prerequisites</w:t>
      </w:r>
    </w:p>
    <w:p>
      <w:pPr>
        <w:pStyle w:val="BodyText"/>
        <w:numPr>
          <w:numId w:val="16"/>
        </w:numPr>
      </w:pPr>
      <w:r>
        <w:t xml:space="preserve">Review Design Guide. See </w:t>
      </w:r>
      <w:r>
        <w:t>Fleet Level Components on Shared Management Network Model</w:t>
      </w:r>
      <w:r>
        <w:t>.</w:t>
      </w:r>
    </w:p>
    <w:p>
      <w:pPr>
        <w:pStyle w:val="BodyText"/>
        <w:numPr>
          <w:numId w:val="16"/>
        </w:numPr>
      </w:pPr>
      <w:r>
        <w:t>Download binaries for the VCF management components to SDDC Manager.</w:t>
      </w:r>
    </w:p>
    <w:p>
      <w:pPr>
        <w:pStyle w:val="BodyText"/>
      </w:pPr>
      <w:r>
        <w:rPr>
          <w:rStyle w:val="Strong"/>
        </w:rPr>
        <w:t>Procedure</w:t>
      </w:r>
    </w:p>
    <w:p>
      <w:pPr>
        <w:pStyle w:val="BodyText"/>
        <w:numPr>
          <w:numId w:val="17"/>
        </w:numPr>
      </w:pPr>
      <w:r>
        <w:t>Create a JSON file with information about the VCF management components to use for deployment.</w:t>
      </w:r>
    </w:p>
    <w:p>
      <w:pPr>
        <w:pStyle w:val="BodyText"/>
        <w:pBdr>
          <w:top w:val="single" w:sz="8" w:space="2" w:color="D3D3D3"/>
          <w:bottom w:val="single" w:sz="8" w:space="2" w:color="D3D3D3"/>
        </w:pBdr>
        <w:ind w:left="480"/>
      </w:pPr>
      <w:r>
        <w:rPr>
          <w:rStyle w:val="NoteLeadernote"/>
        </w:rPr>
        <w:t>Note</w:t>
        <w:tab/>
      </w:r>
      <w:r>
        <w:t xml:space="preserve">Do not include the </w:t>
      </w:r>
      <w:r>
        <w:rPr>
          <w:rStyle w:val="InlineCode"/>
        </w:rPr>
        <w:t>vcfMangementComponentsInfrastructureSpec</w:t>
      </w:r>
      <w:r>
        <w:t xml:space="preserve"> section in the JSON file. This ensures that the VCF management components use the same distributed port group as the VCF core components.</w:t>
      </w:r>
    </w:p>
    <w:p>
      <w:pPr>
        <w:pStyle w:val="BodyText"/>
        <w:ind w:left="480"/>
      </w:pPr>
      <w:r>
        <w:t>For example:</w:t>
      </w:r>
    </w:p>
    <w:p>
      <w:pPr>
        <w:pStyle w:val="CodeBlock"/>
        <w:ind w:left="480"/>
      </w:pPr>
      <w:r>
        <w:t>{
    "vcfOperationsFleetManagementSpec": {
        "hostname": "flt-fm01.rainpole.io",
        "rootUserPassword": "&lt;password&gt;",
        "adminUserPassword": "&lt;password&gt;",
        "useExistingDeployment": false
    },
    "vcfOperationsSpec": {
        "nodes": [
            {
                "hostname": "flt-ops01a.rainpole.io",
                "rootUserPassword": "&lt;password&gt;",
                "type": "master"
            },
            {
                "hostname": "flt-ops01b.rainpole.io",
                "rootUserPassword": "&lt;password&gt;",
                "type": "replica"
            },
            {
                "hostname": "flt-ops01c.rainpole.io",
                "rootUserPassword": "&lt;password&gt;",
                "type": "data"
            }
        ],
        "useExistingDeployment": false,
        "applianceSize": "medium",
        "adminUserPassword": "&lt;password&gt;"
    },
    "vcfOperationsCollectorSpec": {
        "hostname": "sfo-opsc01.sfo.rainpole.io",
        "rootUserPassword": "&lt;password&gt;",
        "version": "9.0.0.0",
        "applianceSize": "small"
    },
    "vcfAutomationSpec": {
        "ipPool": [
            "10.11.10.51",
            "10.11.10.52",
            "10.11.10.53",
            "10.11.10.54"
        ],
        "nodePrefix": "flt-auto",
        "hostname": "flt-auto01.rainpole.io",
        "internalClusterCidr": "198.18.0.0/15",
        "adminUserPassword": "&lt;password&gt;"
    }
}</w:t>
      </w:r>
    </w:p>
    <w:p>
      <w:pPr>
        <w:pStyle w:val="BodyText"/>
        <w:numPr>
          <w:numId w:val="17"/>
        </w:numPr>
      </w:pPr>
      <w:r>
        <w:t xml:space="preserve">Log in to the SDDC Manager UI and navigate to </w:t>
      </w:r>
      <w:r>
        <w:rPr>
          <w:rStyle w:val="InlineUI"/>
        </w:rPr>
        <w:t>Developer Center</w:t>
      </w:r>
      <w:r>
        <w:t>.</w:t>
      </w:r>
    </w:p>
    <w:p>
      <w:pPr>
        <w:pStyle w:val="BodyText"/>
        <w:numPr>
          <w:numId w:val="17"/>
        </w:numPr>
      </w:pPr>
      <w:r>
        <w:t>Validate your JSON file.</w:t>
      </w:r>
    </w:p>
    <w:p>
      <w:pPr>
        <w:pStyle w:val="CodeBlock"/>
        <w:ind w:left="480"/>
      </w:pPr>
      <w:r>
        <w:t>POST /v1/vcf-management-components/validations</w:t>
      </w:r>
    </w:p>
    <w:p>
      <w:pPr>
        <w:pStyle w:val="BodyText"/>
        <w:numPr>
          <w:numId w:val="17"/>
        </w:numPr>
      </w:pPr>
      <w:r>
        <w:t>Deploy the VCF management components.</w:t>
      </w:r>
    </w:p>
    <w:p>
      <w:pPr>
        <w:pStyle w:val="CodeBlock"/>
        <w:ind w:left="480"/>
      </w:pPr>
      <w:r>
        <w:t xml:space="preserve">POST /v1/vcf-management-components </w:t>
      </w:r>
    </w:p>
    <w:p>
      <w:pPr>
        <w:pStyle w:val="BodyText"/>
        <w:numPr>
          <w:numId w:val="17"/>
        </w:numPr>
      </w:pPr>
      <w:r>
        <w:t xml:space="preserve">When the deployment completes, open the </w:t>
      </w:r>
      <w:r>
        <w:t xml:space="preserve"> UI to apply licensing and perform other post-deployment configuration.</w:t>
      </w:r>
    </w:p>
    <w:p>
      <w:pPr>
        <w:pStyle w:val="Heading2"/>
      </w:pPr>
      <w:bookmarkStart w:id="15" w:name="_Toc256000045"/>
      <w:r>
        <w:t>Deploy VCF Management Components on a Dedicated Management Network</w:t>
      </w:r>
      <w:bookmarkEnd w:id="15"/>
    </w:p>
    <w:p>
      <w:pPr>
        <w:pStyle w:val="BodyText"/>
      </w:pPr>
      <w:r>
        <w:t>Use the SDDC Manager API to deploy the VCF management components using a dedicated distributed port group.</w:t>
      </w:r>
    </w:p>
    <w:p>
      <w:pPr>
        <w:pStyle w:val="BodyText"/>
      </w:pPr>
      <w:r>
        <w:t>Use this procedure to configure all VCF management components (</w:t>
      </w:r>
      <w:r>
        <w:t xml:space="preserve">, </w:t>
      </w:r>
      <w:r>
        <w:t>VCF Operations fleet management</w:t>
      </w:r>
      <w:r>
        <w:t xml:space="preserve">, </w:t>
      </w:r>
      <w:r>
        <w:t>VCF Automation</w:t>
      </w:r>
      <w:r>
        <w:t xml:space="preserve">) to use a different distributed port group than the VCF core components (for example, vCenter). The </w:t>
      </w:r>
      <w:r>
        <w:t>VCF Operations collector</w:t>
      </w:r>
      <w:r>
        <w:t xml:space="preserve"> appliances are deployed to the VM management network.</w:t>
      </w:r>
    </w:p>
    <w:p>
      <w:pPr>
        <w:pStyle w:val="BodyText"/>
      </w:pPr>
      <w:r>
        <w:t xml:space="preserve">See the </w:t>
      </w:r>
      <w:hyperlink r:id="rId10" w:tooltip="SDDC Manager API Reference Guide" w:history="1">
        <w:r>
          <w:rPr>
            <w:color w:val="0000FF"/>
            <w:u w:val="single"/>
          </w:rPr>
          <w:t>SDDC Manager API Reference Guide</w:t>
        </w:r>
      </w:hyperlink>
      <w:r>
        <w:t xml:space="preserve"> for more information.</w:t>
      </w:r>
    </w:p>
    <w:p>
      <w:pPr>
        <w:pStyle w:val="BodyText"/>
      </w:pPr>
      <w:r>
        <w:rPr>
          <w:rStyle w:val="Strong"/>
        </w:rPr>
        <w:t>Prerequisites</w:t>
      </w:r>
    </w:p>
    <w:p>
      <w:pPr>
        <w:pStyle w:val="BodyText"/>
        <w:numPr>
          <w:numId w:val="18"/>
        </w:numPr>
      </w:pPr>
      <w:r>
        <w:t xml:space="preserve">Review Design Guide. See </w:t>
      </w:r>
      <w:r>
        <w:t>Fleet Level Components on Dedicated Management Network Model</w:t>
      </w:r>
      <w:r>
        <w:t>.</w:t>
      </w:r>
    </w:p>
    <w:p>
      <w:pPr>
        <w:pStyle w:val="BodyText"/>
        <w:numPr>
          <w:numId w:val="18"/>
        </w:numPr>
      </w:pPr>
      <w:r>
        <w:t>Download binaries for the VCF management components to SDDC Manager.</w:t>
      </w:r>
    </w:p>
    <w:p>
      <w:pPr>
        <w:pStyle w:val="BodyText"/>
        <w:numPr>
          <w:numId w:val="18"/>
        </w:numPr>
      </w:pPr>
      <w:r>
        <w:t>Create a distributed port group with a dedicated VLAN on the management vCenter vSphere Distributed Switch.</w:t>
      </w:r>
    </w:p>
    <w:p>
      <w:pPr>
        <w:pStyle w:val="BodyText"/>
      </w:pPr>
      <w:r>
        <w:rPr>
          <w:rStyle w:val="Strong"/>
        </w:rPr>
        <w:t>Procedure</w:t>
      </w:r>
    </w:p>
    <w:p>
      <w:pPr>
        <w:pStyle w:val="BodyText"/>
        <w:numPr>
          <w:numId w:val="19"/>
        </w:numPr>
      </w:pPr>
      <w:r>
        <w:t>Create a JSON file with information about the VCF management components to use for deployment.</w:t>
      </w:r>
    </w:p>
    <w:p>
      <w:pPr>
        <w:pStyle w:val="BodyText"/>
        <w:ind w:left="480"/>
      </w:pPr>
      <w:r>
        <w:t>For example:</w:t>
      </w:r>
    </w:p>
    <w:p>
      <w:pPr>
        <w:pStyle w:val="CodeBlock"/>
        <w:ind w:left="480"/>
      </w:pPr>
      <w:r>
        <w:t xml:space="preserve">{
    "vcfOperationsFleetManagementSpec": {
        "hostname": "flt-fm01.rainpole.io",
        "rootUserPassword": "&lt;password&gt;",
        "adminUserPassword": "&lt;password&gt;",
        "useExistingDeployment": false
    },
    "vcfOperationsSpec": {
        "nodes": [
            {
                "hostname": "flt-ops01a.rainpole.io",
                "rootUserPassword": "&lt;password&gt;",
                "type": "master"
            },
            {
                "hostname": "flt-ops01b.rainpole.io",
                "rootUserPassword": "&lt;password&gt;",
                "type": "replica"
            },
            {
                "hostname": "flt-ops01c.rainpole.io",
                "rootUserPassword": "&lt;password&gt;",
                "type": "data"
            }
        ],
        "useExistingDeployment": false,
        "applianceSize": "medium",
        "adminUserPassword": "&lt;password&gt;"
    },
    "vcfOperationsCollectorSpec": {
        "hostname": "sfo-opsc01.sfo.rainpole.io",
        "rootUserPassword": "&lt;password&gt;",
        "version": "9.0.0.0",
        "applianceSize": "small"
    },
    "vcfAutomationSpec": {
        "ipPool": [
            "10.11.99.51",
            "10.11.99.52",
            "10.11.99.53",
            "10.11.99.54"
        ],
        "nodePrefix": "flt-auto",
        "hostname": "flt-auto01.rainpole.io",
        "internalClusterCidr": "198.18.0.0/15",
        "adminUserPassword": "&lt;password&gt;"
    },
    "vcfMangementComponentsInfrastructureSpec": {
        "localRegionNetwork": {
            "networkName": "&lt;VM-Management-port-group-name&gt;",
            "subnetMask": "255.255.255.0",
            "gateway": "10.11.10.1"
        },
        "xRegionNetwork": {
            "networkName": "&lt;Dedicated-Management-port-group-name&gt;",
            "subnetMask": "255.255.255.0",
            "gateway": "10.11.99.1"
        }
    }
} </w:t>
      </w:r>
    </w:p>
    <w:p>
      <w:pPr>
        <w:pStyle w:val="BodyText"/>
        <w:ind w:left="480"/>
      </w:pPr>
      <w:r>
        <w:t xml:space="preserve">Replace </w:t>
      </w:r>
      <w:r>
        <w:rPr>
          <w:rStyle w:val="InlineVar"/>
        </w:rPr>
        <w:t>&lt;port-group-name&gt;</w:t>
      </w:r>
      <w:r>
        <w:t xml:space="preserve"> with the name of the dedicated distributed virtual port group.</w:t>
      </w:r>
    </w:p>
    <w:p>
      <w:pPr>
        <w:pStyle w:val="BodyText"/>
        <w:numPr>
          <w:numId w:val="19"/>
        </w:numPr>
      </w:pPr>
      <w:r>
        <w:t xml:space="preserve">Log in to the SDDC Manager UI and navigate to </w:t>
      </w:r>
      <w:r>
        <w:rPr>
          <w:rStyle w:val="InlineUI"/>
        </w:rPr>
        <w:t>Developer Center</w:t>
      </w:r>
      <w:r>
        <w:t>.</w:t>
      </w:r>
    </w:p>
    <w:p>
      <w:pPr>
        <w:pStyle w:val="BodyText"/>
        <w:numPr>
          <w:numId w:val="19"/>
        </w:numPr>
      </w:pPr>
      <w:r>
        <w:t>Validate your JSON file.</w:t>
      </w:r>
    </w:p>
    <w:p>
      <w:pPr>
        <w:pStyle w:val="CodeBlock"/>
        <w:ind w:left="480"/>
      </w:pPr>
      <w:r>
        <w:t xml:space="preserve">POST /v1/vcf-management-components/validations </w:t>
      </w:r>
    </w:p>
    <w:p>
      <w:pPr>
        <w:pStyle w:val="BodyText"/>
        <w:numPr>
          <w:numId w:val="19"/>
        </w:numPr>
      </w:pPr>
      <w:r>
        <w:t>Deploy the VCF management components.</w:t>
      </w:r>
    </w:p>
    <w:p>
      <w:pPr>
        <w:pStyle w:val="CodeBlock"/>
        <w:ind w:left="480"/>
      </w:pPr>
      <w:r>
        <w:t xml:space="preserve">POST /v1/vcf-management-components </w:t>
      </w:r>
    </w:p>
    <w:p>
      <w:pPr>
        <w:pStyle w:val="BodyText"/>
        <w:numPr>
          <w:numId w:val="19"/>
        </w:numPr>
      </w:pPr>
      <w:r>
        <w:t xml:space="preserve">When the deployment completes, open the </w:t>
      </w:r>
      <w:r>
        <w:t xml:space="preserve"> UI to apply licensing and perform other post-deployment configuration.</w:t>
      </w:r>
    </w:p>
    <w:p>
      <w:pPr>
        <w:pStyle w:val="Heading2"/>
      </w:pPr>
      <w:bookmarkStart w:id="16" w:name="_Toc256000046"/>
      <w:r>
        <w:t>Deploy VCF Management Components on an NSX Overlay Segment</w:t>
      </w:r>
      <w:bookmarkEnd w:id="16"/>
    </w:p>
    <w:p>
      <w:pPr>
        <w:pStyle w:val="BodyText"/>
      </w:pPr>
      <w:r>
        <w:t>Use the SDDC Manager API to deploy the VCF management components on an NSX overlay segment.</w:t>
      </w:r>
    </w:p>
    <w:p>
      <w:pPr>
        <w:pStyle w:val="BodyText"/>
      </w:pPr>
      <w:r>
        <w:t>Use this procedure to configure all VCF management components (</w:t>
      </w:r>
      <w:r>
        <w:t xml:space="preserve">, </w:t>
      </w:r>
      <w:r>
        <w:t>VCF Operations fleet management</w:t>
      </w:r>
      <w:r>
        <w:t xml:space="preserve">, and </w:t>
      </w:r>
      <w:r>
        <w:t>VCF Automation</w:t>
      </w:r>
      <w:r>
        <w:t xml:space="preserve">) to use an NSX overlay segment. The </w:t>
      </w:r>
      <w:r>
        <w:t>VCF Operations collector</w:t>
      </w:r>
      <w:r>
        <w:t xml:space="preserve"> appliances are deployed to the VM management network.</w:t>
      </w:r>
    </w:p>
    <w:p>
      <w:pPr>
        <w:pStyle w:val="BodyText"/>
      </w:pPr>
      <w:r>
        <w:t xml:space="preserve">See the </w:t>
      </w:r>
      <w:hyperlink r:id="rId10" w:tooltip="SDDC Manager API Reference Guide" w:history="1">
        <w:r>
          <w:rPr>
            <w:color w:val="0000FF"/>
            <w:u w:val="single"/>
          </w:rPr>
          <w:t>SDDC Manager API Reference Guide</w:t>
        </w:r>
      </w:hyperlink>
      <w:r>
        <w:t xml:space="preserve"> for more information.</w:t>
      </w:r>
    </w:p>
    <w:p>
      <w:pPr>
        <w:pStyle w:val="BodyText"/>
      </w:pPr>
      <w:r>
        <w:rPr>
          <w:rStyle w:val="Strong"/>
        </w:rPr>
        <w:t>Prerequisites</w:t>
      </w:r>
    </w:p>
    <w:p>
      <w:pPr>
        <w:pStyle w:val="BodyText"/>
        <w:numPr>
          <w:numId w:val="20"/>
        </w:numPr>
      </w:pPr>
      <w:r>
        <w:t xml:space="preserve">Review Design Guide. See </w:t>
      </w:r>
      <w:r>
        <w:t>Fleet Level Components on NSX Overlay Segment Model</w:t>
      </w:r>
      <w:r>
        <w:t>.</w:t>
      </w:r>
    </w:p>
    <w:p>
      <w:pPr>
        <w:pStyle w:val="BodyText"/>
        <w:numPr>
          <w:numId w:val="20"/>
        </w:numPr>
      </w:pPr>
      <w:r>
        <w:t>Download binaries for the VCF management components to SDDC Manager.</w:t>
      </w:r>
    </w:p>
    <w:p>
      <w:pPr>
        <w:pStyle w:val="BodyText"/>
        <w:numPr>
          <w:numId w:val="20"/>
        </w:numPr>
      </w:pPr>
      <w:r>
        <w:t xml:space="preserve">Using the vSphere Client, create an NSX Edge cluster with a centralized transit gateway in the management domain. See </w:t>
      </w:r>
      <w:r>
        <w:t>Configuring Network Connectivity with Centralized Gateway</w:t>
      </w:r>
      <w:r>
        <w:t>.</w:t>
      </w:r>
    </w:p>
    <w:p>
      <w:pPr>
        <w:pStyle w:val="BodyText"/>
        <w:numPr>
          <w:ilvl w:val="1"/>
          <w:numId w:val="20"/>
        </w:numPr>
      </w:pPr>
      <w:r>
        <w:t xml:space="preserve">You can choose </w:t>
      </w:r>
      <w:r>
        <w:rPr>
          <w:rStyle w:val="InlineUI"/>
        </w:rPr>
        <w:t>Active Active</w:t>
      </w:r>
      <w:r>
        <w:t xml:space="preserve"> or </w:t>
      </w:r>
      <w:r>
        <w:rPr>
          <w:rStyle w:val="InlineUI"/>
        </w:rPr>
        <w:t>Active Standby</w:t>
      </w:r>
      <w:r>
        <w:t xml:space="preserve"> for the high-availability mode.</w:t>
      </w:r>
    </w:p>
    <w:p>
      <w:pPr>
        <w:pStyle w:val="BodyText"/>
        <w:numPr>
          <w:ilvl w:val="1"/>
          <w:numId w:val="20"/>
        </w:numPr>
      </w:pPr>
      <w:r>
        <w:t>VPC external IP blocks are not required.</w:t>
      </w:r>
    </w:p>
    <w:p>
      <w:pPr>
        <w:pStyle w:val="BodyText"/>
        <w:numPr>
          <w:numId w:val="20"/>
        </w:numPr>
      </w:pPr>
      <w:r>
        <w:t xml:space="preserve">In NSX Manager, create a tier-1 gateway. See </w:t>
      </w:r>
      <w:r>
        <w:t>Add an Tier-1 Gateway</w:t>
      </w:r>
      <w:r>
        <w:t>.</w:t>
      </w:r>
    </w:p>
    <w:p>
      <w:pPr>
        <w:pStyle w:val="BodyText"/>
        <w:numPr>
          <w:ilvl w:val="1"/>
          <w:numId w:val="20"/>
        </w:numPr>
      </w:pPr>
      <w:r>
        <w:t xml:space="preserve">Set the HA mode to </w:t>
      </w:r>
      <w:r>
        <w:rPr>
          <w:rStyle w:val="InlineUI"/>
        </w:rPr>
        <w:t>Active Standby</w:t>
      </w:r>
      <w:r>
        <w:t>.</w:t>
      </w:r>
    </w:p>
    <w:p>
      <w:pPr>
        <w:pStyle w:val="BodyText"/>
        <w:numPr>
          <w:ilvl w:val="1"/>
          <w:numId w:val="20"/>
        </w:numPr>
      </w:pPr>
      <w:r>
        <w:t>Linked to the tier-0 gateway.</w:t>
      </w:r>
    </w:p>
    <w:p>
      <w:pPr>
        <w:pStyle w:val="BodyText"/>
        <w:numPr>
          <w:ilvl w:val="1"/>
          <w:numId w:val="20"/>
        </w:numPr>
      </w:pPr>
      <w:r>
        <w:t>Select the Edge cluster you created.</w:t>
      </w:r>
    </w:p>
    <w:p>
      <w:pPr>
        <w:pStyle w:val="BodyText"/>
        <w:numPr>
          <w:ilvl w:val="1"/>
          <w:numId w:val="20"/>
        </w:numPr>
      </w:pPr>
      <w:r>
        <w:t xml:space="preserve">Under </w:t>
      </w:r>
      <w:r>
        <w:rPr>
          <w:rStyle w:val="InlineUI"/>
        </w:rPr>
        <w:t>Route Advertisement</w:t>
      </w:r>
      <w:r>
        <w:t xml:space="preserve">, select </w:t>
      </w:r>
      <w:r>
        <w:rPr>
          <w:rStyle w:val="InlineUI"/>
        </w:rPr>
        <w:t>All Connected Segments and Service Ports</w:t>
      </w:r>
      <w:r>
        <w:t>.</w:t>
      </w:r>
    </w:p>
    <w:p>
      <w:pPr>
        <w:pStyle w:val="BodyText"/>
        <w:numPr>
          <w:numId w:val="20"/>
        </w:numPr>
      </w:pPr>
      <w:r>
        <w:t xml:space="preserve">In NSX Manager, create a segment on the management domain overlay transport zone. See </w:t>
      </w:r>
      <w:r>
        <w:t>Create an Segment</w:t>
      </w:r>
      <w:r>
        <w:t xml:space="preserve"> .</w:t>
      </w:r>
    </w:p>
    <w:p>
      <w:pPr>
        <w:pStyle w:val="BodyText"/>
        <w:numPr>
          <w:ilvl w:val="1"/>
          <w:numId w:val="20"/>
        </w:numPr>
      </w:pPr>
      <w:r>
        <w:t xml:space="preserve">For the </w:t>
      </w:r>
      <w:r>
        <w:rPr>
          <w:rStyle w:val="InlineUI"/>
        </w:rPr>
        <w:t>Connected Gateway</w:t>
      </w:r>
      <w:r>
        <w:t>, select the tier-1 gateway.</w:t>
      </w:r>
    </w:p>
    <w:p>
      <w:pPr>
        <w:pStyle w:val="BodyText"/>
        <w:numPr>
          <w:ilvl w:val="1"/>
          <w:numId w:val="20"/>
        </w:numPr>
      </w:pPr>
      <w:r>
        <w:t xml:space="preserve">For the </w:t>
      </w:r>
      <w:r>
        <w:rPr>
          <w:rStyle w:val="InlineUI"/>
        </w:rPr>
        <w:t>Transport Zone</w:t>
      </w:r>
      <w:r>
        <w:t>, select the overlay transport zone.</w:t>
      </w:r>
    </w:p>
    <w:p>
      <w:pPr>
        <w:pStyle w:val="BodyText"/>
        <w:numPr>
          <w:ilvl w:val="1"/>
          <w:numId w:val="20"/>
        </w:numPr>
      </w:pPr>
      <w:r>
        <w:t>For the</w:t>
      </w:r>
    </w:p>
    <w:p>
      <w:pPr>
        <w:pStyle w:val="BodyText"/>
      </w:pPr>
      <w:r>
        <w:rPr>
          <w:rStyle w:val="Strong"/>
        </w:rPr>
        <w:t>Procedure</w:t>
      </w:r>
    </w:p>
    <w:p>
      <w:pPr>
        <w:pStyle w:val="BodyText"/>
        <w:numPr>
          <w:numId w:val="21"/>
        </w:numPr>
      </w:pPr>
      <w:r>
        <w:t>Create a JSON file with information about the VCF management components to use for deployment.</w:t>
      </w:r>
    </w:p>
    <w:p>
      <w:pPr>
        <w:pStyle w:val="BodyText"/>
        <w:ind w:left="480"/>
      </w:pPr>
      <w:r>
        <w:t>For example:</w:t>
      </w:r>
    </w:p>
    <w:p>
      <w:pPr>
        <w:pStyle w:val="CodeBlock"/>
        <w:ind w:left="480"/>
      </w:pPr>
      <w:r>
        <w:t>{
    "vcfOperationsFleetManagementSpec": {
        "hostname": "flt-fm01.rainpole.io",
        "rootUserPassword": "&lt;password&gt;",
        "adminUserPassword": "&lt;password&gt;",
        "useExistingDeployment": false
    },
    "vcfOperationsSpec": {
        "nodes": [
            {
                "hostname": "flt-ops01a.rainpole.io",
                "rootUserPassword": "&lt;password&gt;",
                "type": "master"
            },
            {
                "hostname": "flt-ops01b.rainpole.io",
                "rootUserPassword": "&lt;password&gt;",
                "type": "replica"
            },
            {
                "hostname": "flt-ops01c.rainpole.io",
                "rootUserPassword": "&lt;password&gt;",
                "type": "data"
            }
        ],
        "useExistingDeployment": false,
        "applianceSize": "medium",
        "adminUserPassword": "&lt;password&gt;"
    },
    "vcfOperationsCollectorSpec": {
        "hostname": "sfo-opsc01.sfo.rainpole.io",
        "rootUserPassword": "&lt;password&gt;",
        "version": "9.0.0.0",
        "applianceSize": "small"
    },
    "vcfAutomationSpec": {
        "ipPool": [
            "192.168.11.51",
            "192.168.11.52",
            "192.168.11.53",
            "192.168.11.54"
        ],
        "nodePrefix": "flt-auto",
        "hostname": "flt-auto01.rainpole.io",
        "internalClusterCidr": "198.18.0.0/15",
        "adminUserPassword": "&lt;password&gt;"
    },
    "vcfMangementComponentsInfrastructureSpec": {
        "localRegionNetwork": {
            "networkName": "&lt;VM-Management-port-group-name&gt;",
            "subnetMask": "255.255.255.0",
            "gateway": "10.11.10.1"
        },
        "xRegionNetwork": {
            "networkName": "&lt;overlay-segment-name&gt;",
            "subnetMask": "255.255.255.0",
            "gateway": "192.168.11.1"
        }
    }
}</w:t>
      </w:r>
    </w:p>
    <w:p>
      <w:pPr>
        <w:pStyle w:val="BodyText"/>
        <w:ind w:left="480"/>
      </w:pPr>
      <w:r>
        <w:t xml:space="preserve">Replace </w:t>
      </w:r>
      <w:r>
        <w:rPr>
          <w:rStyle w:val="InlineVar"/>
        </w:rPr>
        <w:t>&lt;overlay-segment-name&gt;</w:t>
      </w:r>
      <w:r>
        <w:t xml:space="preserve"> with the name of the overlay segment.</w:t>
      </w:r>
    </w:p>
    <w:p>
      <w:pPr>
        <w:pStyle w:val="BodyText"/>
        <w:pBdr>
          <w:top w:val="single" w:sz="8" w:space="2" w:color="D3D3D3"/>
          <w:bottom w:val="single" w:sz="8" w:space="2" w:color="D3D3D3"/>
        </w:pBdr>
        <w:ind w:left="480"/>
      </w:pPr>
      <w:r>
        <w:rPr>
          <w:rStyle w:val="NoteLeadernote"/>
        </w:rPr>
        <w:t>Note</w:t>
        <w:tab/>
      </w:r>
      <w:r>
        <w:t xml:space="preserve">You can use the same segment for both </w:t>
      </w:r>
      <w:r>
        <w:rPr>
          <w:rStyle w:val="InlineCode"/>
        </w:rPr>
        <w:t>localRegionNetwork</w:t>
      </w:r>
      <w:r>
        <w:t xml:space="preserve"> and </w:t>
      </w:r>
      <w:r>
        <w:rPr>
          <w:rStyle w:val="InlineCode"/>
        </w:rPr>
        <w:t>xRegionNetwork</w:t>
      </w:r>
      <w:r>
        <w:t>.</w:t>
      </w:r>
    </w:p>
    <w:p>
      <w:pPr>
        <w:pStyle w:val="BodyText"/>
        <w:numPr>
          <w:numId w:val="21"/>
        </w:numPr>
      </w:pPr>
      <w:r>
        <w:t xml:space="preserve">Log in to the SDDC Manager UI and navigate to </w:t>
      </w:r>
      <w:r>
        <w:rPr>
          <w:rStyle w:val="InlineUI"/>
        </w:rPr>
        <w:t>Developer Center</w:t>
      </w:r>
      <w:r>
        <w:t>.</w:t>
      </w:r>
    </w:p>
    <w:p>
      <w:pPr>
        <w:pStyle w:val="BodyText"/>
        <w:numPr>
          <w:numId w:val="21"/>
        </w:numPr>
      </w:pPr>
      <w:r>
        <w:t>Validate your JSON file.</w:t>
      </w:r>
    </w:p>
    <w:p>
      <w:pPr>
        <w:pStyle w:val="CodeBlock"/>
        <w:ind w:left="480"/>
      </w:pPr>
      <w:r>
        <w:t xml:space="preserve">POST /v1/vcf-management-components/validations </w:t>
      </w:r>
    </w:p>
    <w:p>
      <w:pPr>
        <w:pStyle w:val="BodyText"/>
        <w:numPr>
          <w:numId w:val="21"/>
        </w:numPr>
      </w:pPr>
      <w:r>
        <w:t>Deploy the VCF management components.</w:t>
      </w:r>
    </w:p>
    <w:p>
      <w:pPr>
        <w:pStyle w:val="CodeBlock"/>
        <w:ind w:left="480"/>
      </w:pPr>
      <w:r>
        <w:t xml:space="preserve">POST /v1/vcf-management-components </w:t>
      </w:r>
    </w:p>
    <w:p>
      <w:pPr>
        <w:pStyle w:val="BodyText"/>
        <w:numPr>
          <w:numId w:val="21"/>
        </w:numPr>
      </w:pPr>
      <w:r>
        <w:t xml:space="preserve">When the deployment completes, open the </w:t>
      </w:r>
      <w:r>
        <w:t xml:space="preserve"> UI to apply licensing and perform other post-deployment configuration.</w:t>
      </w:r>
    </w:p>
    <w:p>
      <w:pPr>
        <w:pStyle w:val="Heading2"/>
      </w:pPr>
      <w:bookmarkStart w:id="17" w:name="_Toc256000047"/>
      <w:r>
        <w:t>Deploy VCF Management Components on an NSX VLAN Segment</w:t>
      </w:r>
      <w:bookmarkEnd w:id="17"/>
    </w:p>
    <w:p>
      <w:pPr>
        <w:pStyle w:val="BodyText"/>
      </w:pPr>
      <w:r>
        <w:t xml:space="preserve">Use the SDDC Manager API to deploy the VCF management components on an NSX VLAN segment. The </w:t>
      </w:r>
      <w:r>
        <w:t>VCF Operations collector</w:t>
      </w:r>
      <w:r>
        <w:t xml:space="preserve"> appliances are deployed to the VM management network.</w:t>
      </w:r>
    </w:p>
    <w:p>
      <w:pPr>
        <w:pStyle w:val="BodyText"/>
      </w:pPr>
      <w:r>
        <w:t>Use this procedure to configure all VCF management components (</w:t>
      </w:r>
      <w:r>
        <w:t xml:space="preserve">, </w:t>
      </w:r>
      <w:r>
        <w:t>VCF Operations fleet management</w:t>
      </w:r>
      <w:r>
        <w:t xml:space="preserve">, and </w:t>
      </w:r>
      <w:r>
        <w:t>VCF Automation</w:t>
      </w:r>
      <w:r>
        <w:t xml:space="preserve">) to use an NSX VLAN segment. The </w:t>
      </w:r>
      <w:r>
        <w:t>VCF Operations collector</w:t>
      </w:r>
      <w:r>
        <w:t xml:space="preserve"> appliances are deployed to the VM management network.</w:t>
      </w:r>
    </w:p>
    <w:p>
      <w:pPr>
        <w:pStyle w:val="BodyText"/>
      </w:pPr>
      <w:r>
        <w:t xml:space="preserve">See the </w:t>
      </w:r>
      <w:hyperlink r:id="rId10" w:tooltip="SDDC Manager API Reference Guide" w:history="1">
        <w:r>
          <w:rPr>
            <w:color w:val="0000FF"/>
            <w:u w:val="single"/>
          </w:rPr>
          <w:t>SDDC Manager API Reference Guide</w:t>
        </w:r>
      </w:hyperlink>
      <w:r>
        <w:t xml:space="preserve"> for more information.</w:t>
      </w:r>
    </w:p>
    <w:p>
      <w:pPr>
        <w:pStyle w:val="BodyText"/>
      </w:pPr>
      <w:r>
        <w:rPr>
          <w:rStyle w:val="Strong"/>
        </w:rPr>
        <w:t>Prerequisites</w:t>
      </w:r>
    </w:p>
    <w:p>
      <w:pPr>
        <w:pStyle w:val="BodyText"/>
        <w:numPr>
          <w:numId w:val="22"/>
        </w:numPr>
      </w:pPr>
      <w:r>
        <w:t xml:space="preserve">Review Design Guide. See </w:t>
      </w:r>
      <w:r>
        <w:t>Fleet Level Components on NSX VLAN Segment Model</w:t>
      </w:r>
      <w:r>
        <w:t>.</w:t>
      </w:r>
    </w:p>
    <w:p>
      <w:pPr>
        <w:pStyle w:val="BodyText"/>
        <w:numPr>
          <w:numId w:val="22"/>
        </w:numPr>
      </w:pPr>
      <w:r>
        <w:t>Download binaries for the VCF management components to SDDC Manager.</w:t>
      </w:r>
    </w:p>
    <w:p>
      <w:pPr>
        <w:pStyle w:val="BodyText"/>
        <w:numPr>
          <w:numId w:val="22"/>
        </w:numPr>
      </w:pPr>
      <w:r>
        <w:t xml:space="preserve">Create a VLAN transport zone in the management domain NSX Manager. See </w:t>
      </w:r>
      <w:r>
        <w:t>Create Transport Zones</w:t>
      </w:r>
      <w:r>
        <w:t>.</w:t>
      </w:r>
    </w:p>
    <w:p>
      <w:pPr>
        <w:pStyle w:val="BodyText"/>
        <w:numPr>
          <w:numId w:val="22"/>
        </w:numPr>
      </w:pPr>
      <w:r>
        <w:t xml:space="preserve">In NSX Manager, create a segment on the newly created VLAN transport zone. See </w:t>
      </w:r>
      <w:r>
        <w:t>Create an Segment</w:t>
      </w:r>
      <w:r>
        <w:t xml:space="preserve"> .</w:t>
      </w:r>
    </w:p>
    <w:p>
      <w:pPr>
        <w:pStyle w:val="BodyText"/>
        <w:numPr>
          <w:ilvl w:val="1"/>
          <w:numId w:val="22"/>
        </w:numPr>
      </w:pPr>
      <w:r>
        <w:t xml:space="preserve">For the </w:t>
      </w:r>
      <w:r>
        <w:rPr>
          <w:rStyle w:val="InlineUI"/>
        </w:rPr>
        <w:t>Transport Zone</w:t>
      </w:r>
      <w:r>
        <w:t>, select the VLAN transport zone.</w:t>
      </w:r>
    </w:p>
    <w:p>
      <w:pPr>
        <w:pStyle w:val="BodyText"/>
        <w:numPr>
          <w:numId w:val="22"/>
        </w:numPr>
      </w:pPr>
      <w:r>
        <w:t>In NSX Manager, attach the VLAN transport zone to transport node profile for the management domain primary cluster.</w:t>
      </w:r>
    </w:p>
    <w:p>
      <w:pPr>
        <w:pStyle w:val="BodyText"/>
      </w:pPr>
      <w:r>
        <w:rPr>
          <w:rStyle w:val="Strong"/>
        </w:rPr>
        <w:t>Procedure</w:t>
      </w:r>
    </w:p>
    <w:p>
      <w:pPr>
        <w:pStyle w:val="BodyText"/>
        <w:numPr>
          <w:numId w:val="23"/>
        </w:numPr>
      </w:pPr>
      <w:r>
        <w:t>Create a JSON file with information about the VCF management components to use for deployment.</w:t>
      </w:r>
    </w:p>
    <w:p>
      <w:pPr>
        <w:pStyle w:val="BodyText"/>
        <w:ind w:left="480"/>
      </w:pPr>
      <w:r>
        <w:t>For example:</w:t>
      </w:r>
    </w:p>
    <w:p>
      <w:pPr>
        <w:pStyle w:val="CodeBlock"/>
        <w:ind w:left="480"/>
      </w:pPr>
      <w:r>
        <w:t>{
    "vcfOperationsFleetManagementSpec": {
        "hostname": "flt-fm01.rainpole.io",
        "rootUserPassword": "&lt;password&gt;",
        "adminUserPassword": "&lt;password&gt;",
        "useExistingDeployment": false
    },
    "vcfOperationsSpec": {
        "nodes": [
            {
                "hostname": "flt-ops01a.rainpole.io",
                "rootUserPassword": "&lt;password&gt;",
                "type": "master"
            },
            {
                "hostname": "flt-ops01b.rainpole.io",
                "rootUserPassword": "&lt;password&gt;",
                "type": "replica"
            },
            {
                "hostname": "flt-ops01c.rainpole.io",
                "rootUserPassword": "&lt;password&gt;",
                "type": "data"
            }
        ],
        "useExistingDeployment": false,
        "applianceSize": "medium",
        "adminUserPassword": "&lt;password&gt;"
    },
    "vcfOperationsCollectorSpec": {
        "hostname": "sfo-opsc01.sfo.rainpole.io",
        "rootUserPassword": "&lt;password&gt;",
        "version": "9.0.0.0",
        "applianceSize": "small"
    },
    "vcfAutomationSpec": {
        "ipPool": [
            "10.11.99.51",
            "10.11.99.52",
            "10.11.99.53",
            "10.11.99.54"
        ],
        "nodePrefix": "flt-auto",
        "hostname": "flt-auto01.rainpole.io",
        "internalClusterCidr": "198.18.0.0/15",
        "adminUserPassword": "&lt;password&gt;"
    },
    "vcfMangementComponentsInfrastructureSpec": {
        "localRegionNetwork": {
            "networkName": "&lt;VM-Management-port-group-name&gt;",
            "subnetMask": "255.255.255.0",
            "gateway": "10.11.10.1"
        },
        "xRegionNetwork": {
            "networkName": "&lt;vlan-segment-name&gt;",
            "subnetMask": "255.255.255.0",
            "gateway": "10.11.99.1"
        }
    }
}</w:t>
      </w:r>
    </w:p>
    <w:p>
      <w:pPr>
        <w:pStyle w:val="BodyText"/>
        <w:ind w:left="480"/>
      </w:pPr>
      <w:r>
        <w:t xml:space="preserve">Replace </w:t>
      </w:r>
      <w:r>
        <w:rPr>
          <w:rStyle w:val="InlineVar"/>
        </w:rPr>
        <w:t>&lt;vlan-segment-name&gt;</w:t>
      </w:r>
      <w:r>
        <w:t xml:space="preserve"> with the name of the VLAN segment.</w:t>
      </w:r>
    </w:p>
    <w:p>
      <w:pPr>
        <w:pStyle w:val="BodyText"/>
        <w:pBdr>
          <w:top w:val="single" w:sz="8" w:space="2" w:color="D3D3D3"/>
          <w:bottom w:val="single" w:sz="8" w:space="2" w:color="D3D3D3"/>
        </w:pBdr>
        <w:ind w:left="480"/>
      </w:pPr>
      <w:r>
        <w:rPr>
          <w:rStyle w:val="NoteLeadernote"/>
        </w:rPr>
        <w:t>Note</w:t>
        <w:tab/>
      </w:r>
      <w:r>
        <w:t xml:space="preserve">You can use the same segment for both </w:t>
      </w:r>
      <w:r>
        <w:rPr>
          <w:rStyle w:val="InlineCode"/>
        </w:rPr>
        <w:t>localRegionNetwork</w:t>
      </w:r>
      <w:r>
        <w:t xml:space="preserve"> and </w:t>
      </w:r>
      <w:r>
        <w:rPr>
          <w:rStyle w:val="InlineCode"/>
        </w:rPr>
        <w:t>xRegionNetwork</w:t>
      </w:r>
      <w:r>
        <w:t>.</w:t>
      </w:r>
    </w:p>
    <w:p>
      <w:pPr>
        <w:pStyle w:val="BodyText"/>
        <w:numPr>
          <w:numId w:val="23"/>
        </w:numPr>
      </w:pPr>
      <w:r>
        <w:t xml:space="preserve">Log in to the SDDC Manager UI and navigate to </w:t>
      </w:r>
      <w:r>
        <w:rPr>
          <w:rStyle w:val="InlineUI"/>
        </w:rPr>
        <w:t>Developer Center</w:t>
      </w:r>
      <w:r>
        <w:t>.</w:t>
      </w:r>
    </w:p>
    <w:p>
      <w:pPr>
        <w:pStyle w:val="BodyText"/>
        <w:numPr>
          <w:numId w:val="23"/>
        </w:numPr>
      </w:pPr>
      <w:r>
        <w:t>Validate your JSON file.</w:t>
      </w:r>
    </w:p>
    <w:p>
      <w:pPr>
        <w:pStyle w:val="CodeBlock"/>
        <w:ind w:left="480"/>
      </w:pPr>
      <w:r>
        <w:t>POST /v1/vcf-management-components/validations</w:t>
      </w:r>
    </w:p>
    <w:p>
      <w:pPr>
        <w:pStyle w:val="BodyText"/>
        <w:numPr>
          <w:numId w:val="23"/>
        </w:numPr>
      </w:pPr>
      <w:r>
        <w:t>Deploy the VCF management components.</w:t>
      </w:r>
    </w:p>
    <w:p>
      <w:pPr>
        <w:pStyle w:val="CodeBlock"/>
        <w:ind w:left="480"/>
      </w:pPr>
      <w:r>
        <w:t>POST /v1/vcf-management-components</w:t>
      </w:r>
    </w:p>
    <w:p>
      <w:pPr>
        <w:pStyle w:val="BodyText"/>
        <w:numPr>
          <w:numId w:val="23"/>
        </w:numPr>
      </w:pPr>
      <w:r>
        <w:t xml:space="preserve">When the deployment completes, open the </w:t>
      </w:r>
      <w:r>
        <w:t xml:space="preserve"> UI to apply licensing and perform other post-deployment configuration.</w:t>
      </w:r>
    </w:p>
    <w:sectPr w:rsidSect="0078571F">
      <w:headerReference w:type="default" r:id="rId11"/>
      <w:footerReference w:type="default" r:id="rId12"/>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20</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Deploying VMware Cloud Foundation Operations Orchestrator</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multilevel"/>
    <w:tmpl w:val="7A0F566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multilevel"/>
    <w:tmpl w:val="7A0F566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multilevel"/>
    <w:tmpl w:val="7A0F566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multilevel"/>
    <w:tmpl w:val="7A0F567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multilevel"/>
    <w:tmpl w:val="7A0F567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multilevel"/>
    <w:tmpl w:val="7A0F56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multilevel"/>
    <w:tmpl w:val="7A0F56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C4D0B"/>
    <w:rsid w:val="000E4BB0"/>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C677C"/>
    <w:rsid w:val="003D6901"/>
    <w:rsid w:val="003E0018"/>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15840"/>
    <w:rsid w:val="008217C0"/>
    <w:rsid w:val="00822231"/>
    <w:rsid w:val="00836DA7"/>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825D9"/>
    <w:rsid w:val="00BA02B5"/>
    <w:rsid w:val="00BA4EB6"/>
    <w:rsid w:val="00BC3707"/>
    <w:rsid w:val="00BC5955"/>
    <w:rsid w:val="00BD493A"/>
    <w:rsid w:val="00BF5187"/>
    <w:rsid w:val="00C11E16"/>
    <w:rsid w:val="00C12143"/>
    <w:rsid w:val="00C258BA"/>
    <w:rsid w:val="00C379FA"/>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DE0792"/>
    <w:rsid w:val="00E03CF9"/>
    <w:rsid w:val="00E14E29"/>
    <w:rsid w:val="00E218C0"/>
    <w:rsid w:val="00E55987"/>
    <w:rsid w:val="00E65CB6"/>
    <w:rsid w:val="00EB5D9C"/>
    <w:rsid w:val="00EB76E2"/>
    <w:rsid w:val="00F117EE"/>
    <w:rsid w:val="00F461CF"/>
    <w:rsid w:val="00F64BDD"/>
    <w:rsid w:val="00F76D81"/>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F1CA0"/>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hyperlink" Target="https://docs.vmware.com/copyright-trademark.html" TargetMode="External"/><Relationship Id="rId18" Type="http://schemas.openxmlformats.org/officeDocument/2006/relationships/customXml" Target="../customXml/item4.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yperlink" Target="http://www.vmware.com/" TargetMode="External"/><Relationship Id="rId17" Type="http://schemas.openxmlformats.org/officeDocument/2006/relationships/customXml" Target="../customXml/item3.xml"/><Relationship Id="rId2" Type="http://schemas.openxmlformats.org/officeDocument/2006/relationships/webSettings" Target="webSettings.xml"/><Relationship Id="rId16" Type="http://schemas.openxmlformats.org/officeDocument/2006/relationships/customXml" Target="../customXml/item2.xml"/><Relationship Id="rId1" Type="http://schemas.openxmlformats.org/officeDocument/2006/relationships/settings" Target="settings.xml"/><Relationship Id="rId11" Type="http://schemas.openxmlformats.org/officeDocument/2006/relationships/header" Target="header1.xml"/><Relationship Id="rId6" Type="http://schemas.openxmlformats.org/officeDocument/2006/relationships/hyperlink" Target="https://docs.vmware.com/" TargetMode="External"/><Relationship Id="rId15" Type="http://schemas.openxmlformats.org/officeDocument/2006/relationships/styles" Target="styles.xml"/><Relationship Id="rId5" Type="http://schemas.openxmlformats.org/officeDocument/2006/relationships/image" Target="media/image1.png"/><Relationship Id="rId10" Type="http://schemas.openxmlformats.org/officeDocument/2006/relationships/hyperlink" Target="https://developer.broadcom.com/xapis/sddc-manager-api/latest/vcf-management-components/" TargetMode="External"/><Relationship Id="rId14" Type="http://schemas.openxmlformats.org/officeDocument/2006/relationships/numbering" Target="numbering.xml"/><Relationship Id="rId4" Type="http://schemas.openxmlformats.org/officeDocument/2006/relationships/customXml" Target="../customXml/item1.xml"/><Relationship Id="rId9" Type="http://schemas.openxmlformats.org/officeDocument/2006/relationships/hyperlink" Target="https://knowledge.broadcom.com/external/article?legacyId=93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E5847C8-BA62-AC45-B7B8-4FCF341A8BA5}">
  <ds:schemaRefs>
    <ds:schemaRef ds:uri="http://schemas.openxmlformats.org/officeDocument/2006/bibliography"/>
  </ds:schemaRefs>
</ds:datastoreItem>
</file>

<file path=customXml/itemProps2.xml><?xml version="1.0" encoding="utf-8"?>
<ds:datastoreItem xmlns:ds="http://schemas.openxmlformats.org/officeDocument/2006/customXml" ds:itemID="{18E25CCB-397A-4D7F-B97D-EA9BF1437190}"/>
</file>

<file path=customXml/itemProps3.xml><?xml version="1.0" encoding="utf-8"?>
<ds:datastoreItem xmlns:ds="http://schemas.openxmlformats.org/officeDocument/2006/customXml" ds:itemID="{99DDAA10-FADF-48AD-ADEA-C5296BDA9A61}"/>
</file>

<file path=customXml/itemProps4.xml><?xml version="1.0" encoding="utf-8"?>
<ds:datastoreItem xmlns:ds="http://schemas.openxmlformats.org/officeDocument/2006/customXml" ds:itemID="{68C7DA79-F44F-4CA3-AD96-2BD871D9BFE9}"/>
</file>

<file path=docProps/app.xml><?xml version="1.0" encoding="utf-8"?>
<Properties xmlns="http://schemas.openxmlformats.org/officeDocument/2006/extended-properties" xmlns:vt="http://schemas.openxmlformats.org/officeDocument/2006/docPropsVTypes">
  <Template>Normal.dotm</Template>
  <TotalTime>142</TotalTime>
  <Pages>20</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VMware Cloud Foundation Operations Orchestrator</dc:title>
  <dc:creator>VMware, Inc.</dc:creator>
  <cp:lastModifiedBy>Ananth Sivagurunathan</cp:lastModifiedBy>
  <cp:revision>51</cp:revision>
  <dcterms:created xsi:type="dcterms:W3CDTF">2022-05-31T18:02:00Z</dcterms:created>
  <dcterms:modified xsi:type="dcterms:W3CDTF">2025-07-03T15:16:00Z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