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1.0 -->
  <w:body>
    <w:p w:rsidR="00B76941" w:rsidRPr="00FF1CA0" w:rsidP="005D2C29" w14:paraId="3DF9FB39" w14:textId="6CB2EC76">
      <w:pPr>
        <w:pStyle w:val="Title"/>
        <w:rPr>
          <w:rFonts w:ascii="Arial" w:hAnsi="Arial" w:cs="Arial"/>
        </w:rPr>
      </w:pPr>
      <w:r>
        <w:rPr>
          <w:rFonts w:ascii="Arial" w:hAnsi="Arial" w:cs="Arial"/>
          <w:noProof/>
        </w:rP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808976" cy="10104120"/>
            <wp:effectExtent l="0" t="0" r="1905" b="0"/>
            <wp:wrapNone/>
            <wp:docPr id="1300197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97973" name="Picture 1300197973"/>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7808976" cy="10104120"/>
                    </a:xfrm>
                    <a:prstGeom prst="rect">
                      <a:avLst/>
                    </a:prstGeom>
                  </pic:spPr>
                </pic:pic>
              </a:graphicData>
            </a:graphic>
            <wp14:sizeRelH relativeFrom="margin">
              <wp14:pctWidth>0</wp14:pctWidth>
            </wp14:sizeRelH>
            <wp14:sizeRelV relativeFrom="margin">
              <wp14:pctHeight>0</wp14:pctHeight>
            </wp14:sizeRelV>
          </wp:anchor>
        </w:drawing>
      </w:r>
      <w:r w:rsidRPr="00FF1CA0" w:rsidR="008D637B">
        <w:rPr>
          <w:rFonts w:ascii="Arial" w:hAnsi="Arial" w:cs="Arial"/>
        </w:rPr>
        <w:fldChar w:fldCharType="begin"/>
      </w:r>
      <w:r w:rsidRPr="00FF1CA0" w:rsidR="008D637B">
        <w:rPr>
          <w:rFonts w:ascii="Arial" w:hAnsi="Arial" w:cs="Arial"/>
        </w:rPr>
        <w:instrText xml:space="preserve"> TITLE   \* MERGEFORMAT </w:instrText>
      </w:r>
      <w:r w:rsidRPr="00FF1CA0" w:rsidR="008D637B">
        <w:rPr>
          <w:rFonts w:ascii="Arial" w:hAnsi="Arial" w:cs="Arial"/>
        </w:rPr>
        <w:fldChar w:fldCharType="separate"/>
      </w:r>
      <w:r w:rsidRPr="00FF1CA0" w:rsidR="008D637B">
        <w:rPr>
          <w:rFonts w:ascii="Arial" w:hAnsi="Arial" w:cs="Arial"/>
        </w:rPr>
        <w:t>VMware Pro Cloud Service for Private Cloud Infrastructure - VMware Cloud Foundation Operations for logs Installation and Configuration Procedures 9.0</w:t>
      </w:r>
      <w:r w:rsidRPr="00FF1CA0" w:rsidR="008D637B">
        <w:rPr>
          <w:rFonts w:ascii="Arial" w:hAnsi="Arial" w:cs="Arial"/>
        </w:rPr>
        <w:fldChar w:fldCharType="end"/>
      </w:r>
    </w:p>
    <w:p w:rsidR="00B76941" w:rsidRPr="00FF1CA0" w:rsidP="000555E1" w14:paraId="3A27860F" w14:textId="27264BE7">
      <w:pPr>
        <w:pStyle w:val="Subtitle"/>
        <w:rPr>
          <w:rFonts w:ascii="Arial" w:hAnsi="Arial" w:cs="Arial"/>
        </w:rPr>
      </w:pPr>
      <w:r>
        <w:rPr>
          <w:rFonts w:ascii="Arial" w:hAnsi="Arial" w:cs="Arial"/>
          <w:noProof/>
        </w:rPr>
        <w:drawing>
          <wp:anchor distT="0" distB="0" distL="114300" distR="114300" simplePos="0" relativeHeight="251659264" behindDoc="0" locked="0" layoutInCell="1" allowOverlap="1">
            <wp:simplePos x="0" y="0"/>
            <wp:positionH relativeFrom="page">
              <wp:posOffset>457200</wp:posOffset>
            </wp:positionH>
            <wp:positionV relativeFrom="page">
              <wp:posOffset>9372600</wp:posOffset>
            </wp:positionV>
            <wp:extent cx="1316736" cy="393192"/>
            <wp:effectExtent l="0" t="0" r="0" b="6985"/>
            <wp:wrapNone/>
            <wp:docPr id="1732503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03023" name="Picture 1732503023"/>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16736" cy="393192"/>
                    </a:xfrm>
                    <a:prstGeom prst="rect">
                      <a:avLst/>
                    </a:prstGeom>
                  </pic:spPr>
                </pic:pic>
              </a:graphicData>
            </a:graphic>
            <wp14:sizeRelH relativeFrom="margin">
              <wp14:pctWidth>0</wp14:pctWidth>
            </wp14:sizeRelH>
            <wp14:sizeRelV relativeFrom="margin">
              <wp14:pctHeight>0</wp14:pctHeight>
            </wp14:sizeRelV>
          </wp:anchor>
        </w:drawing>
      </w:r>
      <w:r w:rsidRPr="00FF1CA0" w:rsidR="008D637B">
        <w:rPr>
          <w:rFonts w:ascii="Arial" w:hAnsi="Arial" w:cs="Arial"/>
        </w:rPr>
        <w:fldChar w:fldCharType="begin"/>
      </w:r>
      <w:r w:rsidRPr="00FF1CA0" w:rsidR="008D637B">
        <w:rPr>
          <w:rFonts w:ascii="Arial" w:hAnsi="Arial" w:cs="Arial"/>
        </w:rPr>
        <w:instrText xml:space="preserve"> SUBJECT   \* MERGEFORMAT </w:instrText>
      </w:r>
      <w:r w:rsidRPr="00FF1CA0" w:rsidR="008D637B">
        <w:rPr>
          <w:rFonts w:ascii="Arial" w:hAnsi="Arial" w:cs="Arial"/>
        </w:rPr>
        <w:fldChar w:fldCharType="separate"/>
      </w:r>
      <w:r w:rsidRPr="00FF1CA0" w:rsidR="008D637B">
        <w:rPr>
          <w:rFonts w:ascii="Arial" w:hAnsi="Arial" w:cs="Arial"/>
        </w:rPr>
        <w:fldChar w:fldCharType="end"/>
      </w:r>
    </w:p>
    <w:p w:rsidR="00C258BA" w:rsidRPr="00FF1CA0" w:rsidP="00C258BA" w14:paraId="194ECAD0" w14:textId="75ADC0E2">
      <w:pPr>
        <w:pageBreakBefore/>
        <w:spacing w:after="180"/>
        <w:rPr>
          <w:rFonts w:cs="Arial"/>
          <w:color w:val="323232"/>
          <w:sz w:val="18"/>
          <w:szCs w:val="18"/>
        </w:rPr>
      </w:pPr>
      <w:r w:rsidRPr="0006271F">
        <w:rPr>
          <w:rFonts w:cs="Arial"/>
          <w:color w:val="323232"/>
          <w:sz w:val="18"/>
          <w:szCs w:val="18"/>
        </w:rPr>
        <w:t>You can find the most up-to-date technical documentation on the Broadcom website at:</w:t>
      </w:r>
    </w:p>
    <w:p w:rsidR="00B76941" w:rsidRPr="00FF1CA0" w:rsidP="0030710A" w14:paraId="7EC74D79" w14:textId="2DFA42C4">
      <w:pPr>
        <w:rPr>
          <w:rFonts w:cs="Arial"/>
          <w:sz w:val="18"/>
          <w:szCs w:val="18"/>
        </w:rPr>
      </w:pPr>
      <w:r w:rsidRPr="00FF1CA0">
        <w:rPr>
          <w:rFonts w:cs="Arial"/>
          <w:color w:val="323232"/>
          <w:spacing w:val="-51"/>
          <w:sz w:val="18"/>
          <w:szCs w:val="18"/>
        </w:rPr>
        <w:t xml:space="preserve"> </w:t>
      </w:r>
      <w:hyperlink r:id="rId6" w:history="1">
        <w:r w:rsidR="0006271F">
          <w:rPr>
            <w:rFonts w:cs="Arial"/>
            <w:color w:val="0096D3"/>
            <w:sz w:val="18"/>
            <w:szCs w:val="18"/>
          </w:rPr>
          <w:t>https://techdocs.broadcom.com/</w:t>
        </w:r>
      </w:hyperlink>
    </w:p>
    <w:p w:rsidR="00B76941" w:rsidRPr="00FF1CA0" w:rsidP="00010A48" w14:paraId="3EF418D6" w14:textId="420B9EDC">
      <w:pPr>
        <w:spacing w:before="11520"/>
        <w:rPr>
          <w:rFonts w:cs="Arial"/>
          <w:b/>
          <w:sz w:val="18"/>
        </w:rPr>
      </w:pPr>
      <w:r w:rsidRPr="00FF1CA0">
        <w:rPr>
          <w:rFonts w:cs="Arial"/>
          <w:b/>
          <w:color w:val="323232"/>
          <w:sz w:val="18"/>
        </w:rPr>
        <w:t>Broadcom</w:t>
      </w:r>
      <w:r w:rsidRPr="00FF1CA0">
        <w:rPr>
          <w:rFonts w:cs="Arial"/>
          <w:b/>
          <w:color w:val="323232"/>
          <w:sz w:val="18"/>
          <w:vertAlign w:val="superscript"/>
        </w:rPr>
        <w:t>®</w:t>
      </w:r>
    </w:p>
    <w:p w:rsidR="00CD44BB" w:rsidRPr="00FF1CA0" w:rsidP="00CD44BB" w14:paraId="3569A994" w14:textId="7ED00956">
      <w:pPr>
        <w:rPr>
          <w:rFonts w:cs="Arial"/>
          <w:color w:val="323232"/>
          <w:spacing w:val="1"/>
          <w:sz w:val="18"/>
        </w:rPr>
      </w:pPr>
      <w:r w:rsidRPr="00FF1CA0">
        <w:rPr>
          <w:rFonts w:cs="Arial"/>
          <w:color w:val="323232"/>
          <w:sz w:val="18"/>
        </w:rPr>
        <w:t>34</w:t>
      </w:r>
      <w:r w:rsidRPr="00FF1CA0" w:rsidR="007A3262">
        <w:rPr>
          <w:rFonts w:cs="Arial"/>
          <w:color w:val="323232"/>
          <w:sz w:val="18"/>
        </w:rPr>
        <w:t>2</w:t>
      </w:r>
      <w:r w:rsidRPr="00FF1CA0">
        <w:rPr>
          <w:rFonts w:cs="Arial"/>
          <w:color w:val="323232"/>
          <w:sz w:val="18"/>
        </w:rPr>
        <w:t>1 Hillview Ave.</w:t>
      </w:r>
    </w:p>
    <w:p w:rsidR="00CD44BB" w:rsidRPr="00FF1CA0" w:rsidP="00CD44BB" w14:paraId="319B5275" w14:textId="77777777">
      <w:pPr>
        <w:rPr>
          <w:rFonts w:cs="Arial"/>
          <w:color w:val="323232"/>
          <w:spacing w:val="-51"/>
          <w:sz w:val="18"/>
        </w:rPr>
      </w:pPr>
      <w:r w:rsidRPr="00FF1CA0">
        <w:rPr>
          <w:rFonts w:cs="Arial"/>
          <w:color w:val="323232"/>
          <w:sz w:val="18"/>
        </w:rPr>
        <w:t>Palo Alto, CA 94304</w:t>
      </w:r>
      <w:r w:rsidRPr="00FF1CA0">
        <w:rPr>
          <w:rFonts w:cs="Arial"/>
          <w:color w:val="323232"/>
          <w:spacing w:val="-51"/>
          <w:sz w:val="18"/>
        </w:rPr>
        <w:t xml:space="preserve"> </w:t>
      </w:r>
    </w:p>
    <w:p w:rsidR="00B76941" w:rsidRPr="00FF1CA0" w:rsidP="00CD44BB" w14:paraId="2EB7151E" w14:textId="38A5F1F9">
      <w:pPr>
        <w:rPr>
          <w:rFonts w:cs="Arial"/>
          <w:sz w:val="18"/>
        </w:rPr>
      </w:pPr>
      <w:hyperlink r:id="rId7" w:history="1">
        <w:r w:rsidRPr="00FF1CA0">
          <w:rPr>
            <w:rFonts w:cs="Arial"/>
            <w:color w:val="323232"/>
            <w:sz w:val="18"/>
          </w:rPr>
          <w:t>www.vmware.com</w:t>
        </w:r>
      </w:hyperlink>
    </w:p>
    <w:p w:rsidR="00010A48" w:rsidRPr="00FF1CA0" w:rsidP="00010A48" w14:paraId="40B1E5BB" w14:textId="2332C884">
      <w:pPr>
        <w:spacing w:before="320"/>
        <w:rPr>
          <w:rFonts w:cs="Arial"/>
          <w:color w:val="0096D3"/>
          <w:sz w:val="18"/>
        </w:rPr>
      </w:pPr>
      <w:r w:rsidRPr="00FF1CA0">
        <w:rPr>
          <w:rFonts w:cs="Arial"/>
          <w:color w:val="323232"/>
          <w:sz w:val="18"/>
        </w:rPr>
        <w:t>Copyright</w:t>
      </w:r>
      <w:r w:rsidRPr="00FF1CA0">
        <w:rPr>
          <w:rFonts w:cs="Arial"/>
          <w:color w:val="323232"/>
          <w:sz w:val="18"/>
          <w:vertAlign w:val="superscript"/>
        </w:rPr>
        <w:t>©</w:t>
      </w:r>
      <w:r w:rsidRPr="00FF1CA0">
        <w:rPr>
          <w:rFonts w:cs="Arial"/>
          <w:color w:val="323232"/>
          <w:sz w:val="18"/>
        </w:rPr>
        <w:t xml:space="preserve"> </w:t>
      </w:r>
      <w:r w:rsidR="0006271F">
        <w:rPr>
          <w:rFonts w:cs="Arial"/>
          <w:color w:val="323232"/>
          <w:sz w:val="18"/>
        </w:rPr>
        <w:fldChar w:fldCharType="begin"/>
      </w:r>
      <w:r w:rsidR="0006271F">
        <w:rPr>
          <w:rFonts w:cs="Arial"/>
          <w:color w:val="323232"/>
          <w:sz w:val="18"/>
        </w:rPr>
        <w:instrText xml:space="preserve"> DATE  \@ "yyyy"  \* MERGEFORMAT </w:instrText>
      </w:r>
      <w:r w:rsidR="0006271F">
        <w:rPr>
          <w:rFonts w:cs="Arial"/>
          <w:color w:val="323232"/>
          <w:sz w:val="18"/>
        </w:rPr>
        <w:fldChar w:fldCharType="separate"/>
      </w:r>
      <w:r w:rsidR="00BD774E">
        <w:rPr>
          <w:rFonts w:cs="Arial"/>
          <w:noProof/>
          <w:color w:val="323232"/>
          <w:sz w:val="18"/>
        </w:rPr>
        <w:t>2026</w:t>
      </w:r>
      <w:r w:rsidR="0006271F">
        <w:rPr>
          <w:rFonts w:cs="Arial"/>
          <w:color w:val="323232"/>
          <w:sz w:val="18"/>
        </w:rPr>
        <w:fldChar w:fldCharType="end"/>
      </w:r>
      <w:r w:rsidRPr="00FF1CA0">
        <w:rPr>
          <w:rFonts w:cs="Arial"/>
          <w:color w:val="323232"/>
          <w:sz w:val="18"/>
        </w:rPr>
        <w:t xml:space="preserve"> </w:t>
      </w:r>
      <w:r w:rsidRPr="00FF1CA0" w:rsidR="007A3262">
        <w:rPr>
          <w:rFonts w:cs="Arial"/>
          <w:color w:val="323232"/>
          <w:sz w:val="18"/>
        </w:rPr>
        <w:t>Broadcom</w:t>
      </w:r>
      <w:r w:rsidRPr="00FF1CA0" w:rsidR="007A3262">
        <w:rPr>
          <w:rFonts w:cs="Arial"/>
          <w:color w:val="323232"/>
          <w:sz w:val="18"/>
          <w:vertAlign w:val="superscript"/>
        </w:rPr>
        <w:t>®</w:t>
      </w:r>
      <w:r w:rsidRPr="00FF1CA0">
        <w:rPr>
          <w:rFonts w:cs="Arial"/>
          <w:color w:val="323232"/>
          <w:sz w:val="18"/>
        </w:rPr>
        <w:t xml:space="preserve"> All rights reserved.</w:t>
      </w:r>
      <w:bookmarkStart w:id="0" w:name="Contents"/>
      <w:bookmarkEnd w:id="0"/>
      <w:r w:rsidRPr="00FF1CA0" w:rsidR="00BD774E">
        <w:rPr>
          <w:rFonts w:cs="Arial"/>
          <w:color w:val="0096D3"/>
          <w:sz w:val="18"/>
        </w:rPr>
        <w:t xml:space="preserve"> </w:t>
      </w:r>
    </w:p>
    <w:p w:rsidR="00B76941" w:rsidRPr="00FF1CA0" w:rsidP="0092725C" w14:paraId="03C71BDE" w14:textId="77777777">
      <w:pPr>
        <w:pStyle w:val="SectionHeading1"/>
        <w:rPr>
          <w:rFonts w:ascii="Arial" w:hAnsi="Arial" w:cs="Arial"/>
        </w:rPr>
      </w:pPr>
      <w:r w:rsidRPr="00FF1CA0">
        <w:rPr>
          <w:rFonts w:ascii="Arial" w:hAnsi="Arial" w:cs="Arial"/>
        </w:rPr>
        <w:t>Contents</w:t>
      </w:r>
    </w:p>
    <w:p>
      <w:pPr>
        <w:pStyle w:val="TOC1"/>
        <w:rPr>
          <w:rFonts w:asciiTheme="minorHAnsi" w:hAnsiTheme="minorHAnsi"/>
          <w:noProof/>
          <w:sz w:val="22"/>
        </w:rPr>
      </w:pPr>
      <w:r w:rsidRPr="00FF1CA0">
        <w:rPr>
          <w:rFonts w:cs="Arial"/>
        </w:rPr>
        <w:fldChar w:fldCharType="begin"/>
      </w:r>
      <w:r w:rsidRPr="00FF1CA0">
        <w:rPr>
          <w:rFonts w:cs="Arial"/>
        </w:rPr>
        <w:instrText xml:space="preserve"> TOC \o "1-1" \h \z \t "Heading 2,2,Heading 3,3" </w:instrText>
      </w:r>
      <w:r w:rsidRPr="00FF1CA0">
        <w:rPr>
          <w:rFonts w:cs="Arial"/>
        </w:rPr>
        <w:fldChar w:fldCharType="separate"/>
      </w:r>
      <w:hyperlink w:anchor="_Toc256000014" w:history="1">
        <w:r>
          <w:rPr>
            <w:rStyle w:val="Hyperlink"/>
          </w:rPr>
          <w:t>1.</w:t>
        </w:r>
        <w:r>
          <w:rPr>
            <w:rFonts w:asciiTheme="minorHAnsi" w:hAnsiTheme="minorHAnsi"/>
            <w:noProof/>
            <w:sz w:val="22"/>
          </w:rPr>
          <w:tab/>
        </w:r>
        <w:r>
          <w:rPr>
            <w:rStyle w:val="Hyperlink"/>
          </w:rPr>
          <w:t>Purpose and Assumptions</w:t>
        </w:r>
        <w:r>
          <w:tab/>
        </w:r>
        <w:r>
          <w:fldChar w:fldCharType="begin"/>
        </w:r>
        <w:r>
          <w:instrText xml:space="preserve"> PAGEREF _Toc256000014 \h </w:instrText>
        </w:r>
        <w:r>
          <w:fldChar w:fldCharType="separate"/>
        </w:r>
        <w:r>
          <w:t>4</w:t>
        </w:r>
        <w:r>
          <w:fldChar w:fldCharType="end"/>
        </w:r>
      </w:hyperlink>
    </w:p>
    <w:p>
      <w:pPr>
        <w:pStyle w:val="TOC2"/>
        <w:rPr>
          <w:rFonts w:asciiTheme="minorHAnsi" w:hAnsiTheme="minorHAnsi"/>
          <w:noProof/>
          <w:sz w:val="22"/>
        </w:rPr>
      </w:pPr>
      <w:hyperlink w:anchor="_Toc256000015" w:history="1">
        <w:r>
          <w:rPr>
            <w:rStyle w:val="Hyperlink"/>
          </w:rPr>
          <w:t>VMware Products and Versions</w:t>
        </w:r>
        <w:r>
          <w:tab/>
        </w:r>
        <w:r>
          <w:fldChar w:fldCharType="begin"/>
        </w:r>
        <w:r>
          <w:instrText xml:space="preserve"> PAGEREF _Toc256000015 \h </w:instrText>
        </w:r>
        <w:r>
          <w:fldChar w:fldCharType="separate"/>
        </w:r>
        <w:r>
          <w:t>4</w:t>
        </w:r>
        <w:r>
          <w:fldChar w:fldCharType="end"/>
        </w:r>
      </w:hyperlink>
    </w:p>
    <w:p>
      <w:pPr>
        <w:pStyle w:val="TOC2"/>
        <w:rPr>
          <w:rFonts w:asciiTheme="minorHAnsi" w:hAnsiTheme="minorHAnsi"/>
          <w:noProof/>
          <w:sz w:val="22"/>
        </w:rPr>
      </w:pPr>
      <w:hyperlink w:anchor="_Toc256000016" w:history="1">
        <w:r>
          <w:rPr>
            <w:rStyle w:val="Hyperlink"/>
          </w:rPr>
          <w:t>Architecture Model</w:t>
        </w:r>
        <w:r>
          <w:tab/>
        </w:r>
        <w:r>
          <w:fldChar w:fldCharType="begin"/>
        </w:r>
        <w:r>
          <w:instrText xml:space="preserve"> PAGEREF _Toc256000016 \h </w:instrText>
        </w:r>
        <w:r>
          <w:fldChar w:fldCharType="separate"/>
        </w:r>
        <w:r>
          <w:t>4</w:t>
        </w:r>
        <w:r>
          <w:fldChar w:fldCharType="end"/>
        </w:r>
      </w:hyperlink>
    </w:p>
    <w:p>
      <w:pPr>
        <w:pStyle w:val="TOC1"/>
        <w:rPr>
          <w:rFonts w:asciiTheme="minorHAnsi" w:hAnsiTheme="minorHAnsi"/>
          <w:noProof/>
          <w:sz w:val="22"/>
        </w:rPr>
      </w:pPr>
      <w:hyperlink w:anchor="_Toc256000017" w:history="1">
        <w:r>
          <w:rPr>
            <w:rStyle w:val="Hyperlink"/>
          </w:rPr>
          <w:t>2.</w:t>
        </w:r>
        <w:r>
          <w:rPr>
            <w:rFonts w:asciiTheme="minorHAnsi" w:hAnsiTheme="minorHAnsi"/>
            <w:noProof/>
            <w:sz w:val="22"/>
          </w:rPr>
          <w:tab/>
        </w:r>
        <w:r>
          <w:rPr>
            <w:rStyle w:val="Hyperlink"/>
          </w:rPr>
          <w:t>Installation and Configuration Procedures</w:t>
        </w:r>
        <w:r>
          <w:tab/>
        </w:r>
        <w:r>
          <w:fldChar w:fldCharType="begin"/>
        </w:r>
        <w:r>
          <w:instrText xml:space="preserve"> PAGEREF _Toc256000017 \h </w:instrText>
        </w:r>
        <w:r>
          <w:fldChar w:fldCharType="separate"/>
        </w:r>
        <w:r>
          <w:t>6</w:t>
        </w:r>
        <w:r>
          <w:fldChar w:fldCharType="end"/>
        </w:r>
      </w:hyperlink>
    </w:p>
    <w:p>
      <w:pPr>
        <w:pStyle w:val="TOC2"/>
        <w:rPr>
          <w:rFonts w:asciiTheme="minorHAnsi" w:hAnsiTheme="minorHAnsi"/>
          <w:noProof/>
          <w:sz w:val="22"/>
        </w:rPr>
      </w:pPr>
      <w:hyperlink w:anchor="_Toc256000018" w:history="1">
        <w:r>
          <w:rPr>
            <w:rStyle w:val="Hyperlink"/>
          </w:rPr>
          <w:t>Deploying VCF Operations for logs</w:t>
        </w:r>
        <w:r>
          <w:tab/>
        </w:r>
        <w:r>
          <w:fldChar w:fldCharType="begin"/>
        </w:r>
        <w:r>
          <w:instrText xml:space="preserve"> PAGEREF _Toc256000018 \h </w:instrText>
        </w:r>
        <w:r>
          <w:fldChar w:fldCharType="separate"/>
        </w:r>
        <w:r>
          <w:t>6</w:t>
        </w:r>
        <w:r>
          <w:fldChar w:fldCharType="end"/>
        </w:r>
      </w:hyperlink>
    </w:p>
    <w:p>
      <w:pPr>
        <w:pStyle w:val="TOC1"/>
        <w:rPr>
          <w:rFonts w:asciiTheme="minorHAnsi" w:hAnsiTheme="minorHAnsi"/>
          <w:noProof/>
          <w:sz w:val="22"/>
        </w:rPr>
      </w:pPr>
      <w:hyperlink w:anchor="_Toc256000019" w:history="1">
        <w:r>
          <w:rPr>
            <w:rStyle w:val="Hyperlink"/>
          </w:rPr>
          <w:t>3.</w:t>
        </w:r>
        <w:r>
          <w:rPr>
            <w:rFonts w:asciiTheme="minorHAnsi" w:hAnsiTheme="minorHAnsi"/>
            <w:noProof/>
            <w:sz w:val="22"/>
          </w:rPr>
          <w:tab/>
        </w:r>
        <w:r>
          <w:rPr>
            <w:rStyle w:val="Hyperlink"/>
          </w:rPr>
          <w:t>References</w:t>
        </w:r>
        <w:r>
          <w:tab/>
        </w:r>
        <w:r>
          <w:fldChar w:fldCharType="begin"/>
        </w:r>
        <w:r>
          <w:instrText xml:space="preserve"> PAGEREF _Toc256000019 \h </w:instrText>
        </w:r>
        <w:r>
          <w:fldChar w:fldCharType="separate"/>
        </w:r>
        <w:r>
          <w:t>9</w:t>
        </w:r>
        <w:r>
          <w:fldChar w:fldCharType="end"/>
        </w:r>
      </w:hyperlink>
    </w:p>
    <w:p>
      <w:pPr>
        <w:pStyle w:val="TOC2"/>
        <w:rPr>
          <w:rFonts w:asciiTheme="minorHAnsi" w:hAnsiTheme="minorHAnsi"/>
          <w:noProof/>
          <w:sz w:val="22"/>
        </w:rPr>
      </w:pPr>
      <w:hyperlink w:anchor="_Toc256000020" w:history="1">
        <w:r>
          <w:rPr>
            <w:rStyle w:val="Hyperlink"/>
          </w:rPr>
          <w:t>References</w:t>
        </w:r>
        <w:r>
          <w:tab/>
        </w:r>
        <w:r>
          <w:fldChar w:fldCharType="begin"/>
        </w:r>
        <w:r>
          <w:instrText xml:space="preserve"> PAGEREF _Toc256000020 \h </w:instrText>
        </w:r>
        <w:r>
          <w:fldChar w:fldCharType="separate"/>
        </w:r>
        <w:r>
          <w:t>9</w:t>
        </w:r>
        <w:r>
          <w:fldChar w:fldCharType="end"/>
        </w:r>
      </w:hyperlink>
    </w:p>
    <w:p w:rsidR="00317810" w:rsidRPr="00FF1CA0" w:rsidP="00317810">
      <w:pPr>
        <w:rPr>
          <w:rFonts w:cs="Arial"/>
          <w:b/>
          <w:bCs/>
          <w:noProof/>
        </w:rPr>
      </w:pPr>
      <w:r w:rsidRPr="00FF1CA0">
        <w:rPr>
          <w:rFonts w:cs="Arial"/>
          <w:b/>
          <w:bCs/>
          <w:noProof/>
        </w:rPr>
        <w:fldChar w:fldCharType="end"/>
      </w:r>
    </w:p>
    <w:p>
      <w:pPr>
        <w:pStyle w:val="Heading1"/>
      </w:pPr>
      <w:bookmarkStart w:id="1" w:name="_Toc256000014"/>
      <w:r>
        <w:t>Purpose and Assumptions</w:t>
      </w:r>
      <w:bookmarkEnd w:id="1"/>
    </w:p>
    <w:p>
      <w:pPr>
        <w:pStyle w:val="BodyText"/>
      </w:pPr>
      <w:r>
        <w:t xml:space="preserve">This document provides step-by-step instructions for installing, configuring and deploying the solution for </w:t>
      </w:r>
      <w:r>
        <w:t>Customer</w:t>
      </w:r>
      <w:r>
        <w:t>.</w:t>
      </w:r>
    </w:p>
    <w:p>
      <w:pPr>
        <w:pStyle w:val="BodyText"/>
      </w:pPr>
      <w:r>
        <w:t>This document is written with the assumption that the administrator who uses these procedures is familiar with the products being used. It is not intended for administrators without prior knowledge of the concepts and terminology.</w:t>
      </w:r>
    </w:p>
    <w:p>
      <w:pPr>
        <w:pStyle w:val="Heading2"/>
      </w:pPr>
      <w:bookmarkStart w:id="2" w:name="_Toc256000015"/>
      <w:r>
        <w:t>VMware Products and Versions</w:t>
      </w:r>
      <w:bookmarkEnd w:id="2"/>
    </w:p>
    <w:p>
      <w:pPr>
        <w:pStyle w:val="BodyText"/>
      </w:pPr>
      <w:r>
        <w:t>The following table lists the product versions used in this service. The build numbers here refer to the downloaded installer version of this guide.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1</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w:t>
      </w:r>
      <w:r>
        <w:fldChar w:fldCharType="end"/>
      </w:r>
      <w:r>
        <w:t>. VMware Products and Versions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34"/>
        <w:gridCol w:w="812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VMware Product</w:t>
            </w:r>
          </w:p>
        </w:tc>
        <w:tc>
          <w:tcPr>
            <w:tcBorders>
              <w:left w:val="nil"/>
              <w:right w:val="nil"/>
            </w:tcBorders>
            <w:shd w:val="clear" w:color="auto" w:fill="E1E1E1"/>
            <w:tcMar>
              <w:top w:w="60" w:type="dxa"/>
              <w:bottom w:w="60" w:type="dxa"/>
            </w:tcMar>
          </w:tcPr>
          <w:p>
            <w:pPr>
              <w:pStyle w:val="TableHeaderText"/>
            </w:pPr>
            <w:r>
              <w:t>Version Number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VMware Cloud Foundation</w:t>
            </w:r>
          </w:p>
        </w:tc>
        <w:tc>
          <w:tcPr>
            <w:tcBorders>
              <w:left w:val="nil"/>
              <w:right w:val="nil"/>
            </w:tcBorders>
          </w:tcPr>
          <w:p>
            <w:pPr>
              <w:pStyle w:val="TableBodyText"/>
            </w:pPr>
            <w:r>
              <w:t>9.0.1.0</w:t>
            </w:r>
            <w:r>
              <w:t>The Intelligent Logging and Analytics for VMware Cloud Foundation VMware Validated Solution recommends the following bill of materials for the VMware Cloud Foundation Operations for logs Deployment.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1</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w:t>
      </w:r>
      <w:r>
        <w:fldChar w:fldCharType="end"/>
      </w:r>
      <w:r>
        <w:t>. VMware Cloud Foundation Installed Products and Versions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5740"/>
        <w:gridCol w:w="422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VMware Product</w:t>
            </w:r>
          </w:p>
        </w:tc>
        <w:tc>
          <w:tcPr>
            <w:tcBorders>
              <w:left w:val="nil"/>
              <w:right w:val="nil"/>
            </w:tcBorders>
            <w:shd w:val="clear" w:color="auto" w:fill="E1E1E1"/>
            <w:tcMar>
              <w:top w:w="60" w:type="dxa"/>
              <w:bottom w:w="60" w:type="dxa"/>
            </w:tcMar>
          </w:tcPr>
          <w:p>
            <w:pPr>
              <w:pStyle w:val="TableHeaderText"/>
            </w:pPr>
            <w:r>
              <w:t>Version Number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VMware Cloud Foundation for logs</w:t>
            </w:r>
          </w:p>
        </w:tc>
        <w:tc>
          <w:tcPr>
            <w:tcBorders>
              <w:left w:val="nil"/>
              <w:right w:val="nil"/>
            </w:tcBorders>
          </w:tcPr>
          <w:p>
            <w:pPr>
              <w:pStyle w:val="TableBodyText"/>
            </w:pPr>
            <w:r>
              <w:t>9.0.1.0 - Build 24960345</w:t>
            </w:r>
          </w:p>
        </w:tc>
      </w:tr>
    </w:tbl>
    <w:p>
      <w:pPr>
        <w:pStyle w:val="BodyText"/>
        <w:numPr>
          <w:numId w:val="8"/>
        </w:numPr>
        <w:pBdr>
          <w:top w:val="single" w:sz="8" w:space="2" w:color="D3D3D3"/>
          <w:bottom w:val="single" w:sz="8" w:space="2" w:color="D3D3D3"/>
        </w:pBdr>
        <w:spacing w:before="240"/>
      </w:pPr>
      <w:r>
        <w:t>You must use VCF Operations Fleet manager deploy VCF Operations for logs.</w:t>
      </w:r>
    </w:p>
    <w:p>
      <w:pPr>
        <w:pStyle w:val="Heading2"/>
      </w:pPr>
      <w:bookmarkStart w:id="3" w:name="_Toc256000016"/>
      <w:r>
        <w:t>Architecture Model</w:t>
      </w:r>
      <w:bookmarkEnd w:id="3"/>
    </w:p>
    <w:p>
      <w:pPr>
        <w:pStyle w:val="BodyText"/>
      </w:pPr>
      <w:r>
        <w:t>Standardization of software configuration which improves predictability, supportability and speed of delivery. Considering these benefits, VMware has developed VMware Cloud Foundation.</w:t>
      </w:r>
    </w:p>
    <w:p>
      <w:pPr>
        <w:pStyle w:val="BodyText"/>
      </w:pPr>
      <w:r>
        <w:t>VMware Cloud foundation brings a comprehensive design to an environment that covers everything from hardware configuration to automated software installation and configuration of the entire SDDC. The result is a highly available, scalable and robust platform, that is vigorously tested.</w:t>
      </w:r>
    </w:p>
    <w:p>
      <w:pPr>
        <w:pStyle w:val="BodyText"/>
      </w:pPr>
      <w:r>
        <w:t>VMware Cloud foundation uses its own customized architecture and adds on VMware Validated Solutions to add functionality as appropriate. This service uses these different architectures as a baseline for deployment.</w:t>
      </w:r>
    </w:p>
    <w:p>
      <w:pPr>
        <w:pStyle w:val="BodyText"/>
      </w:pPr>
      <w:r>
        <w:drawing>
          <wp:inline>
            <wp:extent cx="6324600" cy="5182836"/>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8"/>
                    <a:stretch>
                      <a:fillRect/>
                    </a:stretch>
                  </pic:blipFill>
                  <pic:spPr>
                    <a:xfrm>
                      <a:off x="0" y="0"/>
                      <a:ext cx="6324600" cy="5182836"/>
                    </a:xfrm>
                    <a:prstGeom prst="rect">
                      <a:avLst/>
                    </a:prstGeom>
                  </pic:spPr>
                </pic:pic>
              </a:graphicData>
            </a:graphic>
          </wp:inline>
        </w:drawing>
      </w:r>
    </w:p>
    <w:p>
      <w:pPr>
        <w:pStyle w:val="Heading1"/>
      </w:pPr>
      <w:bookmarkStart w:id="4" w:name="_Toc256000017"/>
      <w:r>
        <w:t>Installation and Configuration Procedures</w:t>
      </w:r>
      <w:bookmarkEnd w:id="4"/>
    </w:p>
    <w:p>
      <w:pPr>
        <w:pStyle w:val="BodyText"/>
      </w:pPr>
      <w:r>
        <w:t xml:space="preserve">This section provides step-by-step procedures for common configuration tasks to be performed during the deployment of the product in </w:t>
      </w:r>
      <w:r>
        <w:t>Customer</w:t>
      </w:r>
      <w:r>
        <w:t>'s environment.</w:t>
      </w:r>
    </w:p>
    <w:p>
      <w:pPr>
        <w:pStyle w:val="Heading2"/>
      </w:pPr>
      <w:bookmarkStart w:id="5" w:name="_Toc256000018"/>
      <w:r>
        <w:t>Deploying VCF Operations for logs</w:t>
      </w:r>
      <w:bookmarkEnd w:id="5"/>
    </w:p>
    <w:p>
      <w:pPr>
        <w:pStyle w:val="BodyText"/>
      </w:pPr>
      <w:r>
        <w:t>VCF Operations for logs</w:t>
      </w:r>
      <w:r>
        <w:t xml:space="preserve"> is designed to help you collect, analyze, and visualize logs from across your </w:t>
      </w:r>
      <w:r>
        <w:t>VMware Cloud Foundation</w:t>
      </w:r>
      <w:r>
        <w:t xml:space="preserve"> platform.</w:t>
      </w:r>
    </w:p>
    <w:p>
      <w:pPr>
        <w:pStyle w:val="BodyText"/>
      </w:pPr>
      <w:r>
        <w:t xml:space="preserve">You deploy the </w:t>
      </w:r>
      <w:r>
        <w:t>VCF Operations for logs</w:t>
      </w:r>
      <w:r>
        <w:t xml:space="preserve"> appliance by using </w:t>
      </w:r>
      <w:r>
        <w:t>VCF Operations</w:t>
      </w:r>
      <w:r>
        <w:t xml:space="preserve"> fleet management</w:t>
      </w:r>
    </w:p>
    <w:p>
      <w:pPr>
        <w:pStyle w:val="BodyText"/>
      </w:pPr>
      <w:r>
        <w:t>fleet management</w:t>
      </w:r>
      <w:r>
        <w:t>. This provides:</w:t>
      </w:r>
    </w:p>
    <w:p>
      <w:pPr>
        <w:pStyle w:val="BodyText"/>
        <w:numPr>
          <w:numId w:val="9"/>
        </w:numPr>
      </w:pPr>
      <w:r>
        <w:t xml:space="preserve">Centralized log aggregation: Collect logs from all VCF components, such as vCenter, ESX, NSX, vSAN, </w:t>
      </w:r>
      <w:r>
        <w:t>VCF Automation</w:t>
      </w:r>
      <w:r>
        <w:t xml:space="preserve">, </w:t>
      </w:r>
      <w:r>
        <w:t>VCF Operations</w:t>
      </w:r>
      <w:r>
        <w:t xml:space="preserve">, </w:t>
      </w:r>
      <w:r>
        <w:t>VCF Identity Broker</w:t>
      </w:r>
      <w:r>
        <w:t xml:space="preserve">, </w:t>
      </w:r>
      <w:r>
        <w:t>VCF Operations for networks</w:t>
      </w:r>
      <w:r>
        <w:t xml:space="preserve">, and </w:t>
      </w:r>
      <w:r>
        <w:t>VCF Operations</w:t>
      </w:r>
      <w:r>
        <w:t xml:space="preserve"> HCX</w:t>
      </w:r>
    </w:p>
    <w:p>
      <w:pPr>
        <w:pStyle w:val="BodyText"/>
        <w:numPr>
          <w:numId w:val="9"/>
        </w:numPr>
      </w:pPr>
      <w:r>
        <w:t>Real-time analytics: Search and filter logs instantly for troubleshooting or auditing.</w:t>
      </w:r>
    </w:p>
    <w:p>
      <w:pPr>
        <w:pStyle w:val="BodyText"/>
        <w:numPr>
          <w:numId w:val="9"/>
        </w:numPr>
      </w:pPr>
      <w:r>
        <w:t>Dashboards and alerts: Content packs for VCF components offer pre-built dashboards, alerts, and queries.</w:t>
      </w:r>
    </w:p>
    <w:p>
      <w:pPr>
        <w:pStyle w:val="BodyText"/>
      </w:pPr>
      <w:r>
        <w:t xml:space="preserve">Before starting the installation, download the </w:t>
      </w:r>
      <w:r>
        <w:rPr>
          <w:rStyle w:val="InlineCode"/>
        </w:rPr>
        <w:t>operations-logs</w:t>
      </w:r>
      <w:r>
        <w:t xml:space="preserve"> binary to the </w:t>
      </w:r>
      <w:r>
        <w:t>fleet management</w:t>
      </w:r>
      <w:r>
        <w:t xml:space="preserve"> appliance. See </w:t>
      </w:r>
      <w:r>
        <w:t>Downloading VCF management components</w:t>
      </w:r>
      <w:r>
        <w:t xml:space="preserve">. Then select </w:t>
      </w:r>
      <w:r>
        <w:rPr>
          <w:rStyle w:val="InlineUI"/>
        </w:rPr>
        <w:t>Fleet Management</w:t>
      </w:r>
      <w:r>
        <w:rPr>
          <w:rStyle w:val="InlineUI"/>
        </w:rPr>
        <w:t xml:space="preserve"> &gt; </w:t>
      </w:r>
      <w:r>
        <w:rPr>
          <w:rStyle w:val="InlineUI"/>
        </w:rPr>
        <w:t>Lifecycle</w:t>
      </w:r>
      <w:r>
        <w:t xml:space="preserve"> and click </w:t>
      </w:r>
      <w:r>
        <w:rPr>
          <w:rStyle w:val="InlineUI"/>
        </w:rPr>
        <w:t>Add</w:t>
      </w:r>
      <w:r>
        <w:t xml:space="preserve"> on </w:t>
      </w:r>
      <w:r>
        <w:rPr>
          <w:rStyle w:val="InlineUI"/>
        </w:rPr>
        <w:t>operations-logs</w:t>
      </w:r>
      <w:r>
        <w:t>.</w:t>
      </w:r>
    </w:p>
    <w:p>
      <w:pPr>
        <w:pStyle w:val="BodyText"/>
      </w:pPr>
      <w:r>
        <w:t>The deployment moves through the following stages.</w:t>
      </w:r>
    </w:p>
    <w:p>
      <w:pPr>
        <w:pStyle w:val="BodyText"/>
        <w:numPr>
          <w:numId w:val="10"/>
        </w:numPr>
      </w:pPr>
      <w:r>
        <w:t>Deployment</w:t>
      </w:r>
    </w:p>
    <w:p>
      <w:pPr>
        <w:pStyle w:val="BodyText"/>
        <w:numPr>
          <w:ilvl w:val="1"/>
          <w:numId w:val="10"/>
        </w:numPr>
      </w:pPr>
      <w:r>
        <w:t xml:space="preserve">Installation type </w:t>
      </w:r>
    </w:p>
    <w:tbl>
      <w:tblPr>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542"/>
        <w:gridCol w:w="7458"/>
      </w:tblGrid>
      <w:tr>
        <w:tblPrEx>
          <w:tblInd w:w="960" w:type="dxa"/>
          <w:tblBorders>
            <w:top w:val="nil"/>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rPr>
        <w:tc>
          <w:tcPr>
            <w:tcBorders>
              <w:left w:val="nil"/>
              <w:right w:val="nil"/>
            </w:tcBorders>
          </w:tcPr>
          <w:p>
            <w:pPr>
              <w:pStyle w:val="TableBodyText"/>
            </w:pPr>
            <w:r>
              <w:rPr>
                <w:rStyle w:val="InlineUI"/>
              </w:rPr>
              <w:t>New Install</w:t>
            </w:r>
          </w:p>
        </w:tc>
        <w:tc>
          <w:tcPr>
            <w:tcBorders>
              <w:left w:val="nil"/>
              <w:right w:val="nil"/>
            </w:tcBorders>
          </w:tcPr>
          <w:p>
            <w:pPr>
              <w:pStyle w:val="TableBodyText"/>
            </w:pPr>
            <w:r>
              <w:t>Choose this option to perform a fresh installation</w:t>
            </w:r>
            <w:r>
              <w:rPr>
                <w:rStyle w:val="InlineBold"/>
              </w:rPr>
              <w:t>.</w:t>
            </w:r>
          </w:p>
        </w:tc>
      </w:tr>
      <w:tr>
        <w:tblPrEx>
          <w:tblInd w:w="960" w:type="dxa"/>
          <w:tblCellMar>
            <w:left w:w="108" w:type="dxa"/>
            <w:right w:w="108" w:type="dxa"/>
          </w:tblCellMar>
        </w:tblPrEx>
        <w:trPr>
          <w:cantSplit w:val="0"/>
        </w:trPr>
        <w:tc>
          <w:tcPr>
            <w:tcBorders>
              <w:left w:val="nil"/>
              <w:right w:val="nil"/>
            </w:tcBorders>
          </w:tcPr>
          <w:p>
            <w:pPr>
              <w:pStyle w:val="TableBodyText"/>
            </w:pPr>
            <w:r>
              <w:rPr>
                <w:rStyle w:val="InlineUI"/>
              </w:rPr>
              <w:t>Import</w:t>
            </w:r>
          </w:p>
        </w:tc>
        <w:tc>
          <w:tcPr>
            <w:tcBorders>
              <w:left w:val="nil"/>
              <w:right w:val="nil"/>
            </w:tcBorders>
          </w:tcPr>
          <w:p>
            <w:pPr>
              <w:pStyle w:val="TableBodyText"/>
            </w:pPr>
            <w:r>
              <w:t xml:space="preserve">Imports an existing </w:t>
            </w:r>
            <w:r>
              <w:rPr>
                <w:rStyle w:val="InlineBold"/>
              </w:rPr>
              <w:t>operations-logs 9.0</w:t>
            </w:r>
            <w:r>
              <w:t xml:space="preserve"> or later deployment. Not applicable for a new installation.</w:t>
            </w:r>
          </w:p>
        </w:tc>
      </w:tr>
    </w:tbl>
    <w:p>
      <w:pPr>
        <w:pStyle w:val="BodyText"/>
        <w:numPr>
          <w:ilvl w:val="1"/>
          <w:numId w:val="10"/>
        </w:numPr>
        <w:spacing w:before="240"/>
      </w:pPr>
      <w:r>
        <w:t>Version: 9.0.0.0</w:t>
      </w:r>
    </w:p>
    <w:p>
      <w:pPr>
        <w:pStyle w:val="BodyText"/>
        <w:numPr>
          <w:ilvl w:val="1"/>
          <w:numId w:val="10"/>
        </w:numPr>
      </w:pPr>
      <w:r>
        <w:t>Deployment type: Standard or Cluster</w:t>
      </w:r>
    </w:p>
    <w:p>
      <w:pPr>
        <w:pStyle w:val="BodyText"/>
        <w:numPr>
          <w:numId w:val="10"/>
        </w:numPr>
      </w:pPr>
      <w:r>
        <w:t>Certificate: Select the certificate for deployment. If no suitable certificate is available, you can generate or import one.</w:t>
      </w:r>
    </w:p>
    <w:p>
      <w:pPr>
        <w:pStyle w:val="BodyText"/>
        <w:numPr>
          <w:numId w:val="10"/>
        </w:numPr>
      </w:pPr>
      <w:r>
        <w:t>Infrastructure</w:t>
      </w:r>
    </w:p>
    <w:p>
      <w:pPr>
        <w:pStyle w:val="BodyText"/>
        <w:numPr>
          <w:ilvl w:val="1"/>
          <w:numId w:val="10"/>
        </w:numPr>
      </w:pPr>
      <w:r>
        <w:t>Select vCenter: Lists management domains for deployment.</w:t>
      </w:r>
    </w:p>
    <w:p>
      <w:pPr>
        <w:pStyle w:val="BodyText"/>
        <w:numPr>
          <w:ilvl w:val="1"/>
          <w:numId w:val="10"/>
        </w:numPr>
      </w:pPr>
      <w:r>
        <w:t>Select Cluster</w:t>
      </w:r>
    </w:p>
    <w:p>
      <w:pPr>
        <w:pStyle w:val="BodyText"/>
        <w:numPr>
          <w:ilvl w:val="1"/>
          <w:numId w:val="10"/>
        </w:numPr>
      </w:pPr>
      <w:r>
        <w:t>Select Folder (optional)</w:t>
      </w:r>
    </w:p>
    <w:p>
      <w:pPr>
        <w:pStyle w:val="BodyText"/>
        <w:numPr>
          <w:ilvl w:val="1"/>
          <w:numId w:val="10"/>
        </w:numPr>
      </w:pPr>
      <w:r>
        <w:t>Select Resource Pool (optional)</w:t>
      </w:r>
    </w:p>
    <w:p>
      <w:pPr>
        <w:pStyle w:val="BodyText"/>
        <w:numPr>
          <w:ilvl w:val="1"/>
          <w:numId w:val="10"/>
        </w:numPr>
      </w:pPr>
      <w:r>
        <w:t>Select Network</w:t>
      </w:r>
    </w:p>
    <w:p>
      <w:pPr>
        <w:pStyle w:val="BodyText"/>
        <w:numPr>
          <w:ilvl w:val="1"/>
          <w:numId w:val="10"/>
        </w:numPr>
      </w:pPr>
      <w:r>
        <w:t>Select Datastore</w:t>
      </w:r>
    </w:p>
    <w:p>
      <w:pPr>
        <w:pStyle w:val="BodyText"/>
        <w:numPr>
          <w:ilvl w:val="1"/>
          <w:numId w:val="10"/>
        </w:numPr>
      </w:pPr>
      <w:r>
        <w:t>Select Disk Mode</w:t>
      </w:r>
    </w:p>
    <w:p>
      <w:pPr>
        <w:pStyle w:val="BodyText"/>
        <w:numPr>
          <w:ilvl w:val="1"/>
          <w:numId w:val="10"/>
        </w:numPr>
      </w:pPr>
      <w:r>
        <w:t>Use Content Library</w:t>
      </w:r>
    </w:p>
    <w:p>
      <w:pPr>
        <w:pStyle w:val="BodyText"/>
        <w:numPr>
          <w:numId w:val="10"/>
        </w:numPr>
      </w:pPr>
      <w:r>
        <w:t>Network</w:t>
      </w:r>
    </w:p>
    <w:p>
      <w:pPr>
        <w:pStyle w:val="BodyText"/>
        <w:numPr>
          <w:ilvl w:val="1"/>
          <w:numId w:val="10"/>
        </w:numPr>
      </w:pPr>
      <w:r>
        <w:t>Domain Name</w:t>
      </w:r>
    </w:p>
    <w:p>
      <w:pPr>
        <w:pStyle w:val="BodyText"/>
        <w:numPr>
          <w:ilvl w:val="1"/>
          <w:numId w:val="10"/>
        </w:numPr>
      </w:pPr>
      <w:r>
        <w:t>Domain Search Path</w:t>
      </w:r>
    </w:p>
    <w:p>
      <w:pPr>
        <w:pStyle w:val="BodyText"/>
        <w:numPr>
          <w:ilvl w:val="1"/>
          <w:numId w:val="10"/>
        </w:numPr>
      </w:pPr>
      <w:r>
        <w:t>DNS Servers: If none exist, then add one and select it.</w:t>
      </w:r>
    </w:p>
    <w:p>
      <w:pPr>
        <w:pStyle w:val="BodyText"/>
        <w:numPr>
          <w:ilvl w:val="1"/>
          <w:numId w:val="10"/>
        </w:numPr>
      </w:pPr>
      <w:r>
        <w:t>Time Sync Mode: Use NTP Server, Use Host Time</w:t>
      </w:r>
    </w:p>
    <w:p>
      <w:pPr>
        <w:pStyle w:val="BodyText"/>
        <w:numPr>
          <w:ilvl w:val="1"/>
          <w:numId w:val="10"/>
        </w:numPr>
      </w:pPr>
      <w:r>
        <w:t>IPv4 Details:</w:t>
      </w:r>
    </w:p>
    <w:p>
      <w:pPr>
        <w:pStyle w:val="BodyText"/>
        <w:numPr>
          <w:ilvl w:val="2"/>
          <w:numId w:val="10"/>
        </w:numPr>
      </w:pPr>
      <w:r>
        <w:t>Default IPv4 Gateway</w:t>
      </w:r>
    </w:p>
    <w:p>
      <w:pPr>
        <w:pStyle w:val="BodyText"/>
        <w:numPr>
          <w:ilvl w:val="2"/>
          <w:numId w:val="10"/>
        </w:numPr>
      </w:pPr>
      <w:r>
        <w:t>IPv4 Netmask</w:t>
      </w:r>
    </w:p>
    <w:p>
      <w:pPr>
        <w:pStyle w:val="BodyText"/>
        <w:numPr>
          <w:numId w:val="10"/>
        </w:numPr>
      </w:pPr>
      <w:r>
        <w:t>Components</w:t>
      </w:r>
    </w:p>
    <w:p>
      <w:pPr>
        <w:pStyle w:val="BodyText"/>
        <w:numPr>
          <w:ilvl w:val="1"/>
          <w:numId w:val="10"/>
        </w:numPr>
      </w:pPr>
      <w:r>
        <w:t>Enter Component Properties</w:t>
      </w:r>
    </w:p>
    <w:p>
      <w:pPr>
        <w:pStyle w:val="BodyText"/>
        <w:numPr>
          <w:ilvl w:val="2"/>
          <w:numId w:val="10"/>
        </w:numPr>
      </w:pPr>
      <w:r>
        <w:t>Node Size: Select Small, Medium or Large. Medium is the minimum size recommended for production, testing, or development-type deployments.</w:t>
      </w:r>
    </w:p>
    <w:p>
      <w:pPr>
        <w:pStyle w:val="BodyText"/>
        <w:numPr>
          <w:ilvl w:val="2"/>
          <w:numId w:val="10"/>
        </w:numPr>
      </w:pPr>
      <w:r>
        <w:t>FIPS Compliance Mode: Default is on. If not needed, turn it off.</w:t>
      </w:r>
    </w:p>
    <w:p>
      <w:pPr>
        <w:pStyle w:val="BodyText"/>
        <w:numPr>
          <w:ilvl w:val="2"/>
          <w:numId w:val="10"/>
        </w:numPr>
      </w:pPr>
      <w:r>
        <w:t xml:space="preserve">Certificate: Pre-selected from the previous step. To create a new certificate, click </w:t>
      </w:r>
      <w:r>
        <w:rPr>
          <w:rStyle w:val="InlineUI"/>
        </w:rPr>
        <w:t>Add Certificate</w:t>
      </w:r>
      <w:r>
        <w:t>.</w:t>
      </w:r>
    </w:p>
    <w:p>
      <w:pPr>
        <w:pStyle w:val="BodyText"/>
        <w:numPr>
          <w:ilvl w:val="2"/>
          <w:numId w:val="10"/>
        </w:numPr>
      </w:pPr>
      <w:r>
        <w:t>Set Affinity &amp; Anti-Affinity rule if needed. If selected choose the DRS Anti-Affinity rule type:</w:t>
      </w:r>
    </w:p>
    <w:p>
      <w:pPr>
        <w:pStyle w:val="BodyText"/>
        <w:numPr>
          <w:ilvl w:val="3"/>
          <w:numId w:val="10"/>
        </w:numPr>
      </w:pPr>
      <w:r>
        <w:t>Keep virtual machines in separate hosts: For anti-affinity, select this rule type.</w:t>
      </w:r>
    </w:p>
    <w:p>
      <w:pPr>
        <w:pStyle w:val="BodyText"/>
        <w:numPr>
          <w:ilvl w:val="3"/>
          <w:numId w:val="10"/>
        </w:numPr>
      </w:pPr>
      <w:r>
        <w:t>Keep virtual machines in same host: For affinity, select this rule type.</w:t>
      </w:r>
    </w:p>
    <w:p>
      <w:pPr>
        <w:pStyle w:val="BodyText"/>
        <w:numPr>
          <w:ilvl w:val="2"/>
          <w:numId w:val="10"/>
        </w:numPr>
      </w:pPr>
      <w:r>
        <w:t>Configure Cluster VIP: If set to YES, the Cluster VIP section appears. Enter:</w:t>
      </w:r>
    </w:p>
    <w:p>
      <w:pPr>
        <w:pStyle w:val="BodyText"/>
        <w:numPr>
          <w:ilvl w:val="3"/>
          <w:numId w:val="10"/>
        </w:numPr>
      </w:pPr>
      <w:r>
        <w:t>FQDN of the of the Cluster VIP</w:t>
      </w:r>
    </w:p>
    <w:p>
      <w:pPr>
        <w:pStyle w:val="BodyText"/>
        <w:numPr>
          <w:ilvl w:val="3"/>
          <w:numId w:val="10"/>
        </w:numPr>
      </w:pPr>
      <w:r>
        <w:t>IP address that points to the FQDN of the Cluster VIP</w:t>
      </w:r>
    </w:p>
    <w:p>
      <w:pPr>
        <w:pStyle w:val="BodyText"/>
        <w:numPr>
          <w:ilvl w:val="2"/>
          <w:numId w:val="10"/>
        </w:numPr>
      </w:pPr>
      <w:r>
        <w:t>Upgrade VM Compatibility</w:t>
      </w:r>
    </w:p>
    <w:p>
      <w:pPr>
        <w:pStyle w:val="BodyText"/>
        <w:numPr>
          <w:ilvl w:val="2"/>
          <w:numId w:val="10"/>
        </w:numPr>
      </w:pPr>
      <w:r>
        <w:t>Always Use English</w:t>
      </w:r>
    </w:p>
    <w:p>
      <w:pPr>
        <w:pStyle w:val="BodyText"/>
        <w:numPr>
          <w:ilvl w:val="2"/>
          <w:numId w:val="10"/>
        </w:numPr>
      </w:pPr>
      <w:r>
        <w:t>Admin Email</w:t>
      </w:r>
    </w:p>
    <w:p>
      <w:pPr>
        <w:pStyle w:val="BodyText"/>
        <w:numPr>
          <w:ilvl w:val="2"/>
          <w:numId w:val="10"/>
        </w:numPr>
      </w:pPr>
      <w:r>
        <w:t xml:space="preserve">Component Password: Select a password to be used by root and admin local accounts. If you do not have a password, click </w:t>
      </w:r>
      <w:r>
        <w:rPr>
          <w:rStyle w:val="InlineUI"/>
        </w:rPr>
        <w:t>Add Password</w:t>
      </w:r>
      <w:r>
        <w:t xml:space="preserve"> to create a new one. Password must be a minimum of 15 characters.</w:t>
      </w:r>
    </w:p>
    <w:p>
      <w:pPr>
        <w:pStyle w:val="BodyText"/>
        <w:numPr>
          <w:ilvl w:val="2"/>
          <w:numId w:val="10"/>
        </w:numPr>
      </w:pPr>
      <w:r>
        <w:t>Time Sync Mode: Preselected.</w:t>
      </w:r>
    </w:p>
    <w:p>
      <w:pPr>
        <w:pStyle w:val="BodyText"/>
        <w:numPr>
          <w:ilvl w:val="1"/>
          <w:numId w:val="10"/>
        </w:numPr>
      </w:pPr>
      <w:r>
        <w:t>Enter Component/Node properties</w:t>
      </w:r>
    </w:p>
    <w:p>
      <w:pPr>
        <w:pStyle w:val="BodyText"/>
        <w:numPr>
          <w:ilvl w:val="2"/>
          <w:numId w:val="10"/>
        </w:numPr>
      </w:pPr>
      <w:r>
        <w:t>VM Name</w:t>
      </w:r>
    </w:p>
    <w:p>
      <w:pPr>
        <w:pStyle w:val="BodyText"/>
        <w:numPr>
          <w:ilvl w:val="2"/>
          <w:numId w:val="10"/>
        </w:numPr>
      </w:pPr>
      <w:r>
        <w:t>FQDN</w:t>
      </w:r>
    </w:p>
    <w:p>
      <w:pPr>
        <w:pStyle w:val="BodyText"/>
        <w:numPr>
          <w:ilvl w:val="2"/>
          <w:numId w:val="10"/>
        </w:numPr>
      </w:pPr>
      <w:r>
        <w:t>IP Address</w:t>
      </w:r>
    </w:p>
    <w:p>
      <w:pPr>
        <w:pStyle w:val="BodyText"/>
        <w:numPr>
          <w:numId w:val="10"/>
        </w:numPr>
      </w:pPr>
      <w:r>
        <w:t xml:space="preserve">Precheck: If the precheck completes successfully, click </w:t>
      </w:r>
      <w:r>
        <w:rPr>
          <w:rStyle w:val="InlineUI"/>
        </w:rPr>
        <w:t>Next</w:t>
      </w:r>
      <w:r>
        <w:t>.</w:t>
      </w:r>
    </w:p>
    <w:p>
      <w:pPr>
        <w:pStyle w:val="BodyText"/>
        <w:numPr>
          <w:numId w:val="10"/>
        </w:numPr>
      </w:pPr>
      <w:r>
        <w:t xml:space="preserve">Summary: To trigger deployment after reviewing the summary, click </w:t>
      </w:r>
      <w:r>
        <w:rPr>
          <w:rStyle w:val="InlineUI"/>
        </w:rPr>
        <w:t>Submit</w:t>
      </w:r>
      <w:r>
        <w:t>.</w:t>
      </w:r>
    </w:p>
    <w:p>
      <w:pPr>
        <w:pStyle w:val="Heading1"/>
      </w:pPr>
      <w:bookmarkStart w:id="6" w:name="_Toc256000019"/>
      <w:r>
        <w:t>References</w:t>
      </w:r>
      <w:bookmarkEnd w:id="6"/>
    </w:p>
    <w:p>
      <w:pPr>
        <w:pStyle w:val="BodyText"/>
      </w:pPr>
      <w:r>
        <w:t>The following section lists the documentation resources which were used for this document.</w:t>
      </w:r>
    </w:p>
    <w:p>
      <w:pPr>
        <w:pStyle w:val="Heading2"/>
      </w:pPr>
      <w:bookmarkStart w:id="7" w:name="_Toc256000020"/>
      <w:r>
        <w:t>References</w:t>
      </w:r>
      <w:bookmarkEnd w:id="7"/>
    </w:p>
    <w:p>
      <w:pPr>
        <w:pStyle w:val="BodyText"/>
      </w:pPr>
      <w:r>
        <w:t>For more information, see the following supplemental configuration and administration guides, white papers and best practices documents.</w:t>
      </w:r>
    </w:p>
    <w:p>
      <w:pPr>
        <w:pStyle w:val="SectionHeading3"/>
      </w:pPr>
      <w:r>
        <w:t>VMware Pro Cloud Services for Private Cloud Solution References</w:t>
      </w:r>
    </w:p>
    <w:p>
      <w:pPr>
        <w:pStyle w:val="BodyText"/>
        <w:pBdr>
          <w:top w:val="single" w:sz="8" w:space="2" w:color="D3D3D3"/>
          <w:bottom w:val="single" w:sz="8" w:space="2" w:color="D3D3D3"/>
        </w:pBdr>
      </w:pPr>
      <w:r>
        <w:t>Remember</w:t>
        <w:tab/>
      </w:r>
      <w:r>
        <w:t>Refine or add any additional links to product documentation</w:t>
      </w:r>
    </w:p>
    <w:p>
      <w:pPr>
        <w:pStyle w:val="BodyText"/>
      </w:pPr>
      <w:r>
        <w:t>See the VMware Cloud Foundation Documentation (</w:t>
      </w:r>
      <w:hyperlink r:id="rId9" w:tooltip="https://techdocs.broadcom.com/us/en/vmware-cis/vcf/vcf-9-0-and-later/9-0.html" w:history="1">
        <w:r>
          <w:rPr>
            <w:color w:val="0000FF"/>
            <w:u w:val="single"/>
          </w:rPr>
          <w:t>https://techdocs.broadcom.com/us/en/vmware-cis/vcf/vcf-9-0-and-later/9-0.html</w:t>
        </w:r>
      </w:hyperlink>
      <w:r>
        <w:t>) for product documentation for Cloud Foundation.</w:t>
      </w:r>
    </w:p>
    <w:p>
      <w:pPr>
        <w:pStyle w:val="BodyText"/>
      </w:pPr>
      <w:r>
        <w:t>The information is arranged by topics that include the following:</w:t>
      </w:r>
    </w:p>
    <w:p>
      <w:pPr>
        <w:pStyle w:val="BodyText"/>
        <w:numPr>
          <w:numId w:val="11"/>
        </w:numPr>
      </w:pPr>
      <w:hyperlink r:id="rId10" w:tooltip="VMware Cloud Foundation 9.0 Release Notes" w:history="1">
        <w:r>
          <w:rPr>
            <w:color w:val="0000FF"/>
            <w:u w:val="single"/>
          </w:rPr>
          <w:t>VMware Cloud Foundation 9.0 Release Notes</w:t>
        </w:r>
      </w:hyperlink>
    </w:p>
    <w:p>
      <w:pPr>
        <w:pStyle w:val="BodyText"/>
        <w:numPr>
          <w:numId w:val="11"/>
        </w:numPr>
      </w:pPr>
      <w:hyperlink r:id="rId11" w:tooltip="VMware Cloud Foundation Planning and Preparation Workbook" w:history="1">
        <w:r>
          <w:rPr>
            <w:color w:val="0000FF"/>
            <w:u w:val="single"/>
          </w:rPr>
          <w:t>VMware Cloud Foundation Planning and Preparation Workbook</w:t>
        </w:r>
      </w:hyperlink>
    </w:p>
    <w:p>
      <w:pPr>
        <w:pStyle w:val="BodyText"/>
        <w:numPr>
          <w:numId w:val="11"/>
        </w:numPr>
      </w:pPr>
      <w:hyperlink r:id="rId12" w:tooltip="VMware Cloud Foundation Design Guide" w:history="1">
        <w:r>
          <w:rPr>
            <w:color w:val="0000FF"/>
            <w:u w:val="single"/>
          </w:rPr>
          <w:t>VMware Cloud Foundation Design Guide</w:t>
        </w:r>
      </w:hyperlink>
    </w:p>
    <w:p>
      <w:pPr>
        <w:pStyle w:val="BodyText"/>
        <w:numPr>
          <w:numId w:val="11"/>
        </w:numPr>
      </w:pPr>
      <w:hyperlink r:id="rId13" w:tooltip="VMware Cloud Foundation Deployment, Convergence and Upgrade Guide" w:history="1">
        <w:r>
          <w:rPr>
            <w:color w:val="0000FF"/>
            <w:u w:val="single"/>
          </w:rPr>
          <w:t>VMware Cloud Foundation Deployment, Convergence and Upgrade Guide</w:t>
        </w:r>
      </w:hyperlink>
    </w:p>
    <w:p>
      <w:pPr>
        <w:pStyle w:val="BodyText"/>
        <w:numPr>
          <w:numId w:val="11"/>
        </w:numPr>
      </w:pPr>
      <w:hyperlink r:id="rId14" w:tooltip="VMware Cloud Foundation Building Cloud Infrastructure Guide" w:history="1">
        <w:r>
          <w:rPr>
            <w:color w:val="0000FF"/>
            <w:u w:val="single"/>
          </w:rPr>
          <w:t>VMware Cloud Foundation Building Cloud Infrastructure Guide</w:t>
        </w:r>
      </w:hyperlink>
    </w:p>
    <w:p>
      <w:pPr>
        <w:pStyle w:val="BodyText"/>
        <w:numPr>
          <w:numId w:val="11"/>
        </w:numPr>
      </w:pPr>
      <w:hyperlink r:id="rId15" w:tooltip="VMware Cloud Foundation vSphere Guide" w:history="1">
        <w:r>
          <w:rPr>
            <w:color w:val="0000FF"/>
            <w:u w:val="single"/>
          </w:rPr>
          <w:t>VMware Cloud Foundation vSphere Guide</w:t>
        </w:r>
      </w:hyperlink>
    </w:p>
    <w:p>
      <w:pPr>
        <w:pStyle w:val="BodyText"/>
        <w:numPr>
          <w:numId w:val="11"/>
        </w:numPr>
      </w:pPr>
      <w:hyperlink r:id="rId16" w:tooltip="VMware Cloud Foundation vSAN Guide" w:history="1">
        <w:r>
          <w:rPr>
            <w:color w:val="0000FF"/>
            <w:u w:val="single"/>
          </w:rPr>
          <w:t>VMware Cloud Foundation vSAN Guide</w:t>
        </w:r>
      </w:hyperlink>
    </w:p>
    <w:p>
      <w:pPr>
        <w:pStyle w:val="BodyText"/>
        <w:numPr>
          <w:numId w:val="11"/>
        </w:numPr>
      </w:pPr>
      <w:hyperlink r:id="rId17" w:tooltip="VMware Cloud Foundation NSX Guide" w:history="1">
        <w:r>
          <w:rPr>
            <w:color w:val="0000FF"/>
            <w:u w:val="single"/>
          </w:rPr>
          <w:t>VMware Cloud Foundation NSX Guide</w:t>
        </w:r>
      </w:hyperlink>
    </w:p>
    <w:p>
      <w:pPr>
        <w:pStyle w:val="BodyText"/>
        <w:numPr>
          <w:numId w:val="11"/>
        </w:numPr>
      </w:pPr>
      <w:hyperlink r:id="rId18" w:tooltip="VMware Cloud Foundation Lifecycle Management Guide" w:history="1">
        <w:r>
          <w:rPr>
            <w:color w:val="0000FF"/>
            <w:u w:val="single"/>
          </w:rPr>
          <w:t>VMware Cloud Foundation Lifecycle Management Guide</w:t>
        </w:r>
      </w:hyperlink>
    </w:p>
    <w:p>
      <w:pPr>
        <w:pStyle w:val="BodyText"/>
        <w:numPr>
          <w:numId w:val="11"/>
        </w:numPr>
      </w:pPr>
      <w:hyperlink r:id="rId19" w:tooltip="VMware Cloud Foundation Fleet Management Guide" w:history="1">
        <w:r>
          <w:rPr>
            <w:color w:val="0000FF"/>
            <w:u w:val="single"/>
          </w:rPr>
          <w:t>VMware Cloud Foundation Fleet Management Guide</w:t>
        </w:r>
      </w:hyperlink>
    </w:p>
    <w:p>
      <w:pPr>
        <w:pStyle w:val="BodyText"/>
        <w:numPr>
          <w:numId w:val="11"/>
        </w:numPr>
      </w:pPr>
      <w:hyperlink r:id="rId20" w:tooltip="VMware Cloud Foundation Infrastructure Operations Guide" w:history="1">
        <w:r>
          <w:rPr>
            <w:color w:val="0000FF"/>
            <w:u w:val="single"/>
          </w:rPr>
          <w:t>VMware Cloud Foundation Infrastructure Operations Guide</w:t>
        </w:r>
      </w:hyperlink>
    </w:p>
    <w:p>
      <w:pPr>
        <w:pStyle w:val="BodyText"/>
        <w:numPr>
          <w:numId w:val="11"/>
        </w:numPr>
      </w:pPr>
      <w:hyperlink r:id="rId21" w:tooltip="VMware Cloud Foundation Workload Monitoring and Observability Guide" w:history="1">
        <w:r>
          <w:rPr>
            <w:color w:val="0000FF"/>
            <w:u w:val="single"/>
          </w:rPr>
          <w:t>VMware Cloud Foundation Workload Monitoring and Observability Guide</w:t>
        </w:r>
      </w:hyperlink>
    </w:p>
    <w:p>
      <w:pPr>
        <w:pStyle w:val="BodyText"/>
        <w:numPr>
          <w:numId w:val="11"/>
        </w:numPr>
      </w:pPr>
      <w:hyperlink r:id="rId22" w:tooltip="VMware Cloud Foundation vSphere Supervisor Platform Guide" w:history="1">
        <w:r>
          <w:rPr>
            <w:color w:val="0000FF"/>
            <w:u w:val="single"/>
          </w:rPr>
          <w:t>VMware Cloud Foundation vSphere Supervisor Platform Guide</w:t>
        </w:r>
      </w:hyperlink>
    </w:p>
    <w:p>
      <w:pPr>
        <w:pStyle w:val="BodyText"/>
        <w:numPr>
          <w:numId w:val="11"/>
        </w:numPr>
      </w:pPr>
      <w:hyperlink r:id="rId23" w:tooltip="VMware Cloud Foundation Security and Compliance Guide" w:history="1">
        <w:r>
          <w:rPr>
            <w:color w:val="0000FF"/>
            <w:u w:val="single"/>
          </w:rPr>
          <w:t>VMware Cloud Foundation Security and Compliance Guide</w:t>
        </w:r>
      </w:hyperlink>
    </w:p>
    <w:p>
      <w:pPr>
        <w:pStyle w:val="BodyText"/>
        <w:numPr>
          <w:numId w:val="11"/>
        </w:numPr>
      </w:pPr>
      <w:hyperlink r:id="rId24" w:tooltip="VMware Cloud Foundation API Reference Guide" w:history="1">
        <w:r>
          <w:rPr>
            <w:color w:val="0000FF"/>
            <w:u w:val="single"/>
          </w:rPr>
          <w:t>VMware Cloud Foundation API Reference Guide</w:t>
        </w:r>
      </w:hyperlink>
    </w:p>
    <w:p>
      <w:pPr>
        <w:pStyle w:val="BodyText"/>
      </w:pPr>
      <w:r>
        <w:t>VMware Validated Solutions Guides:</w:t>
      </w:r>
    </w:p>
    <w:p>
      <w:pPr>
        <w:pStyle w:val="BodyText"/>
        <w:numPr>
          <w:numId w:val="12"/>
        </w:numPr>
      </w:pPr>
      <w:r>
        <w:t>&lt;Add as apporpriate&gt;</w:t>
      </w:r>
    </w:p>
    <w:sectPr w:rsidSect="0078571F">
      <w:headerReference w:type="default" r:id="rId25"/>
      <w:footerReference w:type="default" r:id="rId26"/>
      <w:pgSz w:w="12240" w:h="15840" w:code="1"/>
      <w:pgMar w:top="1140" w:right="1140" w:bottom="760" w:left="1140" w:header="550" w:footer="564"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tropolis">
    <w:altName w:val="Metropolis"/>
    <w:panose1 w:val="00000500000000000000"/>
    <w:charset w:val="00"/>
    <w:family w:val="modern"/>
    <w:notTrueType/>
    <w:pitch w:val="variable"/>
    <w:sig w:usb0="00000007" w:usb1="00000000" w:usb2="00000000" w:usb3="00000000" w:csb0="00000093" w:csb1="00000000"/>
  </w:font>
  <w:font w:name="Metropolis Medium">
    <w:altName w:val="Metropolis Medium"/>
    <w:panose1 w:val="00000600000000000000"/>
    <w:charset w:val="00"/>
    <w:family w:val="auto"/>
    <w:pitch w:val="variable"/>
    <w:sig w:usb0="00000007"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 w:name="Metropolis Semi Bold">
    <w:panose1 w:val="00000700000000000000"/>
    <w:charset w:val="00"/>
    <w:family w:val="auto"/>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6C1DE76A" w14:textId="19794525">
    <w:pPr>
      <w:pStyle w:val="Footer"/>
    </w:pPr>
    <w:r w:rsidRPr="007A3262">
      <w:t>VMware</w:t>
    </w:r>
    <w:r w:rsidRPr="00FF1CA0">
      <w:rPr>
        <w:vertAlign w:val="superscript"/>
      </w:rPr>
      <w:t>®</w:t>
    </w:r>
    <w:r w:rsidRPr="007A3262">
      <w:t xml:space="preserve"> by Broadcom</w:t>
    </w:r>
    <w:r>
      <w:tab/>
    </w:r>
    <w:r>
      <w:tab/>
    </w:r>
    <w:r>
      <w:fldChar w:fldCharType="begin"/>
    </w:r>
    <w:r>
      <w:instrText xml:space="preserve"> PAGE   \* MERGEFORMAT </w:instrText>
    </w:r>
    <w:r>
      <w:fldChar w:fldCharType="separate"/>
    </w:r>
    <w:r>
      <w:rPr>
        <w:noProof/>
      </w:rPr>
      <w:t>10</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24CFEECD" w14:textId="48453DCA">
    <w:pPr>
      <w:pStyle w:val="Header"/>
    </w:pPr>
    <w:r>
      <w:rPr>
        <w:noProof/>
      </w:rP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772400" cy="128016"/>
          <wp:effectExtent l="0" t="0" r="0" b="5715"/>
          <wp:wrapNone/>
          <wp:docPr id="1126371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71088" name="Picture 1126371088"/>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772400" cy="128016"/>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TITLE   \* MERGEFORMAT </w:instrText>
    </w:r>
    <w:r>
      <w:fldChar w:fldCharType="separate"/>
    </w:r>
    <w:r>
      <w:t>VMware Pro Cloud Service for Private Cloud Infrastructure - VMware Cloud Foundation Operations for logs Installation and Configuration Procedures 9.0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E"/>
    <w:multiLevelType w:val="singleLevel"/>
    <w:tmpl w:val="B3C4E2E2"/>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A79E0CD2"/>
    <w:lvl w:ilvl="0">
      <w:start w:val="1"/>
      <w:numFmt w:val="decimal"/>
      <w:pStyle w:val="ListNumber2"/>
      <w:lvlText w:val="%1."/>
      <w:lvlJc w:val="left"/>
      <w:pPr>
        <w:tabs>
          <w:tab w:val="num" w:pos="720"/>
        </w:tabs>
        <w:ind w:left="720" w:hanging="360"/>
      </w:pPr>
    </w:lvl>
  </w:abstractNum>
  <w:abstractNum w:abstractNumId="2">
    <w:nsid w:val="FFFFFF82"/>
    <w:multiLevelType w:val="singleLevel"/>
    <w:tmpl w:val="A51A4C28"/>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C57010FE"/>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80BADBF0"/>
    <w:lvl w:ilvl="0">
      <w:start w:val="1"/>
      <w:numFmt w:val="decimal"/>
      <w:pStyle w:val="ListNumber"/>
      <w:lvlText w:val="%1."/>
      <w:lvlJc w:val="left"/>
      <w:pPr>
        <w:tabs>
          <w:tab w:val="num" w:pos="360"/>
        </w:tabs>
        <w:ind w:left="360" w:hanging="360"/>
      </w:pPr>
    </w:lvl>
  </w:abstractNum>
  <w:abstractNum w:abstractNumId="5">
    <w:nsid w:val="FFFFFF89"/>
    <w:multiLevelType w:val="singleLevel"/>
    <w:tmpl w:val="A77A652C"/>
    <w:lvl w:ilvl="0">
      <w:start w:val="1"/>
      <w:numFmt w:val="bullet"/>
      <w:pStyle w:val="ListBullet"/>
      <w:lvlText w:val=""/>
      <w:lvlJc w:val="left"/>
      <w:pPr>
        <w:ind w:left="360" w:hanging="360"/>
      </w:pPr>
      <w:rPr>
        <w:rFonts w:ascii="Wingdings" w:hAnsi="Wingdings" w:hint="default"/>
      </w:rPr>
    </w:lvl>
  </w:abstractNum>
  <w:abstractNum w:abstractNumId="6">
    <w:nsid w:val="7A0F5666"/>
    <w:multiLevelType w:val="hybridMultilevel"/>
    <w:tmpl w:val="9154C4A0"/>
    <w:lvl w:ilvl="0">
      <w:start w:val="1"/>
      <w:numFmt w:val="decimal"/>
      <w:pStyle w:val="Heading1"/>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7A0F5667"/>
    <w:multiLevelType w:val="hybridMultilevel"/>
    <w:tmpl w:val="7A0F566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7A0F5668"/>
    <w:multiLevelType w:val="hybridMultilevel"/>
    <w:tmpl w:val="7A0F566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7A0F5669"/>
    <w:multiLevelType w:val="multilevel"/>
    <w:tmpl w:val="7A0F5669"/>
    <w:lvl w:ilvl="0">
      <w:start w:val="1"/>
      <w:numFmt w:val="decimal"/>
      <w:pStyle w:val="ListNumber"/>
      <w:lvlText w:val="%1"/>
      <w:lvlJc w:val="left"/>
      <w:pPr>
        <w:tabs>
          <w:tab w:val="num" w:pos="480"/>
        </w:tabs>
        <w:ind w:left="480" w:hanging="480"/>
      </w:pPr>
      <w:rPr>
        <w:rFonts w:ascii="Metropolis" w:eastAsia="Metropolis" w:hAnsi="Metropolis" w:cs="Metropolis"/>
        <w:b w:val="0"/>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7A0F566A"/>
    <w:multiLevelType w:val="hybridMultilevel"/>
    <w:tmpl w:val="7A0F566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7A0F566B"/>
    <w:multiLevelType w:val="hybridMultilevel"/>
    <w:tmpl w:val="7A0F566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243220917">
    <w:abstractNumId w:val="5"/>
  </w:num>
  <w:num w:numId="2" w16cid:durableId="1899897346">
    <w:abstractNumId w:val="4"/>
  </w:num>
  <w:num w:numId="3" w16cid:durableId="2010449199">
    <w:abstractNumId w:val="6"/>
  </w:num>
  <w:num w:numId="4" w16cid:durableId="1715886658">
    <w:abstractNumId w:val="3"/>
  </w:num>
  <w:num w:numId="5" w16cid:durableId="667363322">
    <w:abstractNumId w:val="2"/>
  </w:num>
  <w:num w:numId="6" w16cid:durableId="807011746">
    <w:abstractNumId w:val="1"/>
  </w:num>
  <w:num w:numId="7" w16cid:durableId="1703943054">
    <w:abstractNumId w:val="0"/>
  </w:num>
  <w:num w:numId="8">
    <w:abstractNumId w:val="7"/>
  </w:num>
  <w:num w:numId="9">
    <w:abstractNumId w:val="8"/>
  </w:num>
  <w:num w:numId="10">
    <w:abstractNumId w:val="9"/>
  </w:num>
  <w:num w:numId="11">
    <w:abstractNumId w:val="10"/>
  </w:num>
  <w:num w:numId="12">
    <w:abstractNumId w:val="1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24"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isibleStyles="0"/>
  <w:stylePaneSortMethod w:val="name"/>
  <w:defaultTabStop w:val="48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41"/>
    <w:rsid w:val="0000138F"/>
    <w:rsid w:val="00004558"/>
    <w:rsid w:val="00010A48"/>
    <w:rsid w:val="00030691"/>
    <w:rsid w:val="00043110"/>
    <w:rsid w:val="0005087A"/>
    <w:rsid w:val="000555E1"/>
    <w:rsid w:val="00060D58"/>
    <w:rsid w:val="0006271F"/>
    <w:rsid w:val="00082CAD"/>
    <w:rsid w:val="00094DCB"/>
    <w:rsid w:val="000A286B"/>
    <w:rsid w:val="000A3182"/>
    <w:rsid w:val="000B2CE0"/>
    <w:rsid w:val="000B77DE"/>
    <w:rsid w:val="000F0FFB"/>
    <w:rsid w:val="00100D56"/>
    <w:rsid w:val="00110663"/>
    <w:rsid w:val="001262F4"/>
    <w:rsid w:val="0014481F"/>
    <w:rsid w:val="001553D5"/>
    <w:rsid w:val="0016365B"/>
    <w:rsid w:val="00167885"/>
    <w:rsid w:val="0018044C"/>
    <w:rsid w:val="001929AA"/>
    <w:rsid w:val="001935AF"/>
    <w:rsid w:val="00195784"/>
    <w:rsid w:val="001B6182"/>
    <w:rsid w:val="00233391"/>
    <w:rsid w:val="00240F83"/>
    <w:rsid w:val="00243952"/>
    <w:rsid w:val="00255C62"/>
    <w:rsid w:val="00263AA1"/>
    <w:rsid w:val="002A34A5"/>
    <w:rsid w:val="002B5D2F"/>
    <w:rsid w:val="002E788E"/>
    <w:rsid w:val="0030710A"/>
    <w:rsid w:val="00317810"/>
    <w:rsid w:val="00322AFC"/>
    <w:rsid w:val="00327B21"/>
    <w:rsid w:val="003303E1"/>
    <w:rsid w:val="00353E9E"/>
    <w:rsid w:val="003758A8"/>
    <w:rsid w:val="00396C1B"/>
    <w:rsid w:val="003C677C"/>
    <w:rsid w:val="003D6901"/>
    <w:rsid w:val="003E0018"/>
    <w:rsid w:val="003E3D16"/>
    <w:rsid w:val="00402A69"/>
    <w:rsid w:val="004079DD"/>
    <w:rsid w:val="004352D2"/>
    <w:rsid w:val="00435BD0"/>
    <w:rsid w:val="00440C96"/>
    <w:rsid w:val="004544C1"/>
    <w:rsid w:val="00461F79"/>
    <w:rsid w:val="004742D1"/>
    <w:rsid w:val="0047597B"/>
    <w:rsid w:val="00494EF5"/>
    <w:rsid w:val="004A0D36"/>
    <w:rsid w:val="004D6206"/>
    <w:rsid w:val="004D628A"/>
    <w:rsid w:val="004F7B8D"/>
    <w:rsid w:val="00511235"/>
    <w:rsid w:val="00517528"/>
    <w:rsid w:val="005237DD"/>
    <w:rsid w:val="0052528F"/>
    <w:rsid w:val="00527B36"/>
    <w:rsid w:val="00542050"/>
    <w:rsid w:val="00546BCE"/>
    <w:rsid w:val="005522A9"/>
    <w:rsid w:val="0056610E"/>
    <w:rsid w:val="0057345C"/>
    <w:rsid w:val="005910E8"/>
    <w:rsid w:val="0059267A"/>
    <w:rsid w:val="00593E2B"/>
    <w:rsid w:val="005A0902"/>
    <w:rsid w:val="005A7CE1"/>
    <w:rsid w:val="005B3CBD"/>
    <w:rsid w:val="005C52D9"/>
    <w:rsid w:val="005D2C29"/>
    <w:rsid w:val="005D4D8C"/>
    <w:rsid w:val="00632332"/>
    <w:rsid w:val="006444AE"/>
    <w:rsid w:val="006468D9"/>
    <w:rsid w:val="00654081"/>
    <w:rsid w:val="00664FA5"/>
    <w:rsid w:val="006A1B38"/>
    <w:rsid w:val="006F2549"/>
    <w:rsid w:val="006F2F59"/>
    <w:rsid w:val="00715758"/>
    <w:rsid w:val="00736818"/>
    <w:rsid w:val="007530C1"/>
    <w:rsid w:val="007776F4"/>
    <w:rsid w:val="00783000"/>
    <w:rsid w:val="0078571F"/>
    <w:rsid w:val="007A3262"/>
    <w:rsid w:val="007A6F22"/>
    <w:rsid w:val="007C400F"/>
    <w:rsid w:val="007F3764"/>
    <w:rsid w:val="007F40CB"/>
    <w:rsid w:val="008217C0"/>
    <w:rsid w:val="00822231"/>
    <w:rsid w:val="00836DA7"/>
    <w:rsid w:val="008550BC"/>
    <w:rsid w:val="00856B0E"/>
    <w:rsid w:val="00857CA5"/>
    <w:rsid w:val="008D637B"/>
    <w:rsid w:val="008D76CF"/>
    <w:rsid w:val="008E0529"/>
    <w:rsid w:val="008E0894"/>
    <w:rsid w:val="0091750E"/>
    <w:rsid w:val="0092012B"/>
    <w:rsid w:val="0092725C"/>
    <w:rsid w:val="00947FB9"/>
    <w:rsid w:val="009533DF"/>
    <w:rsid w:val="009B3010"/>
    <w:rsid w:val="009B3902"/>
    <w:rsid w:val="009B4645"/>
    <w:rsid w:val="009E7D74"/>
    <w:rsid w:val="009F728F"/>
    <w:rsid w:val="00A44FCE"/>
    <w:rsid w:val="00A534AE"/>
    <w:rsid w:val="00A64EB7"/>
    <w:rsid w:val="00A6666A"/>
    <w:rsid w:val="00A74796"/>
    <w:rsid w:val="00A93F22"/>
    <w:rsid w:val="00AA4169"/>
    <w:rsid w:val="00AA60D3"/>
    <w:rsid w:val="00AC4135"/>
    <w:rsid w:val="00AC4BAD"/>
    <w:rsid w:val="00AC54C6"/>
    <w:rsid w:val="00AD0040"/>
    <w:rsid w:val="00AD249B"/>
    <w:rsid w:val="00B270AD"/>
    <w:rsid w:val="00B50508"/>
    <w:rsid w:val="00B76941"/>
    <w:rsid w:val="00BA02B5"/>
    <w:rsid w:val="00BA4EB6"/>
    <w:rsid w:val="00BC3707"/>
    <w:rsid w:val="00BC5955"/>
    <w:rsid w:val="00BD493A"/>
    <w:rsid w:val="00BD774E"/>
    <w:rsid w:val="00BF5187"/>
    <w:rsid w:val="00C11E16"/>
    <w:rsid w:val="00C12143"/>
    <w:rsid w:val="00C258BA"/>
    <w:rsid w:val="00C379FA"/>
    <w:rsid w:val="00C461F6"/>
    <w:rsid w:val="00C53C7C"/>
    <w:rsid w:val="00C910D0"/>
    <w:rsid w:val="00C97671"/>
    <w:rsid w:val="00CA7102"/>
    <w:rsid w:val="00CB08F2"/>
    <w:rsid w:val="00CB706E"/>
    <w:rsid w:val="00CD44BB"/>
    <w:rsid w:val="00CD47CA"/>
    <w:rsid w:val="00CE1E52"/>
    <w:rsid w:val="00D00E98"/>
    <w:rsid w:val="00D40274"/>
    <w:rsid w:val="00D43171"/>
    <w:rsid w:val="00D611CC"/>
    <w:rsid w:val="00D651C1"/>
    <w:rsid w:val="00D74F3C"/>
    <w:rsid w:val="00D80AE8"/>
    <w:rsid w:val="00DB006A"/>
    <w:rsid w:val="00DC1BEA"/>
    <w:rsid w:val="00E03CF9"/>
    <w:rsid w:val="00E14E29"/>
    <w:rsid w:val="00E218C0"/>
    <w:rsid w:val="00E55987"/>
    <w:rsid w:val="00E65CB6"/>
    <w:rsid w:val="00EB5D9C"/>
    <w:rsid w:val="00EB76E2"/>
    <w:rsid w:val="00F117EE"/>
    <w:rsid w:val="00F42D8F"/>
    <w:rsid w:val="00F461CF"/>
    <w:rsid w:val="00F60328"/>
    <w:rsid w:val="00F6384D"/>
    <w:rsid w:val="00F64BDD"/>
    <w:rsid w:val="00F70927"/>
    <w:rsid w:val="00F76D81"/>
    <w:rsid w:val="00FA288B"/>
    <w:rsid w:val="00FC4A7D"/>
    <w:rsid w:val="00FE76C5"/>
    <w:rsid w:val="00FF1CA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7AABB022"/>
  <w15:docId w15:val="{67EF368F-C039-432F-A657-6A53CD2E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FA288B"/>
    <w:rPr>
      <w:rFonts w:ascii="Arial" w:eastAsia="Metropolis" w:hAnsi="Arial" w:cs="Metropolis"/>
    </w:rPr>
  </w:style>
  <w:style w:type="paragraph" w:styleId="Heading1">
    <w:name w:val="heading 1"/>
    <w:basedOn w:val="Normal"/>
    <w:next w:val="Normal"/>
    <w:link w:val="Heading1Char"/>
    <w:uiPriority w:val="9"/>
    <w:qFormat/>
    <w:rsid w:val="00D43171"/>
    <w:pPr>
      <w:keepNext/>
      <w:keepLines/>
      <w:pageBreakBefore/>
      <w:numPr>
        <w:numId w:val="3"/>
      </w:numPr>
      <w:spacing w:after="440"/>
      <w:ind w:hanging="720"/>
      <w:outlineLvl w:val="0"/>
    </w:pPr>
    <w:rPr>
      <w:rFonts w:eastAsiaTheme="majorEastAsia" w:cstheme="majorBidi"/>
      <w:color w:val="365F91" w:themeColor="accent1" w:themeShade="BF"/>
      <w:sz w:val="44"/>
      <w:szCs w:val="32"/>
    </w:rPr>
  </w:style>
  <w:style w:type="paragraph" w:styleId="Heading2">
    <w:name w:val="heading 2"/>
    <w:basedOn w:val="Normal"/>
    <w:next w:val="Normal"/>
    <w:link w:val="Heading2Char"/>
    <w:uiPriority w:val="9"/>
    <w:unhideWhenUsed/>
    <w:qFormat/>
    <w:rsid w:val="00D43171"/>
    <w:pPr>
      <w:keepNext/>
      <w:keepLines/>
      <w:spacing w:after="320"/>
      <w:outlineLvl w:val="1"/>
    </w:pPr>
    <w:rPr>
      <w:rFonts w:eastAsiaTheme="majorEastAsia" w:cstheme="majorBidi"/>
      <w:sz w:val="36"/>
      <w:szCs w:val="26"/>
    </w:rPr>
  </w:style>
  <w:style w:type="paragraph" w:styleId="Heading3">
    <w:name w:val="heading 3"/>
    <w:basedOn w:val="Normal"/>
    <w:next w:val="Normal"/>
    <w:link w:val="Heading3Char"/>
    <w:uiPriority w:val="9"/>
    <w:unhideWhenUsed/>
    <w:qFormat/>
    <w:rsid w:val="00D43171"/>
    <w:pPr>
      <w:keepNext/>
      <w:keepLines/>
      <w:spacing w:before="40" w:after="32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D43171"/>
    <w:pPr>
      <w:keepNext/>
      <w:keepLines/>
      <w:spacing w:before="40" w:after="120"/>
      <w:outlineLvl w:val="3"/>
    </w:pPr>
    <w:rPr>
      <w:rFonts w:eastAsiaTheme="majorEastAsia" w:cstheme="majorBidi"/>
      <w:iCs/>
    </w:rPr>
  </w:style>
  <w:style w:type="paragraph" w:styleId="Heading5">
    <w:name w:val="heading 5"/>
    <w:basedOn w:val="Normal"/>
    <w:next w:val="Normal"/>
    <w:link w:val="Heading5Char"/>
    <w:uiPriority w:val="9"/>
    <w:unhideWhenUsed/>
    <w:qFormat/>
    <w:rsid w:val="00D43171"/>
    <w:pPr>
      <w:keepNext/>
      <w:keepLines/>
      <w:spacing w:before="40" w:after="120"/>
      <w:outlineLvl w:val="4"/>
    </w:pPr>
    <w:rPr>
      <w:rFonts w:eastAsiaTheme="majorEastAsia" w:cstheme="majorBidi"/>
    </w:rPr>
  </w:style>
  <w:style w:type="paragraph" w:styleId="Heading6">
    <w:name w:val="heading 6"/>
    <w:basedOn w:val="Normal"/>
    <w:next w:val="Normal"/>
    <w:link w:val="Heading6Char"/>
    <w:uiPriority w:val="9"/>
    <w:unhideWhenUsed/>
    <w:qFormat/>
    <w:rsid w:val="00D43171"/>
    <w:pPr>
      <w:keepNext/>
      <w:keepLines/>
      <w:spacing w:before="40" w:after="120"/>
      <w:outlineLvl w:val="5"/>
    </w:pPr>
    <w:rPr>
      <w:rFonts w:eastAsiaTheme="majorEastAsia" w:cstheme="majorBidi"/>
    </w:rPr>
  </w:style>
  <w:style w:type="paragraph" w:styleId="Heading7">
    <w:name w:val="heading 7"/>
    <w:basedOn w:val="Normal"/>
    <w:next w:val="Normal"/>
    <w:link w:val="Heading7Char"/>
    <w:uiPriority w:val="9"/>
    <w:unhideWhenUsed/>
    <w:qFormat/>
    <w:rsid w:val="00D43171"/>
    <w:pPr>
      <w:keepNext/>
      <w:keepLines/>
      <w:spacing w:before="40" w:after="120"/>
      <w:outlineLvl w:val="6"/>
    </w:pPr>
    <w:rPr>
      <w:rFonts w:eastAsiaTheme="majorEastAsia" w:cstheme="majorBidi"/>
      <w:iCs/>
    </w:rPr>
  </w:style>
  <w:style w:type="paragraph" w:styleId="Heading8">
    <w:name w:val="heading 8"/>
    <w:basedOn w:val="Normal"/>
    <w:next w:val="Normal"/>
    <w:link w:val="Heading8Char"/>
    <w:uiPriority w:val="9"/>
    <w:unhideWhenUsed/>
    <w:qFormat/>
    <w:rsid w:val="00D43171"/>
    <w:pPr>
      <w:keepNext/>
      <w:keepLines/>
      <w:spacing w:before="40" w:after="120"/>
      <w:outlineLvl w:val="7"/>
    </w:pPr>
    <w:rPr>
      <w:rFonts w:eastAsiaTheme="majorEastAsia" w:cstheme="majorBidi"/>
      <w:sz w:val="21"/>
      <w:szCs w:val="21"/>
    </w:rPr>
  </w:style>
  <w:style w:type="paragraph" w:styleId="Heading9">
    <w:name w:val="heading 9"/>
    <w:basedOn w:val="Normal"/>
    <w:next w:val="Normal"/>
    <w:link w:val="Heading9Char"/>
    <w:uiPriority w:val="9"/>
    <w:unhideWhenUsed/>
    <w:qFormat/>
    <w:rsid w:val="00D43171"/>
    <w:pPr>
      <w:keepNext/>
      <w:keepLines/>
      <w:spacing w:before="40" w:after="120"/>
      <w:outlineLvl w:val="8"/>
    </w:pPr>
    <w:rPr>
      <w:rFonts w:eastAsiaTheme="majorEastAsia" w:cstheme="majorBid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63AA1"/>
    <w:pPr>
      <w:spacing w:after="240" w:line="288" w:lineRule="auto"/>
    </w:pPr>
    <w:rPr>
      <w:sz w:val="20"/>
      <w:szCs w:val="20"/>
    </w:rPr>
  </w:style>
  <w:style w:type="character" w:customStyle="1" w:styleId="Heading1Char">
    <w:name w:val="Heading 1 Char"/>
    <w:basedOn w:val="DefaultParagraphFont"/>
    <w:link w:val="Heading1"/>
    <w:uiPriority w:val="9"/>
    <w:rsid w:val="00D43171"/>
    <w:rPr>
      <w:rFonts w:ascii="Arial" w:hAnsi="Arial" w:eastAsiaTheme="majorEastAsia" w:cstheme="majorBidi"/>
      <w:color w:val="365F91" w:themeColor="accent1" w:themeShade="BF"/>
      <w:sz w:val="44"/>
      <w:szCs w:val="32"/>
    </w:rPr>
  </w:style>
  <w:style w:type="character" w:customStyle="1" w:styleId="Heading2Char">
    <w:name w:val="Heading 2 Char"/>
    <w:basedOn w:val="DefaultParagraphFont"/>
    <w:link w:val="Heading2"/>
    <w:uiPriority w:val="9"/>
    <w:rsid w:val="00D43171"/>
    <w:rPr>
      <w:rFonts w:ascii="Arial" w:hAnsi="Arial" w:eastAsiaTheme="majorEastAsia" w:cstheme="majorBidi"/>
      <w:sz w:val="36"/>
      <w:szCs w:val="26"/>
    </w:rPr>
  </w:style>
  <w:style w:type="paragraph" w:styleId="TOC1">
    <w:name w:val="toc 1"/>
    <w:basedOn w:val="Normal"/>
    <w:next w:val="Normal"/>
    <w:autoRedefine/>
    <w:uiPriority w:val="39"/>
    <w:unhideWhenUsed/>
    <w:rsid w:val="007A6F22"/>
    <w:pPr>
      <w:tabs>
        <w:tab w:val="left" w:pos="360"/>
        <w:tab w:val="right" w:leader="dot" w:pos="9590"/>
      </w:tabs>
      <w:spacing w:before="320" w:after="100"/>
    </w:pPr>
    <w:rPr>
      <w:sz w:val="20"/>
    </w:rPr>
  </w:style>
  <w:style w:type="paragraph" w:styleId="Title">
    <w:name w:val="Title"/>
    <w:basedOn w:val="Normal"/>
    <w:uiPriority w:val="1"/>
    <w:qFormat/>
    <w:rsid w:val="00632332"/>
    <w:pPr>
      <w:spacing w:before="330" w:after="720"/>
    </w:pPr>
    <w:rPr>
      <w:rFonts w:ascii="Metropolis Medium" w:eastAsia="Metropolis Medium" w:hAnsi="Metropolis Medium" w:cs="Metropolis Medium"/>
      <w:color w:val="00688E"/>
      <w:sz w:val="72"/>
      <w:szCs w:val="48"/>
    </w:rPr>
  </w:style>
  <w:style w:type="paragraph" w:styleId="ListParagraph">
    <w:name w:val="List Paragraph"/>
    <w:basedOn w:val="Normal"/>
    <w:uiPriority w:val="1"/>
    <w:qFormat/>
    <w:pPr>
      <w:ind w:left="479" w:hanging="360"/>
    </w:pPr>
  </w:style>
  <w:style w:type="paragraph" w:customStyle="1" w:styleId="TableBodyText">
    <w:name w:val="Table Body Text"/>
    <w:basedOn w:val="Normal"/>
    <w:uiPriority w:val="1"/>
    <w:qFormat/>
    <w:rsid w:val="00263AA1"/>
    <w:pPr>
      <w:spacing w:before="100" w:after="100" w:line="288" w:lineRule="auto"/>
      <w:ind w:left="101"/>
    </w:pPr>
    <w:rPr>
      <w:sz w:val="20"/>
    </w:rPr>
  </w:style>
  <w:style w:type="paragraph" w:styleId="TOC2">
    <w:name w:val="toc 2"/>
    <w:basedOn w:val="Normal"/>
    <w:next w:val="Normal"/>
    <w:autoRedefine/>
    <w:uiPriority w:val="39"/>
    <w:rsid w:val="005522A9"/>
    <w:pPr>
      <w:tabs>
        <w:tab w:val="right" w:leader="dot" w:pos="9590"/>
      </w:tabs>
      <w:ind w:left="360"/>
    </w:pPr>
    <w:rPr>
      <w:sz w:val="20"/>
    </w:rPr>
  </w:style>
  <w:style w:type="character" w:styleId="Hyperlink">
    <w:name w:val="Hyperlink"/>
    <w:basedOn w:val="DefaultParagraphFont"/>
    <w:uiPriority w:val="99"/>
    <w:rsid w:val="00EF7B96"/>
    <w:rPr>
      <w:color w:val="0000FF"/>
      <w:u w:val="single"/>
    </w:rPr>
  </w:style>
  <w:style w:type="paragraph" w:styleId="TOC3">
    <w:name w:val="toc 3"/>
    <w:basedOn w:val="Normal"/>
    <w:next w:val="Normal"/>
    <w:autoRedefine/>
    <w:uiPriority w:val="39"/>
    <w:rsid w:val="005522A9"/>
    <w:pPr>
      <w:tabs>
        <w:tab w:val="right" w:leader="dot" w:pos="9590"/>
      </w:tabs>
      <w:ind w:left="720"/>
    </w:pPr>
    <w:rPr>
      <w:sz w:val="20"/>
    </w:rPr>
  </w:style>
  <w:style w:type="paragraph" w:styleId="Header">
    <w:name w:val="header"/>
    <w:basedOn w:val="Normal"/>
    <w:link w:val="HeaderChar"/>
    <w:uiPriority w:val="99"/>
    <w:unhideWhenUsed/>
    <w:rsid w:val="00CA7102"/>
    <w:pPr>
      <w:tabs>
        <w:tab w:val="center" w:pos="4680"/>
        <w:tab w:val="right" w:pos="9360"/>
      </w:tabs>
    </w:pPr>
    <w:rPr>
      <w:sz w:val="14"/>
    </w:rPr>
  </w:style>
  <w:style w:type="character" w:customStyle="1" w:styleId="HeaderChar">
    <w:name w:val="Header Char"/>
    <w:basedOn w:val="DefaultParagraphFont"/>
    <w:link w:val="Header"/>
    <w:uiPriority w:val="99"/>
    <w:rsid w:val="00CA7102"/>
    <w:rPr>
      <w:rFonts w:ascii="Metropolis" w:eastAsia="Metropolis" w:hAnsi="Metropolis" w:cs="Metropolis"/>
      <w:sz w:val="14"/>
    </w:rPr>
  </w:style>
  <w:style w:type="paragraph" w:styleId="Footer">
    <w:name w:val="footer"/>
    <w:basedOn w:val="Normal"/>
    <w:link w:val="FooterChar"/>
    <w:uiPriority w:val="99"/>
    <w:unhideWhenUsed/>
    <w:rsid w:val="007F3764"/>
    <w:pPr>
      <w:tabs>
        <w:tab w:val="center" w:pos="4680"/>
        <w:tab w:val="right" w:pos="9360"/>
      </w:tabs>
    </w:pPr>
    <w:rPr>
      <w:sz w:val="14"/>
    </w:rPr>
  </w:style>
  <w:style w:type="character" w:customStyle="1" w:styleId="FooterChar">
    <w:name w:val="Footer Char"/>
    <w:basedOn w:val="DefaultParagraphFont"/>
    <w:link w:val="Footer"/>
    <w:uiPriority w:val="99"/>
    <w:rsid w:val="007F3764"/>
    <w:rPr>
      <w:rFonts w:ascii="Metropolis" w:eastAsia="Metropolis" w:hAnsi="Metropolis" w:cs="Metropolis"/>
      <w:sz w:val="14"/>
    </w:rPr>
  </w:style>
  <w:style w:type="character" w:styleId="UnresolvedMention">
    <w:name w:val="Unresolved Mention"/>
    <w:basedOn w:val="DefaultParagraphFont"/>
    <w:uiPriority w:val="99"/>
    <w:semiHidden/>
    <w:unhideWhenUsed/>
    <w:rsid w:val="00CD44BB"/>
    <w:rPr>
      <w:color w:val="605E5C"/>
      <w:shd w:val="clear" w:color="auto" w:fill="E1DFDD"/>
    </w:rPr>
  </w:style>
  <w:style w:type="paragraph" w:customStyle="1" w:styleId="SectionHeading1">
    <w:name w:val="Section Heading 1"/>
    <w:next w:val="BodyText"/>
    <w:uiPriority w:val="1"/>
    <w:qFormat/>
    <w:rsid w:val="00CD47CA"/>
    <w:pPr>
      <w:pageBreakBefore/>
      <w:spacing w:after="440"/>
      <w:ind w:left="720" w:hanging="720"/>
    </w:pPr>
    <w:rPr>
      <w:rFonts w:ascii="Metropolis Medium" w:hAnsi="Metropolis Medium" w:eastAsiaTheme="majorEastAsia" w:cstheme="majorBidi"/>
      <w:color w:val="365F91" w:themeColor="accent1" w:themeShade="BF"/>
      <w:sz w:val="44"/>
      <w:szCs w:val="32"/>
    </w:rPr>
  </w:style>
  <w:style w:type="table" w:styleId="TableGrid">
    <w:name w:val="Table Grid"/>
    <w:basedOn w:val="TableNormal"/>
    <w:uiPriority w:val="59"/>
    <w:rsid w:val="00591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Text"/>
    <w:uiPriority w:val="1"/>
    <w:qFormat/>
    <w:rsid w:val="008D76CF"/>
    <w:pPr>
      <w:keepNext/>
    </w:pPr>
  </w:style>
  <w:style w:type="character" w:styleId="BookTitle">
    <w:name w:val="Book Title"/>
    <w:basedOn w:val="DefaultParagraphFont"/>
    <w:uiPriority w:val="33"/>
    <w:qFormat/>
    <w:rsid w:val="00783000"/>
    <w:rPr>
      <w:b w:val="0"/>
      <w:bCs/>
      <w:i/>
      <w:iCs/>
      <w:spacing w:val="5"/>
    </w:rPr>
  </w:style>
  <w:style w:type="paragraph" w:styleId="Subtitle">
    <w:name w:val="Subtitle"/>
    <w:basedOn w:val="Normal"/>
    <w:next w:val="Normal"/>
    <w:link w:val="SubtitleChar"/>
    <w:uiPriority w:val="11"/>
    <w:qFormat/>
    <w:rsid w:val="00632332"/>
    <w:pPr>
      <w:numPr>
        <w:ilvl w:val="1"/>
      </w:numPr>
      <w:spacing w:after="160"/>
    </w:pPr>
    <w:rPr>
      <w:rFonts w:ascii="Metropolis Medium" w:hAnsi="Metropolis Medium" w:eastAsiaTheme="minorEastAsia" w:cstheme="minorBidi"/>
      <w:color w:val="5A5A5A" w:themeColor="text1" w:themeTint="A5"/>
      <w:spacing w:val="15"/>
      <w:sz w:val="32"/>
    </w:rPr>
  </w:style>
  <w:style w:type="character" w:customStyle="1" w:styleId="SubtitleChar">
    <w:name w:val="Subtitle Char"/>
    <w:basedOn w:val="DefaultParagraphFont"/>
    <w:link w:val="Subtitle"/>
    <w:uiPriority w:val="11"/>
    <w:rsid w:val="00632332"/>
    <w:rPr>
      <w:rFonts w:ascii="Metropolis Medium" w:hAnsi="Metropolis Medium" w:eastAsiaTheme="minorEastAsia"/>
      <w:color w:val="5A5A5A" w:themeColor="text1" w:themeTint="A5"/>
      <w:spacing w:val="15"/>
      <w:sz w:val="32"/>
    </w:rPr>
  </w:style>
  <w:style w:type="paragraph" w:customStyle="1" w:styleId="CodeBlock">
    <w:name w:val="Code Block"/>
    <w:basedOn w:val="BodyText"/>
    <w:uiPriority w:val="1"/>
    <w:qFormat/>
    <w:rsid w:val="00511235"/>
    <w:pPr>
      <w:shd w:val="clear" w:color="auto" w:fill="F2F2F2" w:themeFill="background1" w:themeFillShade="F2"/>
      <w:contextualSpacing/>
    </w:pPr>
    <w:rPr>
      <w:rFonts w:ascii="Courier New" w:hAnsi="Courier New"/>
      <w:noProof/>
      <w:sz w:val="16"/>
    </w:rPr>
  </w:style>
  <w:style w:type="character" w:customStyle="1" w:styleId="InlineCode">
    <w:name w:val="Inline Code"/>
    <w:basedOn w:val="DefaultParagraphFont"/>
    <w:uiPriority w:val="1"/>
    <w:rsid w:val="0000138F"/>
    <w:rPr>
      <w:rFonts w:ascii="Courier New" w:hAnsi="Courier New"/>
      <w:sz w:val="18"/>
    </w:rPr>
  </w:style>
  <w:style w:type="character" w:customStyle="1" w:styleId="InlineUI">
    <w:name w:val="Inline UI"/>
    <w:basedOn w:val="DefaultParagraphFont"/>
    <w:uiPriority w:val="1"/>
    <w:rsid w:val="0000138F"/>
    <w:rPr>
      <w:rFonts w:ascii="Metropolis Semi Bold" w:hAnsi="Metropolis Semi Bold"/>
      <w:sz w:val="20"/>
    </w:rPr>
  </w:style>
  <w:style w:type="character" w:customStyle="1" w:styleId="InlineCite">
    <w:name w:val="Inline Cite"/>
    <w:basedOn w:val="DefaultParagraphFont"/>
    <w:uiPriority w:val="1"/>
    <w:rsid w:val="00322AFC"/>
    <w:rPr>
      <w:rFonts w:ascii="Arial" w:hAnsi="Arial"/>
      <w:i/>
      <w:sz w:val="20"/>
    </w:rPr>
  </w:style>
  <w:style w:type="paragraph" w:styleId="ListBullet">
    <w:name w:val="List Bullet"/>
    <w:basedOn w:val="BodyText"/>
    <w:uiPriority w:val="99"/>
    <w:unhideWhenUsed/>
    <w:rsid w:val="006A1B38"/>
    <w:pPr>
      <w:numPr>
        <w:numId w:val="1"/>
      </w:numPr>
    </w:pPr>
  </w:style>
  <w:style w:type="character" w:customStyle="1" w:styleId="BodyTextChar">
    <w:name w:val="Body Text Char"/>
    <w:basedOn w:val="DefaultParagraphFont"/>
    <w:link w:val="BodyText"/>
    <w:uiPriority w:val="1"/>
    <w:rsid w:val="00263AA1"/>
    <w:rPr>
      <w:rFonts w:ascii="Metropolis" w:eastAsia="Metropolis" w:hAnsi="Metropolis" w:cs="Metropolis"/>
      <w:sz w:val="20"/>
      <w:szCs w:val="20"/>
    </w:rPr>
  </w:style>
  <w:style w:type="paragraph" w:styleId="ListNumber">
    <w:name w:val="List Number"/>
    <w:basedOn w:val="BodyText"/>
    <w:uiPriority w:val="99"/>
    <w:semiHidden/>
    <w:unhideWhenUsed/>
    <w:rsid w:val="00AC4135"/>
    <w:pPr>
      <w:numPr>
        <w:numId w:val="2"/>
      </w:numPr>
    </w:pPr>
  </w:style>
  <w:style w:type="paragraph" w:styleId="List">
    <w:name w:val="List"/>
    <w:basedOn w:val="Normal"/>
    <w:uiPriority w:val="99"/>
    <w:semiHidden/>
    <w:unhideWhenUsed/>
    <w:rsid w:val="00AC4BAD"/>
    <w:pPr>
      <w:ind w:left="360" w:hanging="360"/>
    </w:pPr>
  </w:style>
  <w:style w:type="paragraph" w:customStyle="1" w:styleId="FigureTitle">
    <w:name w:val="Figure Title"/>
    <w:basedOn w:val="TableTitle"/>
    <w:uiPriority w:val="1"/>
    <w:qFormat/>
    <w:rsid w:val="008D76CF"/>
  </w:style>
  <w:style w:type="character" w:customStyle="1" w:styleId="NoteLeadernote">
    <w:name w:val="NoteLeader_note"/>
    <w:basedOn w:val="DefaultParagraphFont"/>
    <w:uiPriority w:val="1"/>
    <w:rsid w:val="000B2CE0"/>
    <w:rPr>
      <w:b/>
      <w:color w:val="004A90"/>
    </w:rPr>
  </w:style>
  <w:style w:type="character" w:customStyle="1" w:styleId="NoteLeadercaution">
    <w:name w:val="NoteLeader_caution"/>
    <w:basedOn w:val="DefaultParagraphFont"/>
    <w:uiPriority w:val="1"/>
    <w:rsid w:val="000B2CE0"/>
    <w:rPr>
      <w:b/>
      <w:color w:val="F79A1C"/>
    </w:rPr>
  </w:style>
  <w:style w:type="character" w:customStyle="1" w:styleId="NoteLeaderimportant">
    <w:name w:val="NoteLeader_important"/>
    <w:basedOn w:val="DefaultParagraphFont"/>
    <w:uiPriority w:val="1"/>
    <w:rsid w:val="000B2CE0"/>
    <w:rPr>
      <w:b/>
      <w:color w:val="337221"/>
    </w:rPr>
  </w:style>
  <w:style w:type="character" w:customStyle="1" w:styleId="InlineVar">
    <w:name w:val="Inline Var"/>
    <w:basedOn w:val="DefaultParagraphFont"/>
    <w:uiPriority w:val="1"/>
    <w:rsid w:val="003C677C"/>
    <w:rPr>
      <w:i/>
    </w:rPr>
  </w:style>
  <w:style w:type="paragraph" w:customStyle="1" w:styleId="ditaDT">
    <w:name w:val="ditaDT"/>
    <w:basedOn w:val="BodyText"/>
    <w:uiPriority w:val="1"/>
    <w:qFormat/>
    <w:rsid w:val="005C52D9"/>
    <w:rPr>
      <w:b/>
    </w:rPr>
  </w:style>
  <w:style w:type="paragraph" w:customStyle="1" w:styleId="ditaDD">
    <w:name w:val="ditaDD"/>
    <w:basedOn w:val="BodyText"/>
    <w:uiPriority w:val="1"/>
    <w:qFormat/>
    <w:rsid w:val="00736818"/>
  </w:style>
  <w:style w:type="paragraph" w:customStyle="1" w:styleId="BodyTextTitle">
    <w:name w:val="Body Text Title"/>
    <w:basedOn w:val="BodyText"/>
    <w:uiPriority w:val="1"/>
    <w:qFormat/>
    <w:rsid w:val="00DC1BEA"/>
    <w:rPr>
      <w:b/>
    </w:rPr>
  </w:style>
  <w:style w:type="character" w:customStyle="1" w:styleId="Heading3Char">
    <w:name w:val="Heading 3 Char"/>
    <w:basedOn w:val="DefaultParagraphFont"/>
    <w:link w:val="Heading3"/>
    <w:uiPriority w:val="9"/>
    <w:rsid w:val="00D43171"/>
    <w:rPr>
      <w:rFonts w:ascii="Arial" w:hAnsi="Arial" w:eastAsiaTheme="majorEastAsia" w:cstheme="majorBidi"/>
      <w:sz w:val="24"/>
      <w:szCs w:val="24"/>
    </w:rPr>
  </w:style>
  <w:style w:type="paragraph" w:customStyle="1" w:styleId="SectionHeading2">
    <w:name w:val="Section Heading 2"/>
    <w:basedOn w:val="Heading2"/>
    <w:uiPriority w:val="1"/>
    <w:qFormat/>
    <w:rsid w:val="00317810"/>
    <w:rPr>
      <w:bCs/>
      <w:noProof/>
    </w:rPr>
  </w:style>
  <w:style w:type="paragraph" w:customStyle="1" w:styleId="SectionHeading3">
    <w:name w:val="Section Heading 3"/>
    <w:basedOn w:val="Heading3"/>
    <w:uiPriority w:val="1"/>
    <w:qFormat/>
    <w:rsid w:val="00542050"/>
  </w:style>
  <w:style w:type="paragraph" w:customStyle="1" w:styleId="SectionHeading4">
    <w:name w:val="Section Heading 4"/>
    <w:basedOn w:val="Heading4"/>
    <w:uiPriority w:val="1"/>
    <w:qFormat/>
    <w:rsid w:val="001B6182"/>
    <w:rPr>
      <w:bCs/>
      <w:noProof/>
    </w:rPr>
  </w:style>
  <w:style w:type="character" w:customStyle="1" w:styleId="Heading4Char">
    <w:name w:val="Heading 4 Char"/>
    <w:basedOn w:val="DefaultParagraphFont"/>
    <w:link w:val="Heading4"/>
    <w:uiPriority w:val="9"/>
    <w:rsid w:val="00D43171"/>
    <w:rPr>
      <w:rFonts w:ascii="Arial" w:hAnsi="Arial" w:eastAsiaTheme="majorEastAsia" w:cstheme="majorBidi"/>
      <w:iCs/>
    </w:rPr>
  </w:style>
  <w:style w:type="paragraph" w:customStyle="1" w:styleId="SectionHeading5">
    <w:name w:val="Section Heading 5"/>
    <w:basedOn w:val="Heading5"/>
    <w:uiPriority w:val="1"/>
    <w:qFormat/>
    <w:rsid w:val="00736818"/>
  </w:style>
  <w:style w:type="paragraph" w:customStyle="1" w:styleId="SectionHeading6">
    <w:name w:val="Section Heading 6"/>
    <w:basedOn w:val="Heading6"/>
    <w:uiPriority w:val="1"/>
    <w:qFormat/>
    <w:rsid w:val="00317810"/>
  </w:style>
  <w:style w:type="character" w:customStyle="1" w:styleId="Heading5Char">
    <w:name w:val="Heading 5 Char"/>
    <w:basedOn w:val="DefaultParagraphFont"/>
    <w:link w:val="Heading5"/>
    <w:uiPriority w:val="9"/>
    <w:rsid w:val="00D43171"/>
    <w:rPr>
      <w:rFonts w:ascii="Arial" w:hAnsi="Arial" w:eastAsiaTheme="majorEastAsia" w:cstheme="majorBidi"/>
    </w:rPr>
  </w:style>
  <w:style w:type="paragraph" w:customStyle="1" w:styleId="SectionHeading7">
    <w:name w:val="Section Heading 7"/>
    <w:basedOn w:val="Heading7"/>
    <w:uiPriority w:val="1"/>
    <w:qFormat/>
    <w:rsid w:val="00317810"/>
  </w:style>
  <w:style w:type="character" w:customStyle="1" w:styleId="Heading6Char">
    <w:name w:val="Heading 6 Char"/>
    <w:basedOn w:val="DefaultParagraphFont"/>
    <w:link w:val="Heading6"/>
    <w:uiPriority w:val="9"/>
    <w:rsid w:val="00D43171"/>
    <w:rPr>
      <w:rFonts w:ascii="Arial" w:hAnsi="Arial" w:eastAsiaTheme="majorEastAsia" w:cstheme="majorBidi"/>
    </w:rPr>
  </w:style>
  <w:style w:type="paragraph" w:customStyle="1" w:styleId="SectionHeading8">
    <w:name w:val="Section Heading 8"/>
    <w:basedOn w:val="Heading8"/>
    <w:uiPriority w:val="1"/>
    <w:qFormat/>
    <w:rsid w:val="00736818"/>
  </w:style>
  <w:style w:type="character" w:customStyle="1" w:styleId="Heading7Char">
    <w:name w:val="Heading 7 Char"/>
    <w:basedOn w:val="DefaultParagraphFont"/>
    <w:link w:val="Heading7"/>
    <w:uiPriority w:val="9"/>
    <w:rsid w:val="00D43171"/>
    <w:rPr>
      <w:rFonts w:ascii="Arial" w:hAnsi="Arial" w:eastAsiaTheme="majorEastAsia" w:cstheme="majorBidi"/>
      <w:iCs/>
    </w:rPr>
  </w:style>
  <w:style w:type="paragraph" w:customStyle="1" w:styleId="SectionHeading9">
    <w:name w:val="Section Heading 9"/>
    <w:basedOn w:val="Heading9"/>
    <w:uiPriority w:val="1"/>
    <w:qFormat/>
    <w:rsid w:val="001B6182"/>
  </w:style>
  <w:style w:type="character" w:customStyle="1" w:styleId="Heading8Char">
    <w:name w:val="Heading 8 Char"/>
    <w:basedOn w:val="DefaultParagraphFont"/>
    <w:link w:val="Heading8"/>
    <w:uiPriority w:val="9"/>
    <w:rsid w:val="00D43171"/>
    <w:rPr>
      <w:rFonts w:ascii="Arial" w:hAnsi="Arial" w:eastAsiaTheme="majorEastAsia" w:cstheme="majorBidi"/>
      <w:sz w:val="21"/>
      <w:szCs w:val="21"/>
    </w:rPr>
  </w:style>
  <w:style w:type="character" w:customStyle="1" w:styleId="Heading9Char">
    <w:name w:val="Heading 9 Char"/>
    <w:basedOn w:val="DefaultParagraphFont"/>
    <w:link w:val="Heading9"/>
    <w:uiPriority w:val="9"/>
    <w:rsid w:val="00D43171"/>
    <w:rPr>
      <w:rFonts w:ascii="Arial" w:hAnsi="Arial" w:eastAsiaTheme="majorEastAsia" w:cstheme="majorBidi"/>
      <w:iCs/>
      <w:sz w:val="21"/>
      <w:szCs w:val="21"/>
    </w:rPr>
  </w:style>
  <w:style w:type="character" w:styleId="Strong">
    <w:name w:val="Strong"/>
    <w:basedOn w:val="DefaultParagraphFont"/>
    <w:uiPriority w:val="22"/>
    <w:qFormat/>
    <w:rsid w:val="00506D7A"/>
    <w:rPr>
      <w:b/>
      <w:bCs/>
    </w:rPr>
  </w:style>
  <w:style w:type="paragraph" w:styleId="ListBullet2">
    <w:name w:val="List Bullet 2"/>
    <w:basedOn w:val="Normal"/>
    <w:uiPriority w:val="99"/>
    <w:rsid w:val="0041372D"/>
    <w:pPr>
      <w:numPr>
        <w:numId w:val="4"/>
      </w:numPr>
      <w:contextualSpacing/>
    </w:pPr>
  </w:style>
  <w:style w:type="paragraph" w:styleId="ListNumber2">
    <w:name w:val="List Number 2"/>
    <w:basedOn w:val="Normal"/>
    <w:uiPriority w:val="99"/>
    <w:rsid w:val="0041372D"/>
    <w:pPr>
      <w:numPr>
        <w:numId w:val="6"/>
      </w:numPr>
      <w:contextualSpacing/>
    </w:pPr>
  </w:style>
  <w:style w:type="paragraph" w:styleId="ListBullet3">
    <w:name w:val="List Bullet 3"/>
    <w:basedOn w:val="Normal"/>
    <w:uiPriority w:val="99"/>
    <w:rsid w:val="0041372D"/>
    <w:pPr>
      <w:numPr>
        <w:numId w:val="5"/>
      </w:numPr>
      <w:contextualSpacing/>
    </w:pPr>
  </w:style>
  <w:style w:type="paragraph" w:styleId="ListNumber3">
    <w:name w:val="List Number 3"/>
    <w:basedOn w:val="Normal"/>
    <w:uiPriority w:val="99"/>
    <w:rsid w:val="0041372D"/>
    <w:pPr>
      <w:numPr>
        <w:numId w:val="7"/>
      </w:numPr>
      <w:contextualSpacing/>
    </w:pPr>
  </w:style>
  <w:style w:type="character" w:styleId="IntenseReference">
    <w:name w:val="Intense Reference"/>
    <w:basedOn w:val="DefaultParagraphFont"/>
    <w:uiPriority w:val="32"/>
    <w:qFormat/>
    <w:rsid w:val="000B2CE0"/>
    <w:rPr>
      <w:b/>
      <w:bCs/>
      <w:smallCaps/>
      <w:color w:val="4F81BD" w:themeColor="accent1"/>
      <w:spacing w:val="5"/>
    </w:rPr>
  </w:style>
  <w:style w:type="character" w:customStyle="1" w:styleId="NoteLeaderconsultant">
    <w:name w:val="NoteLeader_consultant"/>
    <w:basedOn w:val="DefaultParagraphFont"/>
    <w:uiPriority w:val="1"/>
    <w:rsid w:val="00C11E16"/>
    <w:rPr>
      <w:b/>
      <w:color w:val="F79A1C"/>
    </w:rPr>
  </w:style>
  <w:style w:type="character" w:customStyle="1" w:styleId="NoteLeaderarchitect">
    <w:name w:val="NoteLeader_architect"/>
    <w:basedOn w:val="NoteLeaderconsultant"/>
    <w:uiPriority w:val="1"/>
    <w:rsid w:val="00004558"/>
    <w:rPr>
      <w:b/>
      <w:color w:val="F79A1C"/>
    </w:rPr>
  </w:style>
  <w:style w:type="character" w:customStyle="1" w:styleId="NoteLeaderpse-architect">
    <w:name w:val="NoteLeader_pse-architect"/>
    <w:basedOn w:val="DefaultParagraphFont"/>
    <w:uiPriority w:val="1"/>
    <w:rsid w:val="00004558"/>
    <w:rPr>
      <w:b/>
      <w:color w:val="FF0000"/>
    </w:rPr>
  </w:style>
  <w:style w:type="paragraph" w:customStyle="1" w:styleId="TableHeaderText">
    <w:name w:val="Table Header Text"/>
    <w:basedOn w:val="TableBodyText"/>
    <w:uiPriority w:val="1"/>
    <w:qFormat/>
    <w:rsid w:val="00F117EE"/>
    <w:rPr>
      <w:b/>
    </w:rPr>
  </w:style>
  <w:style w:type="paragraph" w:customStyle="1" w:styleId="BodyTextNote">
    <w:name w:val="Body Text Note"/>
    <w:basedOn w:val="BodyText"/>
    <w:uiPriority w:val="1"/>
    <w:qFormat/>
    <w:rsid w:val="005D2C29"/>
    <w:pPr>
      <w:tabs>
        <w:tab w:val="left" w:pos="1800"/>
      </w:tabs>
    </w:pPr>
  </w:style>
  <w:style w:type="character" w:customStyle="1" w:styleId="TDXLink">
    <w:name w:val="TDX Link"/>
    <w:basedOn w:val="DefaultParagraphFont"/>
    <w:uiPriority w:val="1"/>
    <w:qFormat/>
    <w:rsid w:val="005A0902"/>
    <w:rPr>
      <w:color w:val="0070C0"/>
      <w:u w:val="single"/>
    </w:rPr>
  </w:style>
  <w:style w:type="character" w:customStyle="1" w:styleId="InlineBold">
    <w:name w:val="Inline Bold"/>
    <w:uiPriority w:val="1"/>
    <w:rsid w:val="00FA288B"/>
    <w:rPr>
      <w:rFonts w:cs="Arial"/>
      <w:b/>
    </w:rPr>
  </w:style>
  <w:style w:type="character" w:customStyle="1" w:styleId="InlineItalic">
    <w:name w:val="Inline Italic"/>
    <w:uiPriority w:val="1"/>
    <w:rsid w:val="00FA288B"/>
    <w:rPr>
      <w:rFonts w:cs="Arial"/>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techdocs.broadcom.com/us/en/vmware-cis/vcf/vcf-9-0-and-later/9-0/deployment.html" TargetMode="External"/><Relationship Id="rId18" Type="http://schemas.openxmlformats.org/officeDocument/2006/relationships/hyperlink" Target="https://techdocs.broadcom.com/us/en/vmware-cis/vcf/vcf-9-0-and-later/9-0/lifecycle-management.html" TargetMode="External"/><Relationship Id="rId26" Type="http://schemas.openxmlformats.org/officeDocument/2006/relationships/footer" Target="footer1.xml"/><Relationship Id="rId8" Type="http://schemas.openxmlformats.org/officeDocument/2006/relationships/image" Target="media/image3.png"/><Relationship Id="rId21" Type="http://schemas.openxmlformats.org/officeDocument/2006/relationships/hyperlink" Target="https://techdocs.broadcom.com/us/en/vmware-cis/vcf/vcf-9-0-and-later/9-0/workload-monitoring-and-observability.html" TargetMode="External"/><Relationship Id="rId3" Type="http://schemas.openxmlformats.org/officeDocument/2006/relationships/fontTable" Target="fontTable.xml"/><Relationship Id="rId12" Type="http://schemas.openxmlformats.org/officeDocument/2006/relationships/hyperlink" Target="https://techdocs.broadcom.com/us/en/vmware-cis/vcf/vcf-9-0-and-later/9-0/design.html" TargetMode="External"/><Relationship Id="rId17" Type="http://schemas.openxmlformats.org/officeDocument/2006/relationships/hyperlink" Target="https://techdocs.broadcom.com/us/en/vmware-cis/vcf/vcf-9-0-and-later/9-0/advanced-network-management.html" TargetMode="External"/><Relationship Id="rId25" Type="http://schemas.openxmlformats.org/officeDocument/2006/relationships/header" Target="header1.xml"/><Relationship Id="rId7" Type="http://schemas.openxmlformats.org/officeDocument/2006/relationships/hyperlink" Target="http://www.vmware.com/" TargetMode="External"/><Relationship Id="rId16" Type="http://schemas.openxmlformats.org/officeDocument/2006/relationships/hyperlink" Target="https://techdocs.broadcom.com/us/en/vmware-cis/vcf/vcf-9-0-and-later/9-0/vsan-deployment-administration-and-monitoring.html" TargetMode="External"/><Relationship Id="rId2" Type="http://schemas.openxmlformats.org/officeDocument/2006/relationships/webSettings" Target="webSettings.xml"/><Relationship Id="rId20" Type="http://schemas.openxmlformats.org/officeDocument/2006/relationships/hyperlink" Target="https://techdocs.broadcom.com/us/en/vmware-cis/vcf/vcf-9-0-and-later/9-0/infrastructure-operations.html" TargetMode="External"/><Relationship Id="rId29" Type="http://schemas.openxmlformats.org/officeDocument/2006/relationships/styles" Target="styles.xml"/><Relationship Id="rId1" Type="http://schemas.openxmlformats.org/officeDocument/2006/relationships/settings" Target="settings.xml"/><Relationship Id="rId11" Type="http://schemas.openxmlformats.org/officeDocument/2006/relationships/hyperlink" Target="https://techdocs.broadcom.com/content/dam/broadcom/techdocs/us/en/assets/vmware-cis/vcf/vcf-9.0-planning-and-preparation-workbook.xlsx" TargetMode="External"/><Relationship Id="rId24" Type="http://schemas.openxmlformats.org/officeDocument/2006/relationships/hyperlink" Target="https://developer.broadcom.com/xapis/vmware-cloud-foundation-api/latest/" TargetMode="External"/><Relationship Id="rId6" Type="http://schemas.openxmlformats.org/officeDocument/2006/relationships/hyperlink" Target="https://techdocs.broadcom.com/" TargetMode="External"/><Relationship Id="rId32" Type="http://schemas.openxmlformats.org/officeDocument/2006/relationships/customXml" Target="../customXml/item3.xml"/><Relationship Id="rId15" Type="http://schemas.openxmlformats.org/officeDocument/2006/relationships/hyperlink" Target="https://techdocs.broadcom.com/us/en/vmware-cis/vcf/vcf-9-0-and-later/9-0/vsphere-in-vcf.html" TargetMode="External"/><Relationship Id="rId23" Type="http://schemas.openxmlformats.org/officeDocument/2006/relationships/hyperlink" Target="https://techdocs.broadcom.com/us/en/vmware-cis/vcf/vcf-9-0-and-later/9-0/security-and-compliance.html" TargetMode="External"/><Relationship Id="rId28" Type="http://schemas.openxmlformats.org/officeDocument/2006/relationships/numbering" Target="numbering.xml"/><Relationship Id="rId5" Type="http://schemas.openxmlformats.org/officeDocument/2006/relationships/image" Target="media/image2.png"/><Relationship Id="rId10" Type="http://schemas.openxmlformats.org/officeDocument/2006/relationships/hyperlink" Target="https://techdocs.broadcom.com/us/en/vmware-cis/vcf/vcf-9-0-and-later/9-0/release-notes.html" TargetMode="External"/><Relationship Id="rId19" Type="http://schemas.openxmlformats.org/officeDocument/2006/relationships/hyperlink" Target="https://techdocs.broadcom.com/us/en/vmware-cis/vcf/vcf-9-0-and-later/9-0/fleet-management.html" TargetMode="External"/><Relationship Id="rId31" Type="http://schemas.openxmlformats.org/officeDocument/2006/relationships/customXml" Target="../customXml/item2.xml"/><Relationship Id="rId14" Type="http://schemas.openxmlformats.org/officeDocument/2006/relationships/hyperlink" Target="https://techdocs.broadcom.com/us/en/vmware-cis/vcf/vcf-9-0-and-later/9-0/building-your-private-cloud-infrastructure.html" TargetMode="External"/><Relationship Id="rId22" Type="http://schemas.openxmlformats.org/officeDocument/2006/relationships/hyperlink" Target="https://techdocs.broadcom.com/us/en/vmware-cis/vcf/vcf-9-0-and-later/9-0/vsphere-supervisor-installation-and-configuration.html" TargetMode="External"/><Relationship Id="rId27"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hyperlink" Target="https://techdocs.broadcom.com/us/en/vmware-cis/vcf/vcf-9-0-and-later/9-0.html" TargetMode="External"/><Relationship Id="rId30" Type="http://schemas.openxmlformats.org/officeDocument/2006/relationships/customXml" Target="../customXml/item1.xml"/></Relationships>
</file>

<file path=word/_rels/header1.xml.rels><?xml version="1.0" encoding="utf-8" standalone="yes"?><Relationships xmlns="http://schemas.openxmlformats.org/package/2006/relationships"><Relationship Id="rId1"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8D0C854358DC418D143DF91B0F9F69" ma:contentTypeVersion="25" ma:contentTypeDescription="Create a new document." ma:contentTypeScope="" ma:versionID="86d1ae78601d406bc59f7b48175c4925">
  <xsd:schema xmlns:xsd="http://www.w3.org/2001/XMLSchema" xmlns:xs="http://www.w3.org/2001/XMLSchema" xmlns:p="http://schemas.microsoft.com/office/2006/metadata/properties" xmlns:ns1="http://schemas.microsoft.com/sharepoint/v3" xmlns:ns2="ff83b573-1131-4ec9-87e0-8de43cb2141f" xmlns:ns3="b91cd729-8792-47cd-b03b-259374444807" xmlns:ns4="78c16552-cbf3-4f1f-97ed-388b5d2a083d" targetNamespace="http://schemas.microsoft.com/office/2006/metadata/properties" ma:root="true" ma:fieldsID="87232950fb7e83d3727f6e525efdb9c3" ns1:_="" ns2:_="" ns3:_="" ns4:_="">
    <xsd:import namespace="http://schemas.microsoft.com/sharepoint/v3"/>
    <xsd:import namespace="ff83b573-1131-4ec9-87e0-8de43cb2141f"/>
    <xsd:import namespace="b91cd729-8792-47cd-b03b-259374444807"/>
    <xsd:import namespace="78c16552-cbf3-4f1f-97ed-388b5d2a083d"/>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83b573-1131-4ec9-87e0-8de43cb2141f"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35e516c6-d7bc-4be5-8458-55365016f2b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Location" ma:index="3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cd729-8792-47cd-b03b-25937444480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c16552-cbf3-4f1f-97ed-388b5d2a083d"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62e8767f-5054-4ecc-a981-a992a2f0e90f}" ma:internalName="TaxCatchAll" ma:showField="CatchAllData" ma:web="78c16552-cbf3-4f1f-97ed-388b5d2a08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SecurityGroups xmlns="ff83b573-1131-4ec9-87e0-8de43cb2141f" xsi:nil="true"/>
    <_ip_UnifiedCompliancePolicyUIAction xmlns="http://schemas.microsoft.com/sharepoint/v3" xsi:nil="true"/>
    <MigrationWizIdPermissions xmlns="ff83b573-1131-4ec9-87e0-8de43cb2141f" xsi:nil="true"/>
    <MigrationWizId xmlns="ff83b573-1131-4ec9-87e0-8de43cb2141f" xsi:nil="true"/>
    <TaxCatchAll xmlns="78c16552-cbf3-4f1f-97ed-388b5d2a083d" xsi:nil="true"/>
    <MigrationWizIdDocumentLibraryPermissions xmlns="ff83b573-1131-4ec9-87e0-8de43cb2141f" xsi:nil="true"/>
    <_ip_UnifiedCompliancePolicyProperties xmlns="http://schemas.microsoft.com/sharepoint/v3" xsi:nil="true"/>
    <lcf76f155ced4ddcb4097134ff3c332f xmlns="ff83b573-1131-4ec9-87e0-8de43cb2141f">
      <Terms xmlns="http://schemas.microsoft.com/office/infopath/2007/PartnerControls"/>
    </lcf76f155ced4ddcb4097134ff3c332f>
    <MigrationWizIdPermissionLevels xmlns="ff83b573-1131-4ec9-87e0-8de43cb2141f" xsi:nil="true"/>
  </documentManagement>
</p:properties>
</file>

<file path=customXml/itemProps1.xml><?xml version="1.0" encoding="utf-8"?>
<ds:datastoreItem xmlns:ds="http://schemas.openxmlformats.org/officeDocument/2006/customXml" ds:itemID="{704D2976-22B6-4380-A378-8956A66FE748}"/>
</file>

<file path=customXml/itemProps2.xml><?xml version="1.0" encoding="utf-8"?>
<ds:datastoreItem xmlns:ds="http://schemas.openxmlformats.org/officeDocument/2006/customXml" ds:itemID="{B44793E6-77AA-462A-BA31-6CD2C5697411}"/>
</file>

<file path=customXml/itemProps3.xml><?xml version="1.0" encoding="utf-8"?>
<ds:datastoreItem xmlns:ds="http://schemas.openxmlformats.org/officeDocument/2006/customXml" ds:itemID="{728C3AFD-8EA6-4228-96A2-93EE0ACED8C9}"/>
</file>

<file path=docProps/app.xml><?xml version="1.0" encoding="utf-8"?>
<Properties xmlns="http://schemas.openxmlformats.org/officeDocument/2006/extended-properties" xmlns:vt="http://schemas.openxmlformats.org/officeDocument/2006/docPropsVTypes">
  <Template>Normal.dotm</Template>
  <TotalTime>157</TotalTime>
  <Pages>10</Pages>
  <Words>80</Words>
  <Characters>459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VMware Pro Cloud Service for Private Cloud Infrastructure - VMware Cloud Foundation Operations for logs Installation and Configuration Procedures 9.0</dc:title>
  <dc:creator>VMware, Inc.</dc:creator>
  <cp:lastModifiedBy>Greg Kalten</cp:lastModifiedBy>
  <cp:revision>55</cp:revision>
  <dcterms:created xsi:type="dcterms:W3CDTF">2022-05-31T18:02:00Z</dcterms:created>
  <dcterms:modified xsi:type="dcterms:W3CDTF">2026-05-01T16:49:00Z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2021-08-06T00:00:00Z</vt:filetime>
  </property>
  <property fmtid="{D5CDD505-2E9C-101B-9397-08002B2CF9AE}" pid="3" name="Creator">
    <vt:lpwstr>AH XSL Formatter V7.1 MR2 for Windows (x64) : 7.1.3.50324 (2021-04-26T09:47+09)</vt:lpwstr>
  </property>
  <property fmtid="{D5CDD505-2E9C-101B-9397-08002B2CF9AE}" pid="4" name="LastSaved">
    <vt:filetime>2021-10-27T00:00:00Z</vt:filetime>
  </property>
  <property fmtid="{D5CDD505-2E9C-101B-9397-08002B2CF9AE}" pid="5" name="ContentTypeId">
    <vt:lpwstr>0x010100D88D0C854358DC418D143DF91B0F9F69</vt:lpwstr>
  </property>
</Properties>
</file>