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 for Private Cloud Infrastructure - VMware Cloud Foundation Operations for logs Design 9.0</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662336"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30"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_Toc256000030 \h </w:instrText>
        </w:r>
        <w:r>
          <w:fldChar w:fldCharType="separate"/>
        </w:r>
        <w:r>
          <w:t>4</w:t>
        </w:r>
        <w:r>
          <w:fldChar w:fldCharType="end"/>
        </w:r>
      </w:hyperlink>
    </w:p>
    <w:p>
      <w:pPr>
        <w:pStyle w:val="TOC1"/>
        <w:rPr>
          <w:rFonts w:asciiTheme="minorHAnsi" w:hAnsiTheme="minorHAnsi"/>
          <w:noProof/>
          <w:sz w:val="22"/>
        </w:rPr>
      </w:pPr>
      <w:hyperlink w:anchor="_Toc256000031" w:history="1">
        <w:r>
          <w:rPr>
            <w:rStyle w:val="Hyperlink"/>
          </w:rPr>
          <w:t>2.</w:t>
        </w:r>
        <w:r>
          <w:rPr>
            <w:rFonts w:asciiTheme="minorHAnsi" w:hAnsiTheme="minorHAnsi"/>
            <w:noProof/>
            <w:sz w:val="22"/>
          </w:rPr>
          <w:tab/>
        </w:r>
        <w:r>
          <w:rPr>
            <w:rStyle w:val="Hyperlink"/>
          </w:rPr>
          <w:t>Document Overview</w:t>
        </w:r>
        <w:r>
          <w:tab/>
        </w:r>
        <w:r>
          <w:fldChar w:fldCharType="begin"/>
        </w:r>
        <w:r>
          <w:instrText xml:space="preserve"> PAGEREF _Toc256000031 \h </w:instrText>
        </w:r>
        <w:r>
          <w:fldChar w:fldCharType="separate"/>
        </w:r>
        <w:r>
          <w:t>5</w:t>
        </w:r>
        <w:r>
          <w:fldChar w:fldCharType="end"/>
        </w:r>
      </w:hyperlink>
    </w:p>
    <w:p>
      <w:pPr>
        <w:pStyle w:val="TOC2"/>
        <w:rPr>
          <w:rFonts w:asciiTheme="minorHAnsi" w:hAnsiTheme="minorHAnsi"/>
          <w:noProof/>
          <w:sz w:val="22"/>
        </w:rPr>
      </w:pPr>
      <w:hyperlink w:anchor="_Toc256000032" w:history="1">
        <w:r>
          <w:rPr>
            <w:rStyle w:val="Hyperlink"/>
          </w:rPr>
          <w:t>Executive Summary</w:t>
        </w:r>
        <w:r>
          <w:tab/>
        </w:r>
        <w:r>
          <w:fldChar w:fldCharType="begin"/>
        </w:r>
        <w:r>
          <w:instrText xml:space="preserve"> PAGEREF _Toc256000032 \h </w:instrText>
        </w:r>
        <w:r>
          <w:fldChar w:fldCharType="separate"/>
        </w:r>
        <w:r>
          <w:t>5</w:t>
        </w:r>
        <w:r>
          <w:fldChar w:fldCharType="end"/>
        </w:r>
      </w:hyperlink>
    </w:p>
    <w:p>
      <w:pPr>
        <w:pStyle w:val="TOC2"/>
        <w:rPr>
          <w:rFonts w:asciiTheme="minorHAnsi" w:hAnsiTheme="minorHAnsi"/>
          <w:noProof/>
          <w:sz w:val="22"/>
        </w:rPr>
      </w:pPr>
      <w:hyperlink w:anchor="_Toc256000033" w:history="1">
        <w:r>
          <w:rPr>
            <w:rStyle w:val="Hyperlink"/>
          </w:rPr>
          <w:t>Document Focus</w:t>
        </w:r>
        <w:r>
          <w:tab/>
        </w:r>
        <w:r>
          <w:fldChar w:fldCharType="begin"/>
        </w:r>
        <w:r>
          <w:instrText xml:space="preserve"> PAGEREF _Toc256000033 \h </w:instrText>
        </w:r>
        <w:r>
          <w:fldChar w:fldCharType="separate"/>
        </w:r>
        <w:r>
          <w:t>5</w:t>
        </w:r>
        <w:r>
          <w:fldChar w:fldCharType="end"/>
        </w:r>
      </w:hyperlink>
    </w:p>
    <w:p>
      <w:pPr>
        <w:pStyle w:val="TOC3"/>
        <w:rPr>
          <w:rFonts w:asciiTheme="minorHAnsi" w:hAnsiTheme="minorHAnsi"/>
          <w:noProof/>
          <w:sz w:val="22"/>
        </w:rPr>
      </w:pPr>
      <w:hyperlink w:anchor="_Toc256000034" w:history="1">
        <w:r>
          <w:rPr>
            <w:rStyle w:val="Hyperlink"/>
          </w:rPr>
          <w:t>Physical Design</w:t>
        </w:r>
        <w:r>
          <w:tab/>
        </w:r>
        <w:r>
          <w:fldChar w:fldCharType="begin"/>
        </w:r>
        <w:r>
          <w:instrText xml:space="preserve"> PAGEREF _Toc256000034 \h </w:instrText>
        </w:r>
        <w:r>
          <w:fldChar w:fldCharType="separate"/>
        </w:r>
        <w:r>
          <w:t>5</w:t>
        </w:r>
        <w:r>
          <w:fldChar w:fldCharType="end"/>
        </w:r>
      </w:hyperlink>
    </w:p>
    <w:p>
      <w:pPr>
        <w:pStyle w:val="TOC3"/>
        <w:rPr>
          <w:rFonts w:asciiTheme="minorHAnsi" w:hAnsiTheme="minorHAnsi"/>
          <w:noProof/>
          <w:sz w:val="22"/>
        </w:rPr>
      </w:pPr>
      <w:hyperlink w:anchor="_Toc256000035" w:history="1">
        <w:r>
          <w:rPr>
            <w:rStyle w:val="Hyperlink"/>
          </w:rPr>
          <w:t>Sizing Workbook</w:t>
        </w:r>
        <w:r>
          <w:tab/>
        </w:r>
        <w:r>
          <w:fldChar w:fldCharType="begin"/>
        </w:r>
        <w:r>
          <w:instrText xml:space="preserve"> PAGEREF _Toc256000035 \h </w:instrText>
        </w:r>
        <w:r>
          <w:fldChar w:fldCharType="separate"/>
        </w:r>
        <w:r>
          <w:t>6</w:t>
        </w:r>
        <w:r>
          <w:fldChar w:fldCharType="end"/>
        </w:r>
      </w:hyperlink>
    </w:p>
    <w:p>
      <w:pPr>
        <w:pStyle w:val="TOC3"/>
        <w:rPr>
          <w:rFonts w:asciiTheme="minorHAnsi" w:hAnsiTheme="minorHAnsi"/>
          <w:noProof/>
          <w:sz w:val="22"/>
        </w:rPr>
      </w:pPr>
      <w:hyperlink w:anchor="_Toc256000036" w:history="1">
        <w:r>
          <w:rPr>
            <w:rStyle w:val="Hyperlink"/>
          </w:rPr>
          <w:t>Naming Convention Document</w:t>
        </w:r>
        <w:r>
          <w:tab/>
        </w:r>
        <w:r>
          <w:fldChar w:fldCharType="begin"/>
        </w:r>
        <w:r>
          <w:instrText xml:space="preserve"> PAGEREF _Toc256000036 \h </w:instrText>
        </w:r>
        <w:r>
          <w:fldChar w:fldCharType="separate"/>
        </w:r>
        <w:r>
          <w:t>6</w:t>
        </w:r>
        <w:r>
          <w:fldChar w:fldCharType="end"/>
        </w:r>
      </w:hyperlink>
    </w:p>
    <w:p>
      <w:pPr>
        <w:pStyle w:val="TOC3"/>
        <w:rPr>
          <w:rFonts w:asciiTheme="minorHAnsi" w:hAnsiTheme="minorHAnsi"/>
          <w:noProof/>
          <w:sz w:val="22"/>
        </w:rPr>
      </w:pPr>
      <w:hyperlink w:anchor="_Toc256000037" w:history="1">
        <w:r>
          <w:rPr>
            <w:rStyle w:val="Hyperlink"/>
          </w:rPr>
          <w:t>Solution Specification Workbook(s)</w:t>
        </w:r>
        <w:r>
          <w:tab/>
        </w:r>
        <w:r>
          <w:fldChar w:fldCharType="begin"/>
        </w:r>
        <w:r>
          <w:instrText xml:space="preserve"> PAGEREF _Toc256000037 \h </w:instrText>
        </w:r>
        <w:r>
          <w:fldChar w:fldCharType="separate"/>
        </w:r>
        <w:r>
          <w:t>6</w:t>
        </w:r>
        <w:r>
          <w:fldChar w:fldCharType="end"/>
        </w:r>
      </w:hyperlink>
    </w:p>
    <w:p>
      <w:pPr>
        <w:pStyle w:val="TOC3"/>
        <w:rPr>
          <w:rFonts w:asciiTheme="minorHAnsi" w:hAnsiTheme="minorHAnsi"/>
          <w:noProof/>
          <w:sz w:val="22"/>
        </w:rPr>
      </w:pPr>
      <w:hyperlink w:anchor="_Toc256000038" w:history="1">
        <w:r>
          <w:rPr>
            <w:rStyle w:val="Hyperlink"/>
          </w:rPr>
          <w:t>Solution Verification Workbook(s)</w:t>
        </w:r>
        <w:r>
          <w:tab/>
        </w:r>
        <w:r>
          <w:fldChar w:fldCharType="begin"/>
        </w:r>
        <w:r>
          <w:instrText xml:space="preserve"> PAGEREF _Toc256000038 \h </w:instrText>
        </w:r>
        <w:r>
          <w:fldChar w:fldCharType="separate"/>
        </w:r>
        <w:r>
          <w:t>6</w:t>
        </w:r>
        <w:r>
          <w:fldChar w:fldCharType="end"/>
        </w:r>
      </w:hyperlink>
    </w:p>
    <w:p>
      <w:pPr>
        <w:pStyle w:val="TOC1"/>
        <w:rPr>
          <w:rFonts w:asciiTheme="minorHAnsi" w:hAnsiTheme="minorHAnsi"/>
          <w:noProof/>
          <w:sz w:val="22"/>
        </w:rPr>
      </w:pPr>
      <w:hyperlink w:anchor="_Toc256000039" w:history="1">
        <w:r>
          <w:rPr>
            <w:rStyle w:val="Hyperlink"/>
          </w:rPr>
          <w:t>3.</w:t>
        </w:r>
        <w:r>
          <w:rPr>
            <w:rFonts w:asciiTheme="minorHAnsi" w:hAnsiTheme="minorHAnsi"/>
            <w:noProof/>
            <w:sz w:val="22"/>
          </w:rPr>
          <w:tab/>
        </w:r>
        <w:r>
          <w:rPr>
            <w:rStyle w:val="Hyperlink"/>
          </w:rPr>
          <w:t>VMware Cloud Foundation Operations for Logs Design</w:t>
        </w:r>
        <w:r>
          <w:tab/>
        </w:r>
        <w:r>
          <w:fldChar w:fldCharType="begin"/>
        </w:r>
        <w:r>
          <w:instrText xml:space="preserve"> PAGEREF _Toc256000039 \h </w:instrText>
        </w:r>
        <w:r>
          <w:fldChar w:fldCharType="separate"/>
        </w:r>
        <w:r>
          <w:t>8</w:t>
        </w:r>
        <w:r>
          <w:fldChar w:fldCharType="end"/>
        </w:r>
      </w:hyperlink>
    </w:p>
    <w:p>
      <w:pPr>
        <w:pStyle w:val="TOC2"/>
        <w:rPr>
          <w:rFonts w:asciiTheme="minorHAnsi" w:hAnsiTheme="minorHAnsi"/>
          <w:noProof/>
          <w:sz w:val="22"/>
        </w:rPr>
      </w:pPr>
      <w:hyperlink w:anchor="_Toc256000040" w:history="1">
        <w:r>
          <w:rPr>
            <w:rStyle w:val="Hyperlink"/>
          </w:rPr>
          <w:t>Design Blueprints for VMware Cloud Foundation</w:t>
        </w:r>
        <w:r>
          <w:tab/>
        </w:r>
        <w:r>
          <w:fldChar w:fldCharType="begin"/>
        </w:r>
        <w:r>
          <w:instrText xml:space="preserve"> PAGEREF _Toc256000040 \h </w:instrText>
        </w:r>
        <w:r>
          <w:fldChar w:fldCharType="separate"/>
        </w:r>
        <w:r>
          <w:t>8</w:t>
        </w:r>
        <w:r>
          <w:fldChar w:fldCharType="end"/>
        </w:r>
      </w:hyperlink>
    </w:p>
    <w:p>
      <w:pPr>
        <w:pStyle w:val="TOC1"/>
        <w:rPr>
          <w:rFonts w:asciiTheme="minorHAnsi" w:hAnsiTheme="minorHAnsi"/>
          <w:noProof/>
          <w:sz w:val="22"/>
        </w:rPr>
      </w:pPr>
      <w:hyperlink w:anchor="_Toc256000041" w:history="1">
        <w:r>
          <w:rPr>
            <w:rStyle w:val="Hyperlink"/>
          </w:rPr>
          <w:t>4.</w:t>
        </w:r>
        <w:r>
          <w:rPr>
            <w:rFonts w:asciiTheme="minorHAnsi" w:hAnsiTheme="minorHAnsi"/>
            <w:noProof/>
            <w:sz w:val="22"/>
          </w:rPr>
          <w:tab/>
        </w:r>
        <w:r>
          <w:rPr>
            <w:rStyle w:val="Hyperlink"/>
          </w:rPr>
          <w:t>VCF Operations for Logs Detailed Design</w:t>
        </w:r>
        <w:r>
          <w:tab/>
        </w:r>
        <w:r>
          <w:fldChar w:fldCharType="begin"/>
        </w:r>
        <w:r>
          <w:instrText xml:space="preserve"> PAGEREF _Toc256000041 \h </w:instrText>
        </w:r>
        <w:r>
          <w:fldChar w:fldCharType="separate"/>
        </w:r>
        <w:r>
          <w:t>15</w:t>
        </w:r>
        <w:r>
          <w:fldChar w:fldCharType="end"/>
        </w:r>
      </w:hyperlink>
    </w:p>
    <w:p>
      <w:pPr>
        <w:pStyle w:val="TOC2"/>
        <w:rPr>
          <w:rFonts w:asciiTheme="minorHAnsi" w:hAnsiTheme="minorHAnsi"/>
          <w:noProof/>
          <w:sz w:val="22"/>
        </w:rPr>
      </w:pPr>
      <w:hyperlink w:anchor="_Toc256000042" w:history="1">
        <w:r>
          <w:rPr>
            <w:rStyle w:val="Hyperlink"/>
          </w:rPr>
          <w:t>Simple VCF Operations for Logs Model</w:t>
        </w:r>
        <w:r>
          <w:tab/>
        </w:r>
        <w:r>
          <w:fldChar w:fldCharType="begin"/>
        </w:r>
        <w:r>
          <w:instrText xml:space="preserve"> PAGEREF _Toc256000042 \h </w:instrText>
        </w:r>
        <w:r>
          <w:fldChar w:fldCharType="separate"/>
        </w:r>
        <w:r>
          <w:t>17</w:t>
        </w:r>
        <w:r>
          <w:fldChar w:fldCharType="end"/>
        </w:r>
      </w:hyperlink>
    </w:p>
    <w:p>
      <w:pPr>
        <w:pStyle w:val="TOC2"/>
        <w:rPr>
          <w:rFonts w:asciiTheme="minorHAnsi" w:hAnsiTheme="minorHAnsi"/>
          <w:noProof/>
          <w:sz w:val="22"/>
        </w:rPr>
      </w:pPr>
      <w:hyperlink w:anchor="_Toc256000043" w:history="1">
        <w:r>
          <w:rPr>
            <w:rStyle w:val="Hyperlink"/>
          </w:rPr>
          <w:t>High Availability VCF Operations for Logs Model</w:t>
        </w:r>
        <w:r>
          <w:tab/>
        </w:r>
        <w:r>
          <w:fldChar w:fldCharType="begin"/>
        </w:r>
        <w:r>
          <w:instrText xml:space="preserve"> PAGEREF _Toc256000043 \h </w:instrText>
        </w:r>
        <w:r>
          <w:fldChar w:fldCharType="separate"/>
        </w:r>
        <w:r>
          <w:t>20</w:t>
        </w:r>
        <w:r>
          <w:fldChar w:fldCharType="end"/>
        </w:r>
      </w:hyperlink>
    </w:p>
    <w:p>
      <w:pPr>
        <w:pStyle w:val="TOC1"/>
        <w:rPr>
          <w:rFonts w:asciiTheme="minorHAnsi" w:hAnsiTheme="minorHAnsi"/>
          <w:noProof/>
          <w:sz w:val="22"/>
        </w:rPr>
      </w:pPr>
      <w:hyperlink w:anchor="_Toc256000044" w:history="1">
        <w:r>
          <w:rPr>
            <w:rStyle w:val="Hyperlink"/>
          </w:rPr>
          <w:t>5.</w:t>
        </w:r>
        <w:r>
          <w:rPr>
            <w:rFonts w:asciiTheme="minorHAnsi" w:hAnsiTheme="minorHAnsi"/>
            <w:noProof/>
            <w:sz w:val="22"/>
          </w:rPr>
          <w:tab/>
        </w:r>
        <w:r>
          <w:rPr>
            <w:rStyle w:val="Hyperlink"/>
          </w:rPr>
          <w:t>References</w:t>
        </w:r>
        <w:r>
          <w:tab/>
        </w:r>
        <w:r>
          <w:fldChar w:fldCharType="begin"/>
        </w:r>
        <w:r>
          <w:instrText xml:space="preserve"> PAGEREF _Toc256000044 \h </w:instrText>
        </w:r>
        <w:r>
          <w:fldChar w:fldCharType="separate"/>
        </w:r>
        <w:r>
          <w:t>24</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030"/>
      <w:r>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21"/>
        <w:gridCol w:w="1039"/>
        <w:gridCol w:w="1452"/>
        <w:gridCol w:w="2281"/>
        <w:gridCol w:w="2116"/>
        <w:gridCol w:w="1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Contributors</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pPr>
        <w:pStyle w:val="Heading1"/>
      </w:pPr>
      <w:bookmarkStart w:id="2" w:name="_Toc256000031"/>
      <w:r>
        <w:t>Document Overview</w:t>
      </w:r>
      <w:bookmarkEnd w:id="2"/>
    </w:p>
    <w:p>
      <w:pPr>
        <w:pStyle w:val="BodyText"/>
      </w:pPr>
      <w:r>
        <w:t xml:space="preserve">This solution design document is created by VCF Professional Services to support the deployment of the Solution for </w:t>
      </w:r>
      <w:r>
        <w:t>Customer</w:t>
      </w:r>
      <w:r>
        <w:t>.</w:t>
      </w:r>
    </w:p>
    <w:p>
      <w:pPr>
        <w:pStyle w:val="BodyText"/>
      </w:pPr>
      <w:r>
        <w:t>This document may be accompanied by other documents that focus on the implementation and operation aspects of the engagement, such as installation guides, solution specification, and verification workbooks if implementation services are being performed.</w:t>
      </w:r>
    </w:p>
    <w:p>
      <w:pPr>
        <w:pStyle w:val="Heading2"/>
      </w:pPr>
      <w:bookmarkStart w:id="3" w:name="_Toc256000032"/>
      <w:r>
        <w:t>Executive Summary</w:t>
      </w:r>
      <w:bookmarkEnd w:id="3"/>
    </w:p>
    <w:p>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pPr>
        <w:pStyle w:val="BodyText"/>
        <w:pBdr>
          <w:top w:val="single" w:sz="8" w:space="2" w:color="D3D3D3"/>
          <w:bottom w:val="single" w:sz="8" w:space="2" w:color="D3D3D3"/>
        </w:pBdr>
      </w:pPr>
      <w:r>
        <w:t>architect</w:t>
        <w:tab/>
      </w:r>
      <w:r>
        <w:t>Fill out this with the high-level business language in the below for the customer environment.</w:t>
      </w:r>
    </w:p>
    <w:p>
      <w:pPr>
        <w:pStyle w:val="BodyText"/>
      </w:pPr>
      <w:r>
        <w:t xml:space="preserve">This design document outlines the plan for </w:t>
      </w:r>
      <w:r>
        <w:t>Customer</w:t>
      </w:r>
      <w:r>
        <w:t xml:space="preserve"> &lt;purpose of the engagement&gt; by VCF Professional Services. The aim is to improve scalability, operational efficiency, and cost-effectiveness while ensuring a high level of security and compliance. The scope of this engagement includes &lt;list main scope items&gt;.</w:t>
      </w:r>
    </w:p>
    <w:p>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pPr>
        <w:pStyle w:val="BodyText"/>
      </w:pPr>
      <w:r>
        <w:t>Upon approval, the next steps include extending the design to the implementation teams, initiating the integrations, and providing the teams with the necessary operational support as part of the handover.</w:t>
      </w:r>
    </w:p>
    <w:p>
      <w:pPr>
        <w:pStyle w:val="Heading2"/>
      </w:pPr>
      <w:bookmarkStart w:id="4" w:name="_Toc256000033"/>
      <w:r>
        <w:t>Document Focus</w:t>
      </w:r>
      <w:bookmarkEnd w:id="4"/>
    </w:p>
    <w:p>
      <w:pPr>
        <w:pStyle w:val="BodyText"/>
      </w:pPr>
      <w:r>
        <w:t>This document, the Low-Level Design Document, is one of five main documents which collectively form the Low-Level design documents for the solution.</w:t>
      </w:r>
    </w:p>
    <w:p>
      <w:pPr>
        <w:pStyle w:val="BodyText"/>
      </w:pPr>
      <w:r>
        <w:t>This includes the following content, which may be presented as one or more technical documents as required by the solution.</w:t>
      </w:r>
    </w:p>
    <w:p>
      <w:pPr>
        <w:pStyle w:val="Heading3"/>
      </w:pPr>
      <w:bookmarkStart w:id="5" w:name="_Toc256000034"/>
      <w:r>
        <w:t>Physical Design</w:t>
      </w:r>
      <w:bookmarkEnd w:id="5"/>
    </w:p>
    <w:p>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typically covers specifics on availability and disaster recovery solutions such as failover clusters and backup schedules as appropriate for customer requirements.</w:t>
      </w:r>
    </w:p>
    <w:p>
      <w:pPr>
        <w:pStyle w:val="BodyText"/>
      </w:pPr>
      <w:r>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pPr>
        <w:pStyle w:val="Heading3"/>
      </w:pPr>
      <w:bookmarkStart w:id="6" w:name="_Toc256000035"/>
      <w:r>
        <w:t>Sizing Workbook</w:t>
      </w:r>
      <w:bookmarkEnd w:id="6"/>
    </w:p>
    <w:p>
      <w:pPr>
        <w:pStyle w:val="BodyText"/>
      </w:pPr>
      <w:r>
        <w:t>The sizing workbook is a vital tool that systematically outlines the resource requirements such as CPU, memory, storage, and networking that are needed for a specific architecture.</w:t>
      </w:r>
    </w:p>
    <w:p>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pPr>
        <w:pStyle w:val="BodyText"/>
      </w:pPr>
      <w:r>
        <w:t>The sizing document incorporates the licensing which will be consumed by the solution and if any design decision violates the licensing constraints or if additional licenses need to be procured part the scalability exercise.</w:t>
      </w:r>
    </w:p>
    <w:p>
      <w:pPr>
        <w:pStyle w:val="Heading3"/>
      </w:pPr>
      <w:bookmarkStart w:id="7" w:name="_Toc256000036"/>
      <w:r>
        <w:t>Naming Convention Document</w:t>
      </w:r>
      <w:bookmarkEnd w:id="7"/>
    </w:p>
    <w:p>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pPr>
        <w:pStyle w:val="BodyText"/>
      </w:pPr>
      <w:r>
        <w:t>The naming convention outlines specific syntax rules including permitted characters, name length, and capitalization guidelines, as well as semantic conventions to imbue names with functional, environmental, or locational significance.</w:t>
      </w:r>
    </w:p>
    <w:p>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pPr>
        <w:pStyle w:val="Heading3"/>
      </w:pPr>
      <w:bookmarkStart w:id="8" w:name="_Toc256000037"/>
      <w:r>
        <w:t>Solution Specification Workbook(s)</w:t>
      </w:r>
      <w:bookmarkEnd w:id="8"/>
    </w:p>
    <w:p>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pPr>
        <w:pStyle w:val="BodyText"/>
      </w:pPr>
      <w:r>
        <w:t>The solution specification workbooks ensures that deployment consultants and cloud administrators have a consistent, accurate roadmap for successfully realizing the architectural design and meeting business objectives.</w:t>
      </w:r>
    </w:p>
    <w:p>
      <w:pPr>
        <w:pStyle w:val="Heading3"/>
      </w:pPr>
      <w:bookmarkStart w:id="9" w:name="_Toc256000038"/>
      <w:r>
        <w:t>Solution Verification Workbook(s)</w:t>
      </w:r>
      <w:bookmarkEnd w:id="9"/>
    </w:p>
    <w:p>
      <w:pPr>
        <w:pStyle w:val="BodyText"/>
      </w:pPr>
      <w:r>
        <w:t>The solution verification workbook(s) act as structured guides for the comprehensive testing and validation of the VMware by Broadcom solution prescribed within the architecture. These workbooks are pivotal for quality assurance, defining test objectives aligned with the solution's functional and non-functional requirements, outlining specific test scenarios and procedures.</w:t>
      </w:r>
    </w:p>
    <w:p>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pPr>
        <w:pStyle w:val="BodyText"/>
      </w:pPr>
      <w:r>
        <w:t>The solution verification workbooks are an anchor for ensuring the implemented VMware solution is ready for production, meeting both technical specifications and organizational goals.</w:t>
      </w:r>
    </w:p>
    <w:p>
      <w:pPr>
        <w:pStyle w:val="Heading1"/>
      </w:pPr>
      <w:bookmarkStart w:id="10" w:name="_Toc256000039"/>
      <w:r>
        <w:t>VMware Cloud Foundation Operations for Logs Design</w:t>
      </w:r>
      <w:bookmarkEnd w:id="10"/>
    </w:p>
    <w:p>
      <w:pPr>
        <w:pStyle w:val="BodyText"/>
      </w:pPr>
      <w:r>
        <w:t>This section describes the product design used for Customer. The design used in this engagement maps to the Intelligent Logging and Analytics for VMware Cloud Foundation.</w:t>
      </w:r>
    </w:p>
    <w:p>
      <w:pPr>
        <w:pStyle w:val="BodyText"/>
      </w:pPr>
      <w:r>
        <w:t>These requirements have been broken out into sections mapping to the technology area where appropriate.</w:t>
      </w:r>
    </w:p>
    <w:p>
      <w:pPr>
        <w:pStyle w:val="BodyText"/>
        <w:pBdr>
          <w:top w:val="single" w:sz="8" w:space="2" w:color="D3D3D3"/>
          <w:bottom w:val="single" w:sz="8" w:space="2" w:color="D3D3D3"/>
        </w:pBdr>
      </w:pPr>
      <w:r>
        <w:rPr>
          <w:rStyle w:val="NoteLeaderimportant"/>
        </w:rPr>
        <w:t>Important</w:t>
        <w:tab/>
      </w:r>
      <w:r>
        <w:t>This design utilizes all guidance from the VMware Validated Solution as the recommended design for the environment as deployed through VMware Cloud Foundation. There are items that can be customized and there are static design choices.</w:t>
      </w:r>
    </w:p>
    <w:p>
      <w:pPr>
        <w:pStyle w:val="Heading2"/>
      </w:pPr>
      <w:bookmarkStart w:id="11" w:name="_Toc256000040"/>
      <w:r>
        <w:t>Design Blueprints for VMware Cloud Foundation</w:t>
      </w:r>
      <w:bookmarkEnd w:id="11"/>
    </w:p>
    <w:p>
      <w:pPr>
        <w:pStyle w:val="BodyText"/>
      </w:pPr>
      <w:r>
        <w:t xml:space="preserve">To assist with choosing an architecture for your specific business and technology requirements, the </w:t>
      </w:r>
      <w:r>
        <w:rPr>
          <w:rStyle w:val="InlineCite"/>
        </w:rPr>
        <w:t>Design Blueprints</w:t>
      </w:r>
      <w:r>
        <w:t xml:space="preserve"> section provides a set of pre-defined architecture topologies, based on specific design profiles. To deliver a ready-to-consume solution, providing the full set of capabilities (end-to-end design) offered by the </w:t>
      </w:r>
      <w:r>
        <w:t>VMware Cloud Foundation</w:t>
      </w:r>
      <w:r>
        <w:t xml:space="preserve"> platform, each </w:t>
      </w:r>
      <w:r>
        <w:rPr>
          <w:rStyle w:val="InlineCite"/>
        </w:rPr>
        <w:t>Design Blueprint</w:t>
      </w:r>
      <w:r>
        <w:t xml:space="preserve"> provides a prescriptive selection of the deployment models available for each </w:t>
      </w:r>
      <w:r>
        <w:t>VMware Cloud Foundation</w:t>
      </w:r>
      <w:r>
        <w:t xml:space="preserve"> component.</w:t>
      </w:r>
    </w:p>
    <w:p>
      <w:pPr>
        <w:pStyle w:val="SectionHeading3"/>
      </w:pPr>
      <w:r>
        <w:t>Understanding Design Blueprints</w:t>
      </w:r>
    </w:p>
    <w:p>
      <w:pPr>
        <w:pStyle w:val="BodyText"/>
      </w:pPr>
      <w:r>
        <w:t xml:space="preserve">A </w:t>
      </w:r>
      <w:r>
        <w:t>VMware Cloud Foundation</w:t>
      </w:r>
      <w:r>
        <w:rPr>
          <w:rStyle w:val="InlineCite"/>
        </w:rPr>
        <w:t>Design Blueprint</w:t>
      </w:r>
      <w:r>
        <w:t>:</w:t>
      </w:r>
    </w:p>
    <w:p>
      <w:pPr>
        <w:pStyle w:val="BodyText"/>
        <w:numPr>
          <w:numId w:val="8"/>
        </w:numPr>
      </w:pPr>
      <w:r>
        <w:t xml:space="preserve">Is a prescriptive end-to-end design for a </w:t>
      </w:r>
      <w:r>
        <w:t>VCF</w:t>
      </w:r>
      <w:r>
        <w:t xml:space="preserve"> fleet in a commonly requested architecture topology, created to help accelerate time to value when building a new </w:t>
      </w:r>
      <w:r>
        <w:t>VMware Cloud Foundation</w:t>
      </w:r>
      <w:r>
        <w:t xml:space="preserve"> platform.</w:t>
      </w:r>
    </w:p>
    <w:p>
      <w:pPr>
        <w:pStyle w:val="BodyText"/>
        <w:numPr>
          <w:numId w:val="8"/>
        </w:numPr>
      </w:pPr>
      <w:r>
        <w:t xml:space="preserve">Has a prescriptive selection of deployment models chosen from the design library to conform to the design profile of the </w:t>
      </w:r>
      <w:r>
        <w:rPr>
          <w:rStyle w:val="InlineCite"/>
        </w:rPr>
        <w:t>Design Blueprint</w:t>
      </w:r>
      <w:r>
        <w:t>.</w:t>
      </w:r>
    </w:p>
    <w:p>
      <w:pPr>
        <w:pStyle w:val="BodyText"/>
        <w:numPr>
          <w:numId w:val="8"/>
        </w:numPr>
      </w:pPr>
      <w:r>
        <w:t xml:space="preserve">Can be deployed as is, with no alterations, or can be used as template where any of the deployment models can be substituted for alternatives from the same category within the design library. See </w:t>
      </w:r>
      <w:r>
        <w:t>Design Library for VMware Cloud Foundation</w:t>
      </w:r>
      <w:r>
        <w:t>.</w:t>
      </w:r>
    </w:p>
    <w:p>
      <w:pPr>
        <w:pStyle w:val="BodyText"/>
        <w:numPr>
          <w:numId w:val="8"/>
        </w:numPr>
      </w:pPr>
      <w:r>
        <w:t xml:space="preserve">Reflects the initial deployment of a </w:t>
      </w:r>
      <w:r>
        <w:t>VCF</w:t>
      </w:r>
      <w:r>
        <w:t xml:space="preserve"> fleet and supports expansion in a variety of ways to support the needs of your organization.</w:t>
      </w:r>
    </w:p>
    <w:p>
      <w:pPr>
        <w:pStyle w:val="BodyText"/>
        <w:numPr>
          <w:numId w:val="8"/>
        </w:numPr>
      </w:pPr>
      <w:r>
        <w:t>Provides a set of planning, implementation and design elements (requirements and recommendations) based on the chosen deployment models.</w:t>
      </w:r>
    </w:p>
    <w:p>
      <w:pPr>
        <w:pStyle w:val="SectionHeading3"/>
      </w:pPr>
      <w:r>
        <w:t>Choosing and Using a Design Blueprint</w:t>
      </w:r>
    </w:p>
    <w:p>
      <w:pPr>
        <w:pStyle w:val="BodyText"/>
        <w:pBdr>
          <w:top w:val="single" w:sz="8" w:space="2" w:color="D3D3D3"/>
          <w:bottom w:val="single" w:sz="8" w:space="2" w:color="D3D3D3"/>
        </w:pBdr>
      </w:pPr>
      <w:r>
        <w:rPr>
          <w:rStyle w:val="NoteLeaderimportant"/>
        </w:rPr>
        <w:t>Important</w:t>
        <w:tab/>
      </w:r>
      <w:r>
        <w:t xml:space="preserve">Before assessing any of the provided </w:t>
      </w:r>
      <w:r>
        <w:rPr>
          <w:rStyle w:val="InlineCite"/>
        </w:rPr>
        <w:t>Design Blueprints</w:t>
      </w:r>
      <w:r>
        <w:t xml:space="preserve">, you should familiarize yourself with the options available within the </w:t>
      </w:r>
      <w:r>
        <w:t>VCF</w:t>
      </w:r>
      <w:r>
        <w:t xml:space="preserve"> architecture, by reading the </w:t>
      </w:r>
      <w:r>
        <w:t>Architectural Options in VMware Cloud Foundation</w:t>
      </w:r>
      <w:r>
        <w:t xml:space="preserve"> section of this document. This will help you understand the ways in which you can substitute selections within the </w:t>
      </w:r>
      <w:r>
        <w:rPr>
          <w:rStyle w:val="InlineCite"/>
        </w:rPr>
        <w:t>Design Blueprint</w:t>
      </w:r>
      <w:r>
        <w:t xml:space="preserve"> for other deployment models that better suit your organizations needs.</w:t>
      </w:r>
    </w:p>
    <w:p>
      <w:pPr>
        <w:pStyle w:val="BodyText"/>
      </w:pPr>
      <w:r>
        <w:t xml:space="preserve">This design guide covers the following pre-defined </w:t>
      </w:r>
      <w:r>
        <w:rPr>
          <w:rStyle w:val="InlineCite"/>
        </w:rPr>
        <w:t>Design Blueprints</w:t>
      </w:r>
      <w:r>
        <w:t>:</w:t>
      </w:r>
    </w:p>
    <w:p>
      <w:pPr>
        <w:pStyle w:val="BodyText"/>
        <w:numPr>
          <w:numId w:val="9"/>
        </w:numPr>
      </w:pPr>
      <w:r>
        <w:t>VCF Fleet in a Single Site with Minimal Footprint</w:t>
      </w:r>
    </w:p>
    <w:p>
      <w:pPr>
        <w:pStyle w:val="BodyText"/>
        <w:numPr>
          <w:numId w:val="9"/>
        </w:numPr>
      </w:pPr>
      <w:r>
        <w:t>VCF Fleet in a Single Site</w:t>
      </w:r>
    </w:p>
    <w:p>
      <w:pPr>
        <w:pStyle w:val="BodyText"/>
        <w:numPr>
          <w:numId w:val="9"/>
        </w:numPr>
      </w:pPr>
      <w:r>
        <w:t>VCF Fleet with Multiple Sites in a Single Region</w:t>
      </w:r>
    </w:p>
    <w:p>
      <w:pPr>
        <w:pStyle w:val="BodyText"/>
        <w:numPr>
          <w:numId w:val="9"/>
        </w:numPr>
      </w:pPr>
      <w:r>
        <w:t>VCF Fleet with Multiple Sites across Multiple Regions</w:t>
      </w:r>
    </w:p>
    <w:p>
      <w:pPr>
        <w:pStyle w:val="BodyText"/>
        <w:numPr>
          <w:numId w:val="9"/>
        </w:numPr>
      </w:pPr>
      <w:r>
        <w:t>VCF Fleet with Multiple Sites in a Single Region plus Additional Region(s)</w:t>
      </w:r>
    </w:p>
    <w:p>
      <w:pPr>
        <w:pStyle w:val="BodyText"/>
      </w:pPr>
      <w:r>
        <w:t xml:space="preserve">Each </w:t>
      </w:r>
      <w:r>
        <w:rPr>
          <w:rStyle w:val="InlineCite"/>
        </w:rPr>
        <w:t>Design Blueprint</w:t>
      </w:r>
      <w:r>
        <w:t xml:space="preserve"> has a </w:t>
      </w:r>
      <w:r>
        <w:rPr>
          <w:rStyle w:val="InlineCite"/>
        </w:rPr>
        <w:t>Design Profile</w:t>
      </w:r>
      <w:r>
        <w:t xml:space="preserve"> section to help you quickly establish if the </w:t>
      </w:r>
      <w:r>
        <w:rPr>
          <w:rStyle w:val="InlineCite"/>
        </w:rPr>
        <w:t>Design Blueprint</w:t>
      </w:r>
      <w:r>
        <w:t xml:space="preserve"> is a good fit for your organizational needs, and is structured using the following categories:</w:t>
      </w:r>
    </w:p>
    <w:p>
      <w:pPr>
        <w:pStyle w:val="BodyText"/>
        <w:numPr>
          <w:numId w:val="10"/>
        </w:numPr>
      </w:pPr>
      <w:r>
        <w:t>Consumption</w:t>
      </w:r>
    </w:p>
    <w:p>
      <w:pPr>
        <w:pStyle w:val="BodyText"/>
        <w:numPr>
          <w:numId w:val="10"/>
        </w:numPr>
      </w:pPr>
      <w:r>
        <w:t>Physical Site Configuration</w:t>
      </w:r>
    </w:p>
    <w:p>
      <w:pPr>
        <w:pStyle w:val="BodyText"/>
        <w:numPr>
          <w:numId w:val="10"/>
        </w:numPr>
      </w:pPr>
      <w:r>
        <w:t>Availability</w:t>
      </w:r>
    </w:p>
    <w:p>
      <w:pPr>
        <w:pStyle w:val="BodyText"/>
        <w:numPr>
          <w:numId w:val="10"/>
        </w:numPr>
      </w:pPr>
      <w:r>
        <w:t>Isolation</w:t>
      </w:r>
    </w:p>
    <w:p>
      <w:pPr>
        <w:pStyle w:val="BodyText"/>
        <w:numPr>
          <w:numId w:val="10"/>
        </w:numPr>
      </w:pPr>
      <w:r>
        <w:t>Recoverability</w:t>
      </w:r>
    </w:p>
    <w:p>
      <w:pPr>
        <w:pStyle w:val="BodyText"/>
        <w:numPr>
          <w:numId w:val="10"/>
        </w:numPr>
      </w:pPr>
      <w:r>
        <w:t>Expansion</w:t>
      </w:r>
    </w:p>
    <w:p>
      <w:pPr>
        <w:pStyle w:val="BodyText"/>
      </w:pPr>
      <w:r>
        <w:t xml:space="preserve">Review each of the </w:t>
      </w:r>
      <w:r>
        <w:rPr>
          <w:rStyle w:val="InlineCite"/>
        </w:rPr>
        <w:t>Design Blueprints</w:t>
      </w:r>
      <w:r>
        <w:t xml:space="preserve"> provided until you find the one that most closely matches your requirements. If it is a perfect fit, then use it as is to deploy your </w:t>
      </w:r>
      <w:r>
        <w:t>VCF</w:t>
      </w:r>
      <w:r>
        <w:t xml:space="preserve"> fleet. If it is not a perfect fit, then using the knowledge you gained in the </w:t>
      </w:r>
      <w:r>
        <w:t>Architectural Options in VMware Cloud Foundation</w:t>
      </w:r>
      <w:r>
        <w:t xml:space="preserve"> section of this document, review the </w:t>
      </w:r>
      <w:r>
        <w:rPr>
          <w:rStyle w:val="InlineCite"/>
        </w:rPr>
        <w:t>Design Selections</w:t>
      </w:r>
      <w:r>
        <w:t xml:space="preserve"> sections of the </w:t>
      </w:r>
      <w:r>
        <w:rPr>
          <w:rStyle w:val="InlineCite"/>
        </w:rPr>
        <w:t>Design Blueprint</w:t>
      </w:r>
      <w:r>
        <w:t xml:space="preserve"> and substitute any of the selected models for alternatives from the same category in the design library to create your own custom </w:t>
      </w:r>
      <w:r>
        <w:rPr>
          <w:rStyle w:val="InlineCite"/>
        </w:rPr>
        <w:t>Design Blueprint</w:t>
      </w:r>
      <w:r>
        <w:t>. Each substituted model will have a list of its specific design elements in its section within the design library.</w:t>
      </w:r>
    </w:p>
    <w:p>
      <w:pPr>
        <w:pStyle w:val="BodyText"/>
      </w:pPr>
      <w:r>
        <w:t xml:space="preserve">Once your pre-defined or custom </w:t>
      </w:r>
      <w:r>
        <w:rPr>
          <w:rStyle w:val="InlineCite"/>
        </w:rPr>
        <w:t>Design Blueprint</w:t>
      </w:r>
      <w:r>
        <w:t xml:space="preserve"> it deployed, your </w:t>
      </w:r>
      <w:r>
        <w:t>VCF</w:t>
      </w:r>
      <w:r>
        <w:t xml:space="preserve"> fleet may evolve according to your emerging needs of your organization. While you may choose to evolve your </w:t>
      </w:r>
      <w:r>
        <w:t>VCF</w:t>
      </w:r>
      <w:r>
        <w:t xml:space="preserve"> fleet to align with different blueprints over time, there is no requirement to expand in any given manner, or to remap your organization to a different blueprint should that evolution take your configuration in a different direction than the initial deployment.</w:t>
      </w:r>
    </w:p>
    <w:p>
      <w:pPr>
        <w:pStyle w:val="SectionHeading3"/>
      </w:pPr>
      <w:r>
        <w:t>Understanding Physical Site Configurations</w:t>
      </w:r>
    </w:p>
    <w:p>
      <w:pPr>
        <w:pStyle w:val="BodyText"/>
      </w:pPr>
      <w:r>
        <w:t xml:space="preserve">The following terminology definitions help you better understand the provided </w:t>
      </w:r>
      <w:r>
        <w:rPr>
          <w:rStyle w:val="InlineCite"/>
        </w:rPr>
        <w:t>Design Blueprint</w:t>
      </w:r>
      <w:r>
        <w:t xml:space="preserve"> in the context of the physical site configuration.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36"/>
        <w:gridCol w:w="80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Term</w:t>
            </w:r>
          </w:p>
        </w:tc>
        <w:tc>
          <w:tcPr>
            <w:tcBorders>
              <w:left w:val="nil"/>
              <w:right w:val="nil"/>
            </w:tcBorders>
            <w:shd w:val="clear" w:color="auto" w:fill="E1E1E1"/>
            <w:tcMar>
              <w:top w:w="60" w:type="dxa"/>
              <w:bottom w:w="60" w:type="dxa"/>
            </w:tcMar>
          </w:tcPr>
          <w:p>
            <w:pPr>
              <w:pStyle w:val="TableHeaderText"/>
            </w:pPr>
            <w:r>
              <w:t>Definition in a Design Blueprints Context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Region</w:t>
            </w:r>
          </w:p>
        </w:tc>
        <w:tc>
          <w:tcPr>
            <w:tcBorders>
              <w:left w:val="nil"/>
              <w:right w:val="nil"/>
            </w:tcBorders>
          </w:tcPr>
          <w:p>
            <w:pPr>
              <w:pStyle w:val="TableBodyText"/>
              <w:numPr>
                <w:numId w:val="11"/>
              </w:numPr>
            </w:pPr>
            <w:r>
              <w:t>A region is comprised of one of more physical sites in a single metropolitan area i.e. within synchronous replication latencies.</w:t>
            </w:r>
          </w:p>
          <w:p>
            <w:pPr>
              <w:pStyle w:val="TableBodyText"/>
              <w:numPr>
                <w:numId w:val="11"/>
              </w:numPr>
            </w:pPr>
            <w:r>
              <w:t>Recovery of management/business workloads between regions is a disaster recovery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Single Site</w:t>
            </w:r>
          </w:p>
        </w:tc>
        <w:tc>
          <w:tcPr>
            <w:tcBorders>
              <w:left w:val="nil"/>
              <w:right w:val="nil"/>
            </w:tcBorders>
          </w:tcPr>
          <w:p>
            <w:pPr>
              <w:pStyle w:val="TableBodyText"/>
              <w:numPr>
                <w:numId w:val="12"/>
              </w:numPr>
            </w:pPr>
            <w:r>
              <w:t>A site represents a logical and a physical boundary that is managed as a single, contained entity. It may offer levels of isolation at the physical layer (power, HVAC, connectivity, etc.) but represents a single fault domain for at least one level of infrastructure.</w:t>
            </w:r>
          </w:p>
          <w:p>
            <w:pPr>
              <w:pStyle w:val="TableBodyText"/>
              <w:numPr>
                <w:numId w:val="12"/>
              </w:numPr>
            </w:pPr>
            <w:r>
              <w:t>VCF</w:t>
            </w:r>
            <w:r>
              <w:t xml:space="preserve"> fleet (management and business workloads) are deployed in a single site.</w:t>
            </w:r>
          </w:p>
          <w:p>
            <w:pPr>
              <w:pStyle w:val="TableBodyText"/>
              <w:numPr>
                <w:numId w:val="12"/>
              </w:numPr>
            </w:pPr>
            <w:r>
              <w:t xml:space="preserve">Protecting any given component or workload to another site is not within the scope of a </w:t>
            </w:r>
            <w:r>
              <w:rPr>
                <w:rStyle w:val="InlineCite"/>
              </w:rPr>
              <w:t>Design Blueprint</w:t>
            </w:r>
            <w:r>
              <w:t>, as recovery generally depends upon a second (recovery) site.</w:t>
            </w:r>
          </w:p>
          <w:p>
            <w:pPr>
              <w:pStyle w:val="TableBodyText"/>
              <w:numPr>
                <w:numId w:val="12"/>
              </w:numPr>
            </w:pPr>
            <w:r>
              <w:t xml:space="preserve">A single site can support multiple clusters, workload domains and </w:t>
            </w:r>
            <w:r>
              <w:t>VCF</w:t>
            </w:r>
            <w:r>
              <w:t xml:space="preserve"> Instances based on the scale and workload isolation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Multiple Independent Sites</w:t>
            </w:r>
          </w:p>
        </w:tc>
        <w:tc>
          <w:tcPr>
            <w:tcBorders>
              <w:left w:val="nil"/>
              <w:right w:val="nil"/>
            </w:tcBorders>
          </w:tcPr>
          <w:p>
            <w:pPr>
              <w:pStyle w:val="TableBodyText"/>
              <w:numPr>
                <w:numId w:val="13"/>
              </w:numPr>
            </w:pPr>
            <w:r>
              <w:t>VCF</w:t>
            </w:r>
            <w:r>
              <w:t xml:space="preserve"> fleet (management and business workloads) are distributed across multiple independent sites, but one site will operate the </w:t>
            </w:r>
            <w:r>
              <w:t>VCF</w:t>
            </w:r>
            <w:r>
              <w:t xml:space="preserve"> fleet management components, creating a level of dependency on that one site.</w:t>
            </w:r>
          </w:p>
          <w:p>
            <w:pPr>
              <w:pStyle w:val="TableBodyText"/>
              <w:numPr>
                <w:numId w:val="13"/>
              </w:numPr>
            </w:pPr>
            <w:r>
              <w:t>Sufficient network connectivity exists between sites to facilitate centralized management. This generally means layer-3 connectivity with separate, non-overlapping IP address spaces at each site</w:t>
            </w:r>
          </w:p>
          <w:p>
            <w:pPr>
              <w:pStyle w:val="TableBodyText"/>
              <w:numPr>
                <w:numId w:val="13"/>
              </w:numPr>
            </w:pPr>
            <w:r>
              <w:t>Either the latency or bandwidth are not suited to protecting management components and business workloads across sites, or there is no desire to do.</w:t>
            </w:r>
          </w:p>
          <w:p>
            <w:pPr>
              <w:pStyle w:val="TableBodyText"/>
              <w:numPr>
                <w:numId w:val="13"/>
              </w:numPr>
            </w:pPr>
            <w:r>
              <w:t>Additional sites can be deployed as follows based on requirements:</w:t>
            </w:r>
          </w:p>
          <w:p>
            <w:pPr>
              <w:pStyle w:val="TableBodyText"/>
              <w:numPr>
                <w:ilvl w:val="1"/>
                <w:numId w:val="13"/>
              </w:numPr>
            </w:pPr>
            <w:r>
              <w:t xml:space="preserve">Clusters in existing </w:t>
            </w:r>
            <w:r>
              <w:t>VCF</w:t>
            </w:r>
            <w:r>
              <w:t xml:space="preserve"> domains.</w:t>
            </w:r>
          </w:p>
          <w:p>
            <w:pPr>
              <w:pStyle w:val="TableBodyText"/>
              <w:numPr>
                <w:ilvl w:val="1"/>
                <w:numId w:val="13"/>
              </w:numPr>
            </w:pPr>
            <w:r>
              <w:t xml:space="preserve">Additional </w:t>
            </w:r>
            <w:r>
              <w:t>VCF</w:t>
            </w:r>
            <w:r>
              <w:t xml:space="preserve"> domains.</w:t>
            </w:r>
          </w:p>
          <w:p>
            <w:pPr>
              <w:pStyle w:val="TableBodyText"/>
              <w:numPr>
                <w:ilvl w:val="1"/>
                <w:numId w:val="13"/>
              </w:numPr>
            </w:pPr>
            <w:r>
              <w:t xml:space="preserve">Additional </w:t>
            </w:r>
            <w:r>
              <w:t>VCF</w:t>
            </w:r>
            <w:r>
              <w:t xml:space="preserve"> Instances with appropriate </w:t>
            </w:r>
            <w:r>
              <w:t>VCF</w:t>
            </w:r>
            <w:r>
              <w:t xml:space="preserve"> fleet management components.</w:t>
            </w:r>
          </w:p>
          <w:p>
            <w:pPr>
              <w:pStyle w:val="TableBodyText"/>
              <w:numPr>
                <w:numId w:val="13"/>
              </w:numPr>
            </w:pPr>
            <w:r>
              <w:t xml:space="preserve">Each site can support multiple clusters, workload domains and </w:t>
            </w:r>
            <w:r>
              <w:t>VCF</w:t>
            </w:r>
            <w:r>
              <w:t xml:space="preserve"> Instances based on the scale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Multiple Sites in a Single Region</w:t>
            </w:r>
          </w:p>
        </w:tc>
        <w:tc>
          <w:tcPr>
            <w:tcBorders>
              <w:left w:val="nil"/>
              <w:right w:val="nil"/>
            </w:tcBorders>
          </w:tcPr>
          <w:p>
            <w:pPr>
              <w:pStyle w:val="TableBodyText"/>
              <w:numPr>
                <w:numId w:val="14"/>
              </w:numPr>
            </w:pPr>
            <w:r>
              <w:t>VCF</w:t>
            </w:r>
            <w:r>
              <w:t xml:space="preserve"> fleet is distributed across multiple sites that are connected to provide centralized management and site resilience for management and/or business workloads.</w:t>
            </w:r>
          </w:p>
          <w:p>
            <w:pPr>
              <w:pStyle w:val="TableBodyText"/>
              <w:numPr>
                <w:numId w:val="14"/>
              </w:numPr>
            </w:pPr>
            <w:r>
              <w:t>Latency and bandwidth are suitable for protecting management and/or business workloads across sites using stretched cluster technology or any other protection level (based on their individual requirements) by leveraging the appropriate vSphere Cluster Model.</w:t>
            </w:r>
          </w:p>
          <w:p>
            <w:pPr>
              <w:pStyle w:val="TableBodyText"/>
              <w:numPr>
                <w:numId w:val="14"/>
              </w:numPr>
            </w:pPr>
            <w:r>
              <w:t xml:space="preserve">With the use of stretched clusters, the </w:t>
            </w:r>
            <w:r>
              <w:t>VCF</w:t>
            </w:r>
            <w:r>
              <w:t xml:space="preserve"> fleet management components, as well as other management and customer workloads can operate across a pair of sites to provide enhanced availability at the infrastructure layer, in addition to application-layer availability capabilities.</w:t>
            </w:r>
          </w:p>
          <w:p>
            <w:pPr>
              <w:pStyle w:val="TableBodyText"/>
              <w:numPr>
                <w:numId w:val="14"/>
              </w:numPr>
            </w:pPr>
            <w:r>
              <w:t>Additional sites can be deployed as follows based on requirements:</w:t>
            </w:r>
          </w:p>
          <w:p>
            <w:pPr>
              <w:pStyle w:val="TableBodyText"/>
              <w:numPr>
                <w:ilvl w:val="1"/>
                <w:numId w:val="14"/>
              </w:numPr>
            </w:pPr>
            <w:r>
              <w:t xml:space="preserve">Clusters in existing </w:t>
            </w:r>
            <w:r>
              <w:t>VCF</w:t>
            </w:r>
            <w:r>
              <w:t xml:space="preserve"> domains.</w:t>
            </w:r>
          </w:p>
          <w:p>
            <w:pPr>
              <w:pStyle w:val="TableBodyText"/>
              <w:numPr>
                <w:ilvl w:val="1"/>
                <w:numId w:val="14"/>
              </w:numPr>
            </w:pPr>
            <w:r>
              <w:t xml:space="preserve">Additional </w:t>
            </w:r>
            <w:r>
              <w:t>VCF</w:t>
            </w:r>
            <w:r>
              <w:t xml:space="preserve"> domains.</w:t>
            </w:r>
          </w:p>
          <w:p>
            <w:pPr>
              <w:pStyle w:val="TableBodyText"/>
              <w:numPr>
                <w:ilvl w:val="1"/>
                <w:numId w:val="14"/>
              </w:numPr>
            </w:pPr>
            <w:r>
              <w:t xml:space="preserve">Additional </w:t>
            </w:r>
            <w:r>
              <w:t>VCF</w:t>
            </w:r>
            <w:r>
              <w:t xml:space="preserve"> Instances or to stretch clusters between sites.</w:t>
            </w:r>
          </w:p>
          <w:p>
            <w:pPr>
              <w:pStyle w:val="TableBodyText"/>
              <w:numPr>
                <w:numId w:val="14"/>
              </w:numPr>
            </w:pPr>
            <w:r>
              <w:t xml:space="preserve">Each site can support multiple clusters, workload domains and </w:t>
            </w:r>
            <w:r>
              <w:t>VCF</w:t>
            </w:r>
            <w:r>
              <w:t xml:space="preserve"> Instances based on the scale required</w:t>
            </w:r>
          </w:p>
          <w:p>
            <w:pPr>
              <w:pStyle w:val="TableBodyText"/>
              <w:numPr>
                <w:numId w:val="14"/>
              </w:numPr>
            </w:pPr>
            <w:r>
              <w:t>Provides a suitable platform for a layered disaster recovery solution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Multiple Sites across Multiple Regions</w:t>
            </w:r>
          </w:p>
        </w:tc>
        <w:tc>
          <w:tcPr>
            <w:tcBorders>
              <w:left w:val="nil"/>
              <w:right w:val="nil"/>
            </w:tcBorders>
          </w:tcPr>
          <w:p>
            <w:pPr>
              <w:pStyle w:val="TableBodyText"/>
              <w:numPr>
                <w:numId w:val="15"/>
              </w:numPr>
            </w:pPr>
            <w:r>
              <w:t>VCF</w:t>
            </w:r>
            <w:r>
              <w:t xml:space="preserve"> fleet is distributed across multiple sites that are connected for the purpose of providing site resilience for management and/or business workloads, as well as for centralized management.</w:t>
            </w:r>
          </w:p>
          <w:p>
            <w:pPr>
              <w:pStyle w:val="TableBodyText"/>
              <w:numPr>
                <w:numId w:val="15"/>
              </w:numPr>
            </w:pPr>
            <w:r>
              <w:t>Latency and bandwidth are not suitable for protecting management and/or business workloads across sites using stretched cluster technology, but may be used to provide all other protection levels (based on their individual requirements) by leveraging the appropriate vSphere Cluster Model.</w:t>
            </w:r>
          </w:p>
          <w:p>
            <w:pPr>
              <w:pStyle w:val="TableBodyText"/>
              <w:numPr>
                <w:numId w:val="15"/>
              </w:numPr>
            </w:pPr>
            <w:r>
              <w:t xml:space="preserve">One site will operate the </w:t>
            </w:r>
            <w:r>
              <w:t>VCF</w:t>
            </w:r>
            <w:r>
              <w:t xml:space="preserve"> fleet management components, and additional sites can be deployed as follows based on requirements:</w:t>
            </w:r>
          </w:p>
          <w:p>
            <w:pPr>
              <w:pStyle w:val="TableBodyText"/>
              <w:numPr>
                <w:ilvl w:val="1"/>
                <w:numId w:val="15"/>
              </w:numPr>
            </w:pPr>
            <w:r>
              <w:t xml:space="preserve">Clusters in existing </w:t>
            </w:r>
            <w:r>
              <w:t>VCF</w:t>
            </w:r>
            <w:r>
              <w:t xml:space="preserve"> domains.</w:t>
            </w:r>
          </w:p>
          <w:p>
            <w:pPr>
              <w:pStyle w:val="TableBodyText"/>
              <w:numPr>
                <w:ilvl w:val="1"/>
                <w:numId w:val="15"/>
              </w:numPr>
            </w:pPr>
            <w:r>
              <w:t xml:space="preserve">Additional </w:t>
            </w:r>
            <w:r>
              <w:t>VCF</w:t>
            </w:r>
            <w:r>
              <w:t xml:space="preserve"> domains.</w:t>
            </w:r>
          </w:p>
          <w:p>
            <w:pPr>
              <w:pStyle w:val="TableBodyText"/>
              <w:numPr>
                <w:ilvl w:val="1"/>
                <w:numId w:val="15"/>
              </w:numPr>
            </w:pPr>
            <w:r>
              <w:t xml:space="preserve">Additional </w:t>
            </w:r>
            <w:r>
              <w:t>VCF</w:t>
            </w:r>
            <w:r>
              <w:t xml:space="preserve"> Instances.</w:t>
            </w:r>
          </w:p>
          <w:p>
            <w:pPr>
              <w:pStyle w:val="TableBodyText"/>
              <w:numPr>
                <w:numId w:val="15"/>
              </w:numPr>
            </w:pPr>
            <w:r>
              <w:t xml:space="preserve">Each site can support multiple clusters, workload domains and </w:t>
            </w:r>
            <w:r>
              <w:t>VCF</w:t>
            </w:r>
            <w:r>
              <w:t xml:space="preserve"> Instances based on the scale required</w:t>
            </w:r>
          </w:p>
          <w:p>
            <w:pPr>
              <w:pStyle w:val="TableBodyText"/>
              <w:numPr>
                <w:numId w:val="15"/>
              </w:numPr>
            </w:pPr>
            <w:r>
              <w:t>Provides a suitable platform for a layered disaster recovery solution if required.</w:t>
            </w:r>
          </w:p>
        </w:tc>
      </w:tr>
    </w:tbl>
    <w:p>
      <w:pPr>
        <w:pStyle w:val="SectionHeading3"/>
        <w:spacing w:before="320"/>
      </w:pPr>
      <w:r>
        <w:t>VCF Fleet Architecture and Blueprints</w:t>
      </w:r>
    </w:p>
    <w:p>
      <w:pPr>
        <w:pStyle w:val="BodyText"/>
      </w:pPr>
      <w:r>
        <w:t xml:space="preserve">Each of the </w:t>
      </w:r>
      <w:r>
        <w:rPr>
          <w:rStyle w:val="InlineCite"/>
        </w:rPr>
        <w:t>Design Blueprint</w:t>
      </w:r>
      <w:r>
        <w:t xml:space="preserve"> in this section has a scope of a single </w:t>
      </w:r>
      <w:r>
        <w:t>VCF</w:t>
      </w:r>
      <w:r>
        <w:t xml:space="preserve"> fleet. </w:t>
      </w:r>
      <w:r>
        <w:t>VCF</w:t>
      </w:r>
      <w:r>
        <w:t xml:space="preserve"> fleets are completely independent from a management and operational perspective, and have no shared components.</w:t>
      </w:r>
    </w:p>
    <w:p>
      <w:pPr>
        <w:pStyle w:val="BodyText"/>
      </w:pPr>
      <w:r>
        <w:t xml:space="preserve">A </w:t>
      </w:r>
      <w:r>
        <w:t>VCF</w:t>
      </w:r>
      <w:r>
        <w:t xml:space="preserve"> private cloud may contain multiple </w:t>
      </w:r>
      <w:r>
        <w:t>VCF</w:t>
      </w:r>
      <w:r>
        <w:t xml:space="preserve"> fleets, related through layers outside of the </w:t>
      </w:r>
      <w:r>
        <w:t>VCF</w:t>
      </w:r>
      <w:r>
        <w:t xml:space="preserve"> boundary - for example applications may have components in multiple </w:t>
      </w:r>
      <w:r>
        <w:t>VCF</w:t>
      </w:r>
      <w:r>
        <w:t xml:space="preserve"> fleets, multiple </w:t>
      </w:r>
      <w:r>
        <w:t>VCF</w:t>
      </w:r>
      <w:r>
        <w:t xml:space="preserve"> fleets may also share some underlying physical infrastructure such as datacenters (sites), racks, and network equipment, or be associated with a common external management platform.</w:t>
      </w:r>
    </w:p>
    <w:p>
      <w:pPr>
        <w:pStyle w:val="BodyText"/>
      </w:pPr>
      <w:r>
        <w:t xml:space="preserve">To determine whether a deployment should be contained within an entire </w:t>
      </w:r>
      <w:r>
        <w:t>VCF</w:t>
      </w:r>
      <w:r>
        <w:t xml:space="preserve"> fleet or spread across different </w:t>
      </w:r>
      <w:r>
        <w:t>VCF</w:t>
      </w:r>
      <w:r>
        <w:t xml:space="preserve"> fleets a number of factors need to be reviewed:</w:t>
      </w:r>
    </w:p>
    <w:p>
      <w:pPr>
        <w:pStyle w:val="BodyText"/>
      </w:pPr>
      <w:r>
        <w:rPr>
          <w:rStyle w:val="InlineBold"/>
        </w:rPr>
        <w:t>Physical Location</w:t>
      </w:r>
    </w:p>
    <w:p>
      <w:pPr>
        <w:pStyle w:val="BodyText"/>
        <w:numPr>
          <w:numId w:val="16"/>
        </w:numPr>
      </w:pPr>
      <w:r>
        <w:t>Since the VCF Operations, Fleet Management &amp; VCF Automation components will reside in the initial cluster, all the resources within the VCF Fleet should be within suitable latency, and support sufficient network bandwidth for traffic to and from the initial cluster management components and the ESX hosts and workloads in other locations.</w:t>
      </w:r>
    </w:p>
    <w:p>
      <w:pPr>
        <w:pStyle w:val="BodyText"/>
      </w:pPr>
      <w:r>
        <w:rPr>
          <w:rStyle w:val="InlineBold"/>
        </w:rPr>
        <w:t>Environment Role or Compliance Separation</w:t>
      </w:r>
    </w:p>
    <w:p>
      <w:pPr>
        <w:pStyle w:val="BodyText"/>
        <w:numPr>
          <w:numId w:val="17"/>
        </w:numPr>
      </w:pPr>
      <w:r>
        <w:t>To support validating end-to-end upgrades or physical isolation, if full separation is required between environments providing different roles (for example Development, Testing, Pre-Production, Production or environments that adhere to a specific compliance regime) , it may be necessary to have separate VCF Fleets for these different environments.</w:t>
      </w:r>
    </w:p>
    <w:p>
      <w:pPr>
        <w:pStyle w:val="BodyText"/>
      </w:pPr>
      <w:r>
        <w:rPr>
          <w:rStyle w:val="InlineBold"/>
        </w:rPr>
        <w:t>Scale</w:t>
      </w:r>
    </w:p>
    <w:p>
      <w:pPr>
        <w:pStyle w:val="BodyText"/>
        <w:numPr>
          <w:numId w:val="18"/>
        </w:numPr>
      </w:pPr>
      <w:r>
        <w:t>If any aspect of the environment may exceed the scale limits for a VCF Fleet (see ConfigMax), it should be proactively divided into multiple VCF Fleets based on logical boundaries to avoid hitting a scale limit during a growth period.</w:t>
      </w:r>
    </w:p>
    <w:p>
      <w:pPr>
        <w:pStyle w:val="BodyText"/>
      </w:pPr>
      <w:r>
        <w:rPr>
          <w:rStyle w:val="InlineBold"/>
        </w:rPr>
        <w:t>Business Organization</w:t>
      </w:r>
    </w:p>
    <w:p>
      <w:pPr>
        <w:pStyle w:val="BodyText"/>
        <w:numPr>
          <w:numId w:val="19"/>
        </w:numPr>
      </w:pPr>
      <w:r>
        <w:t>In some cases there may be a desire to fully isolate groups at all levels of infrastructure and applications. Although VCF provide a multi-tenant experience, in cases where a potential divestiture is planned, or for other business requirements, separate VCF Fleets may be desired for different business groups.</w:t>
      </w:r>
    </w:p>
    <w:p>
      <w:pPr>
        <w:pStyle w:val="BodyText"/>
      </w:pPr>
      <w:r>
        <w:rPr>
          <w:rStyle w:val="InlineBold"/>
        </w:rPr>
        <w:t>Availability Requirements</w:t>
      </w:r>
    </w:p>
    <w:p>
      <w:pPr>
        <w:pStyle w:val="BodyText"/>
        <w:numPr>
          <w:numId w:val="20"/>
        </w:numPr>
      </w:pPr>
      <w:r>
        <w:t>If there are different environments that have different availability requirements for the VCF Fleet management components, you can either build to the highest requirement, or separate the workloads into different VCF Fleets that match the availability requirements of the workloads they will manage.</w:t>
      </w:r>
    </w:p>
    <w:p>
      <w:pPr>
        <w:pStyle w:val="BodyText"/>
      </w:pPr>
      <w:r>
        <w:t>Once the VCF Fleet layout is determined for the organization, the most appropriate Blueprint for each environment can be selected for its VCF Fleet, and scaled out as needed.</w:t>
      </w:r>
    </w:p>
    <w:p>
      <w:pPr>
        <w:pStyle w:val="SectionHeading3"/>
      </w:pPr>
      <w:r>
        <w:t>Disaster Recovery</w:t>
      </w:r>
    </w:p>
    <w:p>
      <w:pPr>
        <w:pStyle w:val="BodyText"/>
      </w:pPr>
      <w:r>
        <w:t>Disaster recovery is the process of recovering management and/or business workloads between sites and has the following attributes:</w:t>
      </w:r>
    </w:p>
    <w:p>
      <w:pPr>
        <w:pStyle w:val="BodyText"/>
        <w:numPr>
          <w:numId w:val="21"/>
        </w:numPr>
      </w:pPr>
      <w:r>
        <w:t>The fail-over is “crash consistent” - the running state of workloads is not maintained by the infrastructure.</w:t>
      </w:r>
    </w:p>
    <w:p>
      <w:pPr>
        <w:pStyle w:val="BodyText"/>
        <w:numPr>
          <w:numId w:val="21"/>
        </w:numPr>
      </w:pPr>
      <w:r>
        <w:t>There is a Recovery Point Objective (RPO), which is a delay in time between when data is written to storage in one location and when it is replicated to the other location.</w:t>
      </w:r>
    </w:p>
    <w:p>
      <w:pPr>
        <w:pStyle w:val="BodyText"/>
        <w:numPr>
          <w:numId w:val="21"/>
        </w:numPr>
      </w:pPr>
      <w:r>
        <w:t>There is a Recovery Time Objective (RTO), which is the amount of time it takes for the workloads to be operational in the second location once the manually-initiated fail-over process is started.</w:t>
      </w:r>
    </w:p>
    <w:p>
      <w:pPr>
        <w:pStyle w:val="BodyText"/>
        <w:numPr>
          <w:numId w:val="21"/>
        </w:numPr>
      </w:pPr>
      <w:r>
        <w:t>Typically this type of process is carried out between sites with latency too great to support synchronous replication of data.</w:t>
      </w:r>
    </w:p>
    <w:p>
      <w:pPr>
        <w:pStyle w:val="BodyText"/>
        <w:numPr>
          <w:numId w:val="21"/>
        </w:numPr>
      </w:pPr>
      <w:r>
        <w:t>It may also be used between sites that have a much shorter latency, but where there is a desire to guard against the scenario where logical corruption of data is instantly replicated to other sites via synchronous replication.</w:t>
      </w:r>
    </w:p>
    <w:p>
      <w:pPr>
        <w:pStyle w:val="BodyText"/>
      </w:pPr>
      <w:r>
        <w:t xml:space="preserve">Recovery with </w:t>
      </w:r>
      <w:r>
        <w:rPr>
          <w:rStyle w:val="InlineCite"/>
        </w:rPr>
        <w:t>Design Blueprints</w:t>
      </w:r>
    </w:p>
    <w:p>
      <w:pPr>
        <w:pStyle w:val="BodyText"/>
        <w:numPr>
          <w:numId w:val="22"/>
        </w:numPr>
      </w:pPr>
      <w:r>
        <w:t xml:space="preserve">All </w:t>
      </w:r>
      <w:r>
        <w:rPr>
          <w:rStyle w:val="InlineCite"/>
        </w:rPr>
        <w:t>Design Blueprints</w:t>
      </w:r>
      <w:r>
        <w:t xml:space="preserve"> support the recovery of management components through a backup and restore process, where backups can be scheduled automatically.</w:t>
      </w:r>
    </w:p>
    <w:p>
      <w:pPr>
        <w:pStyle w:val="BodyText"/>
        <w:numPr>
          <w:numId w:val="22"/>
        </w:numPr>
      </w:pPr>
      <w:r>
        <w:t xml:space="preserve">Some management components support additional distributed availability models that can serve as a recovery solution under certain failure scenarios (for example </w:t>
      </w:r>
      <w:r>
        <w:t>VCF Operations</w:t>
      </w:r>
      <w:r>
        <w:t xml:space="preserve"> can run in a continuous availability model across multiple regions). Other management components that do not support native backups, can be used with standard vSphere supported backup and recovery products.</w:t>
      </w:r>
    </w:p>
    <w:p>
      <w:pPr>
        <w:pStyle w:val="BodyText"/>
        <w:numPr>
          <w:numId w:val="22"/>
        </w:numPr>
      </w:pPr>
      <w:r>
        <w:t xml:space="preserve">To successfully recover workloads in the event of a failure, all described solutions require the development of a recovery plan, addressing the compute resources (including storage) and network connectivity required at each site and the orchestration of moving workloads between the two sites. This plan should be rigorously validated and tested regularly to ensure its accuracy and completeness. The development and validation of the recovery plan is not within the scope of this guide or the listed </w:t>
      </w:r>
      <w:r>
        <w:rPr>
          <w:rStyle w:val="InlineCite"/>
        </w:rPr>
        <w:t>Design Blueprints</w:t>
      </w:r>
      <w:r>
        <w:t>.</w:t>
      </w:r>
    </w:p>
    <w:p>
      <w:pPr>
        <w:pStyle w:val="BodyText"/>
      </w:pPr>
      <w:r>
        <w:t xml:space="preserve">In addition to the backup and recovery model, which can be leveraged for customer workloads (using a separately available backup and restore solution), there are availability constructs, covered by </w:t>
      </w:r>
      <w:r>
        <w:rPr>
          <w:rStyle w:val="InlineCite"/>
        </w:rPr>
        <w:t>Design Blueprints</w:t>
      </w:r>
      <w:r>
        <w:t>, that can address some of your recoverability and Business Continuity / Disaster Recovery (BC/DR) requirements:</w:t>
      </w:r>
    </w:p>
    <w:p>
      <w:pPr>
        <w:pStyle w:val="BodyText"/>
        <w:numPr>
          <w:numId w:val="23"/>
        </w:numPr>
      </w:pPr>
      <w:r>
        <w:t xml:space="preserve">Stretched Clusters: </w:t>
      </w:r>
      <w:r>
        <w:t>VCF Fleet with Multiple Sites in a Single Region</w:t>
      </w:r>
      <w:r>
        <w:t xml:space="preserve"> and </w:t>
      </w:r>
      <w:r>
        <w:t>VCF Fleet with Multiple Sites in a Single Region plus Additional Region(s)</w:t>
      </w:r>
      <w:r>
        <w:rPr>
          <w:rStyle w:val="InlineCite"/>
        </w:rPr>
        <w:t>Design Blueprints</w:t>
      </w:r>
      <w:r>
        <w:t xml:space="preserve"> include a stretched cluster model between 2 sites within the same region. This is technically an availability model rather than a recovery model (since any disk writes are instantly replicated to the remote site), however, it can still provide recovery options for certain types of failure scenarios.</w:t>
      </w:r>
    </w:p>
    <w:p>
      <w:pPr>
        <w:pStyle w:val="BodyText"/>
        <w:numPr>
          <w:numId w:val="23"/>
        </w:numPr>
      </w:pPr>
      <w:r>
        <w:t xml:space="preserve">Remote site recovery: </w:t>
      </w:r>
      <w:r>
        <w:t>VCF Fleet with Multiple Sites across Multiple Regions</w:t>
      </w:r>
      <w:r>
        <w:t xml:space="preserve"> and Blueprint 5 include designs with multiple locations in different regions. While the scope of the </w:t>
      </w:r>
      <w:r>
        <w:rPr>
          <w:rStyle w:val="InlineCite"/>
        </w:rPr>
        <w:t>Design Blueprints</w:t>
      </w:r>
      <w:r>
        <w:t xml:space="preserve"> does not include implementing a data replication and workload recovery solution, the design provides a suitable basis for replicating workload data and orchestrating fail-over of workloads to the recovery site using VMware Live Recovery or a third party product.</w:t>
      </w:r>
    </w:p>
    <w:p>
      <w:pPr>
        <w:pStyle w:val="SectionHeading3"/>
      </w:pPr>
      <w:r>
        <w:t>Expansion after Design Blueprint Deployment</w:t>
      </w:r>
    </w:p>
    <w:p>
      <w:pPr>
        <w:pStyle w:val="BodyText"/>
      </w:pPr>
      <w:r>
        <w:t xml:space="preserve">The included </w:t>
      </w:r>
      <w:r>
        <w:rPr>
          <w:rStyle w:val="InlineCite"/>
        </w:rPr>
        <w:t>Design Blueprints</w:t>
      </w:r>
      <w:r>
        <w:t xml:space="preserve"> are starting points for the initial deployment and cover either a management domain only, or a management domain and the first workload domain. All </w:t>
      </w:r>
      <w:r>
        <w:t>VCF</w:t>
      </w:r>
      <w:r>
        <w:t xml:space="preserve"> deployments may be expanded in the following ways and are subject to the limits defined in </w:t>
      </w:r>
      <w:hyperlink r:id="rId8" w:tooltip="VMware Configuration Maximums" w:history="1">
        <w:r>
          <w:rPr>
            <w:color w:val="0000FF"/>
            <w:u w:val="single"/>
          </w:rPr>
          <w:t>VMware Configuration Maximums</w:t>
        </w:r>
      </w:hyperlink>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8"/>
        <w:gridCol w:w="839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Type of Expansion</w:t>
            </w:r>
          </w:p>
        </w:tc>
        <w:tc>
          <w:tcPr>
            <w:tcBorders>
              <w:left w:val="nil"/>
              <w:right w:val="nil"/>
            </w:tcBorders>
            <w:shd w:val="clear" w:color="auto" w:fill="E1E1E1"/>
            <w:tcMar>
              <w:top w:w="60" w:type="dxa"/>
              <w:bottom w:w="60" w:type="dxa"/>
            </w:tcMar>
          </w:tcPr>
          <w:p>
            <w:pPr>
              <w:pStyle w:val="TableHeaderText"/>
            </w:pPr>
            <w:r>
              <w:t>Methods of Expansion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Expansion</w:t>
            </w:r>
          </w:p>
        </w:tc>
        <w:tc>
          <w:tcPr>
            <w:tcBorders>
              <w:left w:val="nil"/>
              <w:right w:val="nil"/>
            </w:tcBorders>
          </w:tcPr>
          <w:p>
            <w:pPr>
              <w:pStyle w:val="TableBodyText"/>
              <w:numPr>
                <w:numId w:val="24"/>
              </w:numPr>
            </w:pPr>
            <w:r>
              <w:t>Add additional hosts to an existing vSphere cluster.</w:t>
            </w:r>
          </w:p>
          <w:p>
            <w:pPr>
              <w:pStyle w:val="TableBodyText"/>
              <w:numPr>
                <w:ilvl w:val="1"/>
                <w:numId w:val="24"/>
              </w:numPr>
            </w:pPr>
            <w:r>
              <w:t>Provides additional compute capacity (and storage if using vSAN) with automated workload balancing and failover within the scope of the entire cluster. All hosts in a cluster must have the same configuration and access to resources (networking, storage)</w:t>
            </w:r>
          </w:p>
          <w:p>
            <w:pPr>
              <w:pStyle w:val="TableBodyText"/>
              <w:numPr>
                <w:numId w:val="24"/>
              </w:numPr>
            </w:pPr>
            <w:r>
              <w:t xml:space="preserve">Add additional vSphere clusters to an existing </w:t>
            </w:r>
            <w:r>
              <w:t>VCF</w:t>
            </w:r>
            <w:r>
              <w:t xml:space="preserve"> domain.</w:t>
            </w:r>
          </w:p>
          <w:p>
            <w:pPr>
              <w:pStyle w:val="TableBodyText"/>
              <w:numPr>
                <w:ilvl w:val="1"/>
                <w:numId w:val="24"/>
              </w:numPr>
            </w:pPr>
            <w:r>
              <w:t>Provides additional compute capacity (and storage if using vSAN) in an isolated scope from workloads in other clusters. Can have different configuration, networking and/or storage from other clusters. Automated failover and workload balancing does not span across clusters.</w:t>
            </w:r>
          </w:p>
          <w:p>
            <w:pPr>
              <w:pStyle w:val="TableBodyText"/>
              <w:numPr>
                <w:numId w:val="24"/>
              </w:numPr>
            </w:pPr>
            <w:r>
              <w:t xml:space="preserve">Add additional workload domains to an existing </w:t>
            </w:r>
            <w:r>
              <w:t>VCF</w:t>
            </w:r>
            <w:r>
              <w:t xml:space="preserve"> Instance.</w:t>
            </w:r>
          </w:p>
          <w:p>
            <w:pPr>
              <w:pStyle w:val="TableBodyText"/>
              <w:numPr>
                <w:ilvl w:val="1"/>
                <w:numId w:val="24"/>
              </w:numPr>
            </w:pPr>
            <w:r>
              <w:t>Provides separate management &amp; control plane (vCenter) from other workload domains, allowing for different configurations or to support separate locations or access.</w:t>
            </w:r>
          </w:p>
          <w:p>
            <w:pPr>
              <w:pStyle w:val="TableBodyText"/>
              <w:numPr>
                <w:numId w:val="24"/>
              </w:numPr>
            </w:pPr>
            <w:r>
              <w:t xml:space="preserve">Add additional </w:t>
            </w:r>
            <w:r>
              <w:t>VCF</w:t>
            </w:r>
            <w:r>
              <w:t xml:space="preserve"> Instances to an existing </w:t>
            </w:r>
            <w:r>
              <w:t>VCF</w:t>
            </w:r>
            <w:r>
              <w:t xml:space="preserve"> fleet</w:t>
            </w:r>
          </w:p>
          <w:p>
            <w:pPr>
              <w:pStyle w:val="TableBodyText"/>
              <w:numPr>
                <w:ilvl w:val="1"/>
                <w:numId w:val="24"/>
              </w:numPr>
            </w:pPr>
            <w:r>
              <w:t>Provides separate management &amp; networking from other instances, allowing for different configurations or to support separate locations, while maintaining a common consumption instance (VCF Operations, VCF Automation and Fleet Management.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 Expansion</w:t>
            </w:r>
          </w:p>
        </w:tc>
        <w:tc>
          <w:tcPr>
            <w:tcBorders>
              <w:left w:val="nil"/>
              <w:right w:val="nil"/>
            </w:tcBorders>
          </w:tcPr>
          <w:p>
            <w:pPr>
              <w:pStyle w:val="TableBodyText"/>
              <w:numPr>
                <w:numId w:val="25"/>
              </w:numPr>
            </w:pPr>
            <w:r>
              <w:t>Add Interconnected Site (in the same region) *</w:t>
            </w:r>
          </w:p>
          <w:p>
            <w:pPr>
              <w:pStyle w:val="TableBodyText"/>
              <w:numPr>
                <w:numId w:val="25"/>
              </w:numPr>
            </w:pPr>
            <w:r>
              <w:t>Add Interconnected Site (in another region) *</w:t>
            </w:r>
          </w:p>
        </w:tc>
      </w:tr>
    </w:tbl>
    <w:p>
      <w:pPr>
        <w:pStyle w:val="BodyText"/>
        <w:pBdr>
          <w:top w:val="single" w:sz="8" w:space="2" w:color="D3D3D3"/>
          <w:bottom w:val="single" w:sz="8" w:space="2" w:color="D3D3D3"/>
        </w:pBdr>
        <w:spacing w:before="240"/>
      </w:pPr>
      <w:r>
        <w:rPr>
          <w:rStyle w:val="NoteLeadernote"/>
        </w:rPr>
        <w:t>Note</w:t>
        <w:tab/>
      </w:r>
      <w:r>
        <w:t>* Once a new site has been added, additional steps are required to leverage additional availability by deploying additional or modifying the configuration of existing vSphere clusters to use that site.</w:t>
      </w:r>
    </w:p>
    <w:p>
      <w:pPr>
        <w:pStyle w:val="Heading1"/>
      </w:pPr>
      <w:bookmarkStart w:id="12" w:name="_Toc256000041"/>
      <w:r>
        <w:t>VCF Operations for Logs Detailed Design</w:t>
      </w:r>
      <w:bookmarkEnd w:id="12"/>
    </w:p>
    <w:p>
      <w:pPr>
        <w:pStyle w:val="BodyText"/>
      </w:pPr>
      <w:r>
        <w:t xml:space="preserve">A </w:t>
      </w:r>
      <w:r>
        <w:t>VCF</w:t>
      </w:r>
      <w:r>
        <w:t xml:space="preserve"> fleet can include one or more of the supported for </w:t>
      </w:r>
      <w:r>
        <w:t>VCF Operations for logs</w:t>
      </w:r>
      <w:r>
        <w:rPr>
          <w:rStyle w:val="InlineCite"/>
        </w:rPr>
        <w:t xml:space="preserve"> Models</w:t>
      </w:r>
      <w:r>
        <w:t xml:space="preserve">. This section describes the options, requirements and recommendations for each </w:t>
      </w:r>
      <w:r>
        <w:t>VCF Operations for logs</w:t>
      </w:r>
      <w:r>
        <w:rPr>
          <w:rStyle w:val="InlineCite"/>
        </w:rPr>
        <w:t xml:space="preserve"> Model</w:t>
      </w:r>
      <w:r>
        <w:t>.</w:t>
      </w:r>
    </w:p>
    <w:p>
      <w:pPr>
        <w:pStyle w:val="BodyText"/>
        <w:numPr>
          <w:numId w:val="2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B5f5ebd2022c446f5aa925fdad68ef59c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VCF Operations for Logs Model</w:t>
      </w:r>
      <w:r>
        <w:fldChar w:fldCharType="end"/>
      </w:r>
    </w:p>
    <w:p>
      <w:pPr>
        <w:pStyle w:val="BodyText"/>
        <w:numPr>
          <w:numId w:val="2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B1bed9d7be6eb40ddb35067fdc97cf880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VCF Operations for Logs Model</w:t>
      </w:r>
      <w:r>
        <w:fldChar w:fldCharType="end"/>
      </w:r>
    </w:p>
    <w:p>
      <w:pPr>
        <w:pStyle w:val="SectionHeading2"/>
      </w:pPr>
      <w:r>
        <w:t>VCF Operations for Logs Deployment Models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Common Design Attributes for the VCF Operations for Logs Deployment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26"/>
        <w:gridCol w:w="793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Centralized management</w:t>
            </w:r>
          </w:p>
        </w:tc>
        <w:tc>
          <w:tcPr>
            <w:tcBorders>
              <w:left w:val="nil"/>
              <w:right w:val="nil"/>
            </w:tcBorders>
          </w:tcPr>
          <w:p>
            <w:pPr>
              <w:pStyle w:val="TableBodyText"/>
            </w:pPr>
            <w:r>
              <w:t xml:space="preserve">Provides a centralized log management framework for </w:t>
            </w:r>
            <w:r>
              <w:t>vCenter</w:t>
            </w:r>
            <w:r>
              <w:t xml:space="preserve">, </w:t>
            </w:r>
            <w:r>
              <w:t>ESX</w:t>
            </w:r>
            <w:r>
              <w:t xml:space="preserve">, </w:t>
            </w:r>
            <w:r>
              <w:t>VCF Automation</w:t>
            </w:r>
            <w:r>
              <w:t xml:space="preserve">, NSX, and </w:t>
            </w:r>
            <w:r>
              <w:t>VCF Identity Broker</w:t>
            </w:r>
            <w:r>
              <w:t>.</w:t>
            </w:r>
          </w:p>
          <w:p>
            <w:pPr>
              <w:pStyle w:val="TableBodyText"/>
            </w:pPr>
            <w:r>
              <w:t xml:space="preserve">The use cases listed are an example, but they are not limited to this subset, for a High Availability / Cluster </w:t>
            </w:r>
            <w:r>
              <w:t>VCF Operations for logs</w:t>
            </w:r>
            <w:r>
              <w:t xml:space="preserve"> instance to manage:</w:t>
            </w:r>
          </w:p>
          <w:p>
            <w:pPr>
              <w:pStyle w:val="TableBodyText"/>
              <w:numPr>
                <w:numId w:val="27"/>
              </w:numPr>
            </w:pPr>
            <w:r>
              <w:t>Fleet level deployments</w:t>
            </w:r>
          </w:p>
          <w:p>
            <w:pPr>
              <w:pStyle w:val="TableBodyText"/>
              <w:numPr>
                <w:numId w:val="27"/>
              </w:numPr>
            </w:pPr>
            <w:r>
              <w:t>Default deployment model for all management and workload environments</w:t>
            </w:r>
          </w:p>
          <w:p>
            <w:pPr>
              <w:pStyle w:val="TableBodyText"/>
              <w:numPr>
                <w:numId w:val="27"/>
              </w:numPr>
            </w:pPr>
            <w:r>
              <w:t>High availability environments</w:t>
            </w:r>
          </w:p>
          <w:p>
            <w:pPr>
              <w:pStyle w:val="TableBodyText"/>
            </w:pPr>
            <w:r>
              <w:t xml:space="preserve">The use cases listed are an example, but they are not limited to this subset, for a Simple / Standard </w:t>
            </w:r>
            <w:r>
              <w:t>VCF Operations for logs</w:t>
            </w:r>
            <w:r>
              <w:t xml:space="preserve"> instance to manage:</w:t>
            </w:r>
          </w:p>
          <w:p>
            <w:pPr>
              <w:pStyle w:val="TableBodyText"/>
              <w:numPr>
                <w:numId w:val="28"/>
              </w:numPr>
            </w:pPr>
            <w:r>
              <w:t>Test/Dev Environments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Initial deployment</w:t>
            </w:r>
          </w:p>
        </w:tc>
        <w:tc>
          <w:tcPr>
            <w:tcBorders>
              <w:left w:val="nil"/>
              <w:right w:val="nil"/>
            </w:tcBorders>
          </w:tcPr>
          <w:p>
            <w:pPr>
              <w:pStyle w:val="TableBodyText"/>
            </w:pPr>
            <w:r>
              <w:t>Deployed after initial deployment of infrastructure and Ops. It is deployed within the Fleet Management component of VCF Ops.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Architecture flexibility</w:t>
            </w:r>
          </w:p>
        </w:tc>
        <w:tc>
          <w:tcPr>
            <w:tcBorders>
              <w:left w:val="nil"/>
              <w:right w:val="nil"/>
            </w:tcBorders>
          </w:tcPr>
          <w:p>
            <w:pPr>
              <w:pStyle w:val="TableBodyText"/>
            </w:pPr>
            <w:r>
              <w:t>Can be deployed in a Simple or Highly Available Cluster deployment.</w:t>
            </w:r>
          </w:p>
          <w:p>
            <w:pPr>
              <w:pStyle w:val="TableBodyText"/>
            </w:pPr>
            <w:r>
              <w:t>Recommended deployment is a HA Cluster deployment and it satisfies most use cases.</w:t>
            </w:r>
          </w:p>
          <w:p>
            <w:pPr>
              <w:pStyle w:val="TableBodyText"/>
            </w:pPr>
            <w:r>
              <w:t>Simple deployment is for test/dev environments, it is not for production use cases.</w:t>
            </w:r>
          </w:p>
        </w:tc>
      </w:tr>
    </w:tbl>
    <w:p>
      <w:pPr>
        <w:pStyle w:val="SectionHeading2"/>
        <w:spacing w:before="320"/>
      </w:pP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VCF Fleet Single Site Deployment Design</w:t>
      </w:r>
    </w:p>
    <w:p>
      <w:pPr>
        <w:pStyle w:val="BodyText"/>
      </w:pPr>
      <w:r>
        <w:drawing>
          <wp:anchor simplePos="0" relativeHeight="251659264" behindDoc="0" locked="0" layoutInCell="0" allowOverlap="0">
            <wp:simplePos x="0" y="0"/>
            <wp:positionH relativeFrom="column">
              <wp:align>center</wp:align>
            </wp:positionH>
            <wp:positionV relativeFrom="paragraph">
              <wp:align>bottom</wp:align>
            </wp:positionV>
            <wp:extent cx="6324600" cy="4991860"/>
            <wp:wrapTopAndBottom/>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9"/>
                    <a:stretch>
                      <a:fillRect/>
                    </a:stretch>
                  </pic:blipFill>
                  <pic:spPr>
                    <a:xfrm>
                      <a:off x="0" y="0"/>
                      <a:ext cx="6324600" cy="4991860"/>
                    </a:xfrm>
                    <a:prstGeom prst="rect">
                      <a:avLst/>
                    </a:prstGeom>
                  </pic:spPr>
                </pic:pic>
              </a:graphicData>
            </a:graphic>
          </wp:anchor>
        </w:drawing>
      </w:r>
    </w:p>
    <w:p>
      <w:pPr>
        <w:pStyle w:val="SectionHeading2"/>
      </w:pPr>
      <w:r>
        <w:t>VCF Operations for logs Sizing Considerations</w:t>
      </w:r>
    </w:p>
    <w:p>
      <w:pPr>
        <w:pStyle w:val="BodyText"/>
      </w:pPr>
      <w:r>
        <w:t>Log ingestion rates for the Simple / Standard deployment is as follows the storage requirement is 530 GB per node but can support up to 6 TB per volume.</w:t>
      </w:r>
    </w:p>
    <w:p>
      <w:pPr>
        <w:pStyle w:val="BodyText"/>
      </w:pPr>
      <w:r>
        <w:t>The table below shows examples for simple deployments, to understand the numbers for a clustered deployment simply multiply by 3.</w:t>
      </w:r>
    </w:p>
    <w:p>
      <w:pPr>
        <w:pStyle w:val="BodyText"/>
      </w:pPr>
      <w:r>
        <w:t xml:space="preserve">Ex: Medium Node supports 1000 IOPs, a medium cluster deployment has 3 medium sized nodes so it supports 3 x 1000 = 3000 IOPs.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23"/>
        <w:gridCol w:w="1532"/>
        <w:gridCol w:w="1168"/>
        <w:gridCol w:w="1084"/>
        <w:gridCol w:w="773"/>
        <w:gridCol w:w="2818"/>
        <w:gridCol w:w="146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Node Size</w:t>
            </w:r>
          </w:p>
        </w:tc>
        <w:tc>
          <w:tcPr>
            <w:tcBorders>
              <w:left w:val="nil"/>
              <w:right w:val="nil"/>
            </w:tcBorders>
            <w:shd w:val="clear" w:color="auto" w:fill="E1E1E1"/>
            <w:tcMar>
              <w:top w:w="60" w:type="dxa"/>
              <w:bottom w:w="60" w:type="dxa"/>
            </w:tcMar>
          </w:tcPr>
          <w:p>
            <w:pPr>
              <w:pStyle w:val="TableHeaderText"/>
            </w:pPr>
            <w:r>
              <w:t>Log Ingest Rate</w:t>
            </w:r>
          </w:p>
        </w:tc>
        <w:tc>
          <w:tcPr>
            <w:tcBorders>
              <w:left w:val="nil"/>
              <w:right w:val="nil"/>
            </w:tcBorders>
            <w:shd w:val="clear" w:color="auto" w:fill="E1E1E1"/>
            <w:tcMar>
              <w:top w:w="60" w:type="dxa"/>
              <w:bottom w:w="60" w:type="dxa"/>
            </w:tcMar>
          </w:tcPr>
          <w:p>
            <w:pPr>
              <w:pStyle w:val="TableHeaderText"/>
            </w:pPr>
            <w:r>
              <w:t>Virtual CPUs</w:t>
            </w:r>
          </w:p>
        </w:tc>
        <w:tc>
          <w:tcPr>
            <w:tcBorders>
              <w:left w:val="nil"/>
              <w:right w:val="nil"/>
            </w:tcBorders>
            <w:shd w:val="clear" w:color="auto" w:fill="E1E1E1"/>
            <w:tcMar>
              <w:top w:w="60" w:type="dxa"/>
              <w:bottom w:w="60" w:type="dxa"/>
            </w:tcMar>
          </w:tcPr>
          <w:p>
            <w:pPr>
              <w:pStyle w:val="TableHeaderText"/>
            </w:pPr>
            <w:r>
              <w:t>Memory</w:t>
            </w:r>
          </w:p>
        </w:tc>
        <w:tc>
          <w:tcPr>
            <w:tcBorders>
              <w:left w:val="nil"/>
              <w:right w:val="nil"/>
            </w:tcBorders>
            <w:shd w:val="clear" w:color="auto" w:fill="E1E1E1"/>
            <w:tcMar>
              <w:top w:w="60" w:type="dxa"/>
              <w:bottom w:w="60" w:type="dxa"/>
            </w:tcMar>
          </w:tcPr>
          <w:p>
            <w:pPr>
              <w:pStyle w:val="TableHeaderText"/>
            </w:pPr>
            <w:r>
              <w:t>IOPs</w:t>
            </w:r>
          </w:p>
        </w:tc>
        <w:tc>
          <w:tcPr>
            <w:tcBorders>
              <w:left w:val="nil"/>
              <w:right w:val="nil"/>
            </w:tcBorders>
            <w:shd w:val="clear" w:color="auto" w:fill="E1E1E1"/>
            <w:tcMar>
              <w:top w:w="60" w:type="dxa"/>
              <w:bottom w:w="60" w:type="dxa"/>
            </w:tcMar>
          </w:tcPr>
          <w:p>
            <w:pPr>
              <w:pStyle w:val="TableHeaderText"/>
            </w:pPr>
            <w:r>
              <w:t>Syslog Connections (Active TCP Connections)</w:t>
            </w:r>
          </w:p>
        </w:tc>
        <w:tc>
          <w:tcPr>
            <w:tcBorders>
              <w:left w:val="nil"/>
              <w:right w:val="nil"/>
            </w:tcBorders>
            <w:shd w:val="clear" w:color="auto" w:fill="E1E1E1"/>
            <w:tcMar>
              <w:top w:w="60" w:type="dxa"/>
              <w:bottom w:w="60" w:type="dxa"/>
            </w:tcMar>
          </w:tcPr>
          <w:p>
            <w:pPr>
              <w:pStyle w:val="TableHeaderText"/>
            </w:pPr>
            <w:r>
              <w:t>Events Per Second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Small</w:t>
            </w:r>
          </w:p>
        </w:tc>
        <w:tc>
          <w:tcPr>
            <w:tcBorders>
              <w:left w:val="nil"/>
              <w:right w:val="nil"/>
            </w:tcBorders>
          </w:tcPr>
          <w:p>
            <w:pPr>
              <w:pStyle w:val="TableBodyText"/>
            </w:pPr>
            <w:r>
              <w:t>30 GB/Day</w:t>
            </w:r>
          </w:p>
        </w:tc>
        <w:tc>
          <w:tcPr>
            <w:tcBorders>
              <w:left w:val="nil"/>
              <w:right w:val="nil"/>
            </w:tcBorders>
          </w:tcPr>
          <w:p>
            <w:pPr>
              <w:pStyle w:val="TableBodyText"/>
            </w:pPr>
            <w:r>
              <w:t>4</w:t>
            </w:r>
          </w:p>
        </w:tc>
        <w:tc>
          <w:tcPr>
            <w:tcBorders>
              <w:left w:val="nil"/>
              <w:right w:val="nil"/>
            </w:tcBorders>
          </w:tcPr>
          <w:p>
            <w:pPr>
              <w:pStyle w:val="TableBodyText"/>
            </w:pPr>
            <w:r>
              <w:t>8 GB</w:t>
            </w:r>
          </w:p>
        </w:tc>
        <w:tc>
          <w:tcPr>
            <w:tcBorders>
              <w:left w:val="nil"/>
              <w:right w:val="nil"/>
            </w:tcBorders>
          </w:tcPr>
          <w:p>
            <w:pPr>
              <w:pStyle w:val="TableBodyText"/>
            </w:pPr>
            <w:r>
              <w:t>500</w:t>
            </w:r>
          </w:p>
        </w:tc>
        <w:tc>
          <w:tcPr>
            <w:tcBorders>
              <w:left w:val="nil"/>
              <w:right w:val="nil"/>
            </w:tcBorders>
          </w:tcPr>
          <w:p>
            <w:pPr>
              <w:pStyle w:val="TableBodyText"/>
            </w:pPr>
            <w:r>
              <w:t>100</w:t>
            </w:r>
          </w:p>
        </w:tc>
        <w:tc>
          <w:tcPr>
            <w:tcBorders>
              <w:left w:val="nil"/>
              <w:right w:val="nil"/>
            </w:tcBorders>
          </w:tcPr>
          <w:p>
            <w:pPr>
              <w:pStyle w:val="TableBodyText"/>
            </w:pPr>
            <w:r>
              <w:t>2000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75 GB/Day</w:t>
            </w:r>
          </w:p>
        </w:tc>
        <w:tc>
          <w:tcPr>
            <w:tcBorders>
              <w:left w:val="nil"/>
              <w:right w:val="nil"/>
            </w:tcBorders>
          </w:tcPr>
          <w:p>
            <w:pPr>
              <w:pStyle w:val="TableBodyText"/>
            </w:pPr>
            <w:r>
              <w:t>8</w:t>
            </w:r>
          </w:p>
        </w:tc>
        <w:tc>
          <w:tcPr>
            <w:tcBorders>
              <w:left w:val="nil"/>
              <w:right w:val="nil"/>
            </w:tcBorders>
          </w:tcPr>
          <w:p>
            <w:pPr>
              <w:pStyle w:val="TableBodyText"/>
            </w:pPr>
            <w:r>
              <w:t>16 GB</w:t>
            </w:r>
          </w:p>
        </w:tc>
        <w:tc>
          <w:tcPr>
            <w:tcBorders>
              <w:left w:val="nil"/>
              <w:right w:val="nil"/>
            </w:tcBorders>
          </w:tcPr>
          <w:p>
            <w:pPr>
              <w:pStyle w:val="TableBodyText"/>
            </w:pPr>
            <w:r>
              <w:t>1000</w:t>
            </w:r>
          </w:p>
        </w:tc>
        <w:tc>
          <w:tcPr>
            <w:tcBorders>
              <w:left w:val="nil"/>
              <w:right w:val="nil"/>
            </w:tcBorders>
          </w:tcPr>
          <w:p>
            <w:pPr>
              <w:pStyle w:val="TableBodyText"/>
            </w:pPr>
            <w:r>
              <w:t>250</w:t>
            </w:r>
          </w:p>
        </w:tc>
        <w:tc>
          <w:tcPr>
            <w:tcBorders>
              <w:left w:val="nil"/>
              <w:right w:val="nil"/>
            </w:tcBorders>
          </w:tcPr>
          <w:p>
            <w:pPr>
              <w:pStyle w:val="TableBodyText"/>
            </w:pPr>
            <w:r>
              <w:t>5000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225GB/Day</w:t>
            </w:r>
          </w:p>
        </w:tc>
        <w:tc>
          <w:tcPr>
            <w:tcBorders>
              <w:left w:val="nil"/>
              <w:right w:val="nil"/>
            </w:tcBorders>
          </w:tcPr>
          <w:p>
            <w:pPr>
              <w:pStyle w:val="TableBodyText"/>
            </w:pPr>
            <w:r>
              <w:t>16</w:t>
            </w:r>
          </w:p>
        </w:tc>
        <w:tc>
          <w:tcPr>
            <w:tcBorders>
              <w:left w:val="nil"/>
              <w:right w:val="nil"/>
            </w:tcBorders>
          </w:tcPr>
          <w:p>
            <w:pPr>
              <w:pStyle w:val="TableBodyText"/>
            </w:pPr>
            <w:r>
              <w:t>32 GB</w:t>
            </w:r>
          </w:p>
        </w:tc>
        <w:tc>
          <w:tcPr>
            <w:tcBorders>
              <w:left w:val="nil"/>
              <w:right w:val="nil"/>
            </w:tcBorders>
          </w:tcPr>
          <w:p>
            <w:pPr>
              <w:pStyle w:val="TableBodyText"/>
            </w:pPr>
            <w:r>
              <w:t>1500</w:t>
            </w:r>
          </w:p>
        </w:tc>
        <w:tc>
          <w:tcPr>
            <w:tcBorders>
              <w:left w:val="nil"/>
              <w:right w:val="nil"/>
            </w:tcBorders>
          </w:tcPr>
          <w:p>
            <w:pPr>
              <w:pStyle w:val="TableBodyText"/>
            </w:pPr>
            <w:r>
              <w:t>750</w:t>
            </w:r>
          </w:p>
        </w:tc>
        <w:tc>
          <w:tcPr>
            <w:tcBorders>
              <w:left w:val="nil"/>
              <w:right w:val="nil"/>
            </w:tcBorders>
          </w:tcPr>
          <w:p>
            <w:pPr>
              <w:pStyle w:val="TableBodyText"/>
            </w:pPr>
            <w:r>
              <w:t>15000</w:t>
            </w:r>
          </w:p>
        </w:tc>
      </w:tr>
    </w:tbl>
    <w:p>
      <w:pPr>
        <w:pStyle w:val="SectionHeading2"/>
        <w:spacing w:before="320"/>
      </w:pPr>
      <w:r>
        <w:t>Log Retention and Archive Design for VCF Operations for logs</w:t>
      </w:r>
    </w:p>
    <w:p>
      <w:pPr>
        <w:pStyle w:val="BodyText"/>
      </w:pPr>
      <w:r>
        <w:t xml:space="preserve">VCF Operations for Logs can allow for archival and retention based upon your organizations requirements. Your organization might require log retention and/or archiving due to compliance, auditing or for troubleshooting purposes and in doing so you will need to configure Operations for Logs to do this. You will need to calculate the sizing by using the </w:t>
      </w:r>
      <w:hyperlink r:id="rId10" w:tooltip="VRLI Sizer." w:history="1">
        <w:r>
          <w:rPr>
            <w:color w:val="0000FF"/>
            <w:u w:val="single"/>
          </w:rPr>
          <w:t>VRLI Sizer.</w:t>
        </w:r>
      </w:hyperlink>
      <w:r>
        <w:t xml:space="preserve"> By default the virtual disk configuration within Operations for Logs is as shown in the table below.</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Virtual Disk Configuration on the VCF Operations for logs Appliance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1"/>
        <w:gridCol w:w="4382"/>
        <w:gridCol w:w="40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Hard disk</w:t>
            </w:r>
          </w:p>
        </w:tc>
        <w:tc>
          <w:tcPr>
            <w:tcBorders>
              <w:left w:val="nil"/>
              <w:right w:val="nil"/>
            </w:tcBorders>
            <w:shd w:val="clear" w:color="auto" w:fill="E1E1E1"/>
            <w:tcMar>
              <w:top w:w="60" w:type="dxa"/>
              <w:bottom w:w="60" w:type="dxa"/>
            </w:tcMar>
          </w:tcPr>
          <w:p>
            <w:pPr>
              <w:pStyle w:val="TableHeaderText"/>
            </w:pPr>
            <w:r>
              <w:t>Size</w:t>
            </w:r>
          </w:p>
        </w:tc>
        <w:tc>
          <w:tcPr>
            <w:tcBorders>
              <w:left w:val="nil"/>
              <w:right w:val="nil"/>
            </w:tcBorders>
            <w:shd w:val="clear" w:color="auto" w:fill="E1E1E1"/>
            <w:tcMar>
              <w:top w:w="60" w:type="dxa"/>
              <w:bottom w:w="60" w:type="dxa"/>
            </w:tcMar>
          </w:tcPr>
          <w:p>
            <w:pPr>
              <w:pStyle w:val="TableHeaderText"/>
            </w:pPr>
            <w:r>
              <w:t>Usage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Hard disk 1</w:t>
            </w:r>
          </w:p>
        </w:tc>
        <w:tc>
          <w:tcPr>
            <w:tcBorders>
              <w:left w:val="nil"/>
              <w:right w:val="nil"/>
            </w:tcBorders>
          </w:tcPr>
          <w:p>
            <w:pPr>
              <w:pStyle w:val="TableBodyText"/>
            </w:pPr>
            <w:r>
              <w:t>20 GB</w:t>
            </w:r>
          </w:p>
        </w:tc>
        <w:tc>
          <w:tcPr>
            <w:tcBorders>
              <w:left w:val="nil"/>
              <w:right w:val="nil"/>
            </w:tcBorders>
          </w:tcPr>
          <w:p>
            <w:pPr>
              <w:pStyle w:val="TableBodyText"/>
            </w:pPr>
            <w:r>
              <w:t>Root file system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Hard disk 2</w:t>
            </w:r>
          </w:p>
        </w:tc>
        <w:tc>
          <w:tcPr>
            <w:tcBorders>
              <w:left w:val="nil"/>
              <w:right w:val="nil"/>
            </w:tcBorders>
          </w:tcPr>
          <w:p>
            <w:pPr>
              <w:pStyle w:val="TableBodyText"/>
            </w:pPr>
            <w:r>
              <w:t>510 GB for a medium-size deployment</w:t>
            </w:r>
          </w:p>
        </w:tc>
        <w:tc>
          <w:tcPr>
            <w:tcBorders>
              <w:left w:val="nil"/>
              <w:right w:val="nil"/>
            </w:tcBorders>
          </w:tcPr>
          <w:p>
            <w:pPr>
              <w:pStyle w:val="TableBodyText"/>
            </w:pPr>
            <w:r>
              <w:t>Contains two partitions:</w:t>
            </w:r>
          </w:p>
          <w:p>
            <w:pPr>
              <w:pStyle w:val="TableBodyText"/>
              <w:numPr>
                <w:numId w:val="29"/>
              </w:numPr>
            </w:pPr>
            <w:r>
              <w:t>/storage/var for system logs</w:t>
            </w:r>
          </w:p>
          <w:p>
            <w:pPr>
              <w:pStyle w:val="TableBodyText"/>
              <w:numPr>
                <w:numId w:val="29"/>
              </w:numPr>
            </w:pPr>
            <w:r>
              <w:t>/storage/core for collected logs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Log Archiving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292"/>
        <w:gridCol w:w="866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Archiving period</w:t>
            </w:r>
          </w:p>
        </w:tc>
        <w:tc>
          <w:tcPr>
            <w:tcBorders>
              <w:left w:val="nil"/>
              <w:right w:val="nil"/>
            </w:tcBorders>
          </w:tcPr>
          <w:p>
            <w:pPr>
              <w:pStyle w:val="TableBodyText"/>
            </w:pPr>
            <w:r>
              <w:t>VCF Operations for logs</w:t>
            </w:r>
            <w:r>
              <w:t xml:space="preserve"> archives log messages as soon as possible. At the same time, the logs are retained on the virtual appliance until the free local space is almost filled. Data exists on both theVMware Aria Operations for Logsappliance and the archive location for most of the retention period. The archiving period must be longer than the retention period.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Archive location</w:t>
            </w:r>
          </w:p>
        </w:tc>
        <w:tc>
          <w:tcPr>
            <w:tcBorders>
              <w:left w:val="nil"/>
              <w:right w:val="nil"/>
            </w:tcBorders>
          </w:tcPr>
          <w:p>
            <w:pPr>
              <w:pStyle w:val="TableBodyText"/>
            </w:pPr>
            <w:r>
              <w:t>The archive location must be on an NFS version 3 (NFSv3) shared storage. The archive location must be available and must have enough capacity to accommodate the archives.</w:t>
            </w:r>
          </w:p>
        </w:tc>
      </w:tr>
    </w:tbl>
    <w:p>
      <w:pPr>
        <w:pStyle w:val="Heading2"/>
        <w:spacing w:before="320"/>
      </w:pPr>
      <w:bookmarkStart w:id="13" w:name="B5f5ebd2022c446f5aa925fdad68ef59c"/>
      <w:bookmarkStart w:id="14" w:name="_Toc256000042"/>
      <w:r>
        <w:t>Simple VCF Operations for Logs Model</w:t>
      </w:r>
      <w:bookmarkEnd w:id="14"/>
      <w:bookmarkEnd w:id="13"/>
    </w:p>
    <w:p>
      <w:pPr>
        <w:pStyle w:val="BodyText"/>
      </w:pPr>
      <w:r>
        <w:t>A single VCF Operations for logs node deployed in a vSphere cluster. Availability is provided by the native vSphere HA functionality within the vSphere cluster.</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Simple VCF Operations for Logs Model</w:t>
      </w:r>
    </w:p>
    <w:p>
      <w:pPr>
        <w:pStyle w:val="BodyText"/>
      </w:pPr>
      <w:r>
        <w:drawing>
          <wp:anchor simplePos="0" relativeHeight="251660288" behindDoc="0" locked="0" layoutInCell="0" allowOverlap="0">
            <wp:simplePos x="0" y="0"/>
            <wp:positionH relativeFrom="column">
              <wp:align>center</wp:align>
            </wp:positionH>
            <wp:positionV relativeFrom="paragraph">
              <wp:align>bottom</wp:align>
            </wp:positionV>
            <wp:extent cx="4863492" cy="5498413"/>
            <wp:wrapTopAndBottom/>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1">
                      <a:extLst>
                        <a:ext uri="{96DAC541-7B7A-43D3-8B79-37D633B846F1}">
                          <asvg:svgBlip xmlns:asvg="http://schemas.microsoft.com/office/drawing/2016/SVG/main" r:embed="rId12"/>
                        </a:ext>
                      </a:extLst>
                    </a:blip>
                    <a:stretch>
                      <a:fillRect/>
                    </a:stretch>
                  </pic:blipFill>
                  <pic:spPr>
                    <a:xfrm>
                      <a:off x="0" y="0"/>
                      <a:ext cx="4863492" cy="5498413"/>
                    </a:xfrm>
                    <a:prstGeom prst="rect">
                      <a:avLst/>
                    </a:prstGeom>
                  </pic:spPr>
                </pic:pic>
              </a:graphicData>
            </a:graphic>
          </wp:anchor>
        </w:drawing>
      </w:r>
    </w:p>
    <w:p>
      <w:pPr>
        <w:pStyle w:val="SectionHeading3"/>
      </w:pPr>
      <w:r>
        <w:t>Simple VCF Operations for Logs Model Attributes</w:t>
      </w:r>
    </w:p>
    <w:p>
      <w:pPr>
        <w:pStyle w:val="BodyText"/>
      </w:pPr>
      <w:r>
        <w:t xml:space="preserve">A </w:t>
      </w:r>
      <w:r>
        <w:rPr>
          <w:rStyle w:val="InlineCite"/>
        </w:rPr>
        <w:t>Simple VCF Operations for Logs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5"/>
        <w:gridCol w:w="78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Centralized management</w:t>
            </w:r>
          </w:p>
        </w:tc>
        <w:tc>
          <w:tcPr>
            <w:tcBorders>
              <w:left w:val="nil"/>
              <w:right w:val="nil"/>
            </w:tcBorders>
          </w:tcPr>
          <w:p>
            <w:pPr>
              <w:pStyle w:val="TableBodyText"/>
            </w:pPr>
            <w:r>
              <w:t xml:space="preserve">Provides a centralized log management framework for </w:t>
            </w:r>
            <w:r>
              <w:t>vCenter</w:t>
            </w:r>
            <w:r>
              <w:t xml:space="preserve">, </w:t>
            </w:r>
            <w:r>
              <w:t>ESX</w:t>
            </w:r>
            <w:r>
              <w:t xml:space="preserve">, </w:t>
            </w:r>
            <w:r>
              <w:t>NSX</w:t>
            </w:r>
            <w:r>
              <w:t xml:space="preserve">, </w:t>
            </w:r>
            <w:r>
              <w:t>VCF Operations</w:t>
            </w:r>
            <w:r>
              <w:t xml:space="preserve">, </w:t>
            </w:r>
            <w:r>
              <w:t>VCF Automation</w:t>
            </w:r>
            <w:r>
              <w:t xml:space="preserve">, and </w:t>
            </w:r>
            <w:r>
              <w:t>VCF Identity Broker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t>Relies on vSphere HA to restart the nodes in the event of an ESX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Supports scale-up and scale-out.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Recoverability</w:t>
            </w:r>
          </w:p>
        </w:tc>
        <w:tc>
          <w:tcPr>
            <w:tcBorders>
              <w:left w:val="nil"/>
              <w:right w:val="nil"/>
            </w:tcBorders>
          </w:tcPr>
          <w:p>
            <w:pPr>
              <w:pStyle w:val="TableBodyText"/>
            </w:pPr>
            <w:r>
              <w:t>Restore through a backup.</w:t>
            </w:r>
          </w:p>
        </w:tc>
      </w:tr>
    </w:tbl>
    <w:p>
      <w:pPr>
        <w:pStyle w:val="SectionHeading3"/>
        <w:spacing w:before="320"/>
      </w:pPr>
      <w:r>
        <w:t>Simple VCF Operations for Logs Model Options</w:t>
      </w:r>
    </w:p>
    <w:p>
      <w:pPr>
        <w:pStyle w:val="BodyText"/>
      </w:pPr>
      <w:r>
        <w:t xml:space="preserve">A </w:t>
      </w:r>
      <w:r>
        <w:rPr>
          <w:rStyle w:val="InlineCite"/>
        </w:rPr>
        <w:t>Simple VCF Operations for Logs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361"/>
        <w:gridCol w:w="45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Appliance Size</w:t>
            </w:r>
          </w:p>
        </w:tc>
        <w:tc>
          <w:tcPr>
            <w:tcBorders>
              <w:left w:val="nil"/>
              <w:right w:val="nil"/>
            </w:tcBorders>
          </w:tcPr>
          <w:p>
            <w:pPr>
              <w:pStyle w:val="TableBodyText"/>
              <w:numPr>
                <w:numId w:val="30"/>
              </w:numPr>
            </w:pPr>
            <w:r>
              <w:t>Small</w:t>
            </w:r>
          </w:p>
          <w:p>
            <w:pPr>
              <w:pStyle w:val="TableBodyText"/>
              <w:numPr>
                <w:numId w:val="30"/>
              </w:numPr>
            </w:pPr>
            <w:r>
              <w:t>Medium</w:t>
            </w:r>
          </w:p>
          <w:p>
            <w:pPr>
              <w:pStyle w:val="TableBodyText"/>
              <w:numPr>
                <w:numId w:val="30"/>
              </w:numPr>
            </w:pPr>
            <w:r>
              <w:t>Large</w:t>
            </w:r>
          </w:p>
        </w:tc>
      </w:tr>
    </w:tbl>
    <w:p>
      <w:pPr>
        <w:pStyle w:val="SectionHeading3"/>
        <w:spacing w:before="320"/>
      </w:pPr>
      <w:r>
        <w:t>Simple VCF Operations for Logs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Simple VCF Operations for Logs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8"/>
        <w:gridCol w:w="4293"/>
        <w:gridCol w:w="2456"/>
        <w:gridCol w:w="13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VCF-LOGS-REQD-SIM-001</w:t>
            </w:r>
          </w:p>
        </w:tc>
        <w:tc>
          <w:tcPr>
            <w:tcBorders>
              <w:left w:val="nil"/>
              <w:right w:val="nil"/>
            </w:tcBorders>
          </w:tcPr>
          <w:p>
            <w:pPr>
              <w:pStyle w:val="TableBodyText"/>
            </w:pPr>
            <w:r>
              <w:t xml:space="preserve">Deploy </w:t>
            </w:r>
            <w:r>
              <w:t>VCF Operations for logs</w:t>
            </w:r>
            <w:r>
              <w:t xml:space="preserve"> as a single node - one primary node with an integrated load balancer, in the default management vSphere cluster.</w:t>
            </w:r>
          </w:p>
        </w:tc>
        <w:tc>
          <w:tcPr>
            <w:tcBorders>
              <w:left w:val="nil"/>
              <w:right w:val="nil"/>
            </w:tcBorders>
          </w:tcPr>
          <w:p>
            <w:pPr>
              <w:pStyle w:val="TableBodyText"/>
              <w:numPr>
                <w:numId w:val="31"/>
              </w:numPr>
            </w:pPr>
            <w:r>
              <w:t>Supports the simple deployment objective.</w:t>
            </w:r>
          </w:p>
          <w:p>
            <w:pPr>
              <w:pStyle w:val="TableBodyText"/>
              <w:numPr>
                <w:numId w:val="31"/>
              </w:numPr>
            </w:pPr>
            <w:r>
              <w:t>Supports scale-out to a high availability model.</w:t>
            </w:r>
          </w:p>
        </w:tc>
        <w:tc>
          <w:tcPr>
            <w:tcBorders>
              <w:left w:val="nil"/>
              <w:right w:val="nil"/>
            </w:tcBorders>
          </w:tcPr>
          <w:p>
            <w:pPr>
              <w:pStyle w:val="TableBodyText"/>
            </w:pPr>
            <w:r>
              <w:t>None.</w:t>
            </w:r>
          </w:p>
        </w:tc>
      </w:tr>
    </w:tbl>
    <w:p>
      <w:pPr>
        <w:pStyle w:val="SectionHeading3"/>
        <w:spacing w:before="320"/>
      </w:pPr>
      <w:r>
        <w:t>Simple VCF Operations for Logs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Common VCF Operations for Logs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2"/>
        <w:gridCol w:w="2453"/>
        <w:gridCol w:w="2801"/>
        <w:gridCol w:w="257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VCF-LOGS-RCMD-COM-001</w:t>
            </w:r>
          </w:p>
        </w:tc>
        <w:tc>
          <w:tcPr>
            <w:tcBorders>
              <w:left w:val="nil"/>
              <w:right w:val="nil"/>
            </w:tcBorders>
          </w:tcPr>
          <w:p>
            <w:pPr>
              <w:pStyle w:val="TableBodyText"/>
            </w:pPr>
            <w:r>
              <w:t>Install the content pack for NSX from the Marketplace.</w:t>
            </w:r>
          </w:p>
        </w:tc>
        <w:tc>
          <w:tcPr>
            <w:tcBorders>
              <w:left w:val="nil"/>
              <w:right w:val="nil"/>
            </w:tcBorders>
          </w:tcPr>
          <w:p>
            <w:pPr>
              <w:pStyle w:val="TableBodyText"/>
            </w:pPr>
            <w:r>
              <w:t>Enables log analysis of NSX based logs.</w:t>
            </w:r>
          </w:p>
        </w:tc>
        <w:tc>
          <w:tcPr>
            <w:tcBorders>
              <w:left w:val="nil"/>
              <w:right w:val="nil"/>
            </w:tcBorders>
          </w:tcPr>
          <w:p>
            <w:pPr>
              <w:pStyle w:val="TableBodyText"/>
            </w:pPr>
            <w:r>
              <w:t>Internet access is required to access the Marketplace.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VCF-LOGS-RCMD-COM-002</w:t>
            </w:r>
          </w:p>
        </w:tc>
        <w:tc>
          <w:tcPr>
            <w:tcBorders>
              <w:left w:val="nil"/>
              <w:right w:val="nil"/>
            </w:tcBorders>
          </w:tcPr>
          <w:p>
            <w:pPr>
              <w:pStyle w:val="TableBodyText"/>
            </w:pPr>
            <w:r>
              <w:t xml:space="preserve">Configure a retention period for </w:t>
            </w:r>
            <w:r>
              <w:t>VCF Operations for logs</w:t>
            </w:r>
          </w:p>
          <w:p>
            <w:pPr>
              <w:pStyle w:val="TableBodyText"/>
            </w:pPr>
            <w:r>
              <w:t>according to your design objectives.</w:t>
            </w:r>
          </w:p>
        </w:tc>
        <w:tc>
          <w:tcPr>
            <w:tcBorders>
              <w:left w:val="nil"/>
              <w:right w:val="nil"/>
            </w:tcBorders>
          </w:tcPr>
          <w:p>
            <w:pPr>
              <w:pStyle w:val="TableBodyText"/>
            </w:pPr>
            <w:r>
              <w:t xml:space="preserve">Accommodates logs from the expected number of logging sources in </w:t>
            </w:r>
            <w:r>
              <w:t>VMware Cloud Foundation</w:t>
            </w:r>
            <w:r>
              <w:t xml:space="preserve"> platform.</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VCF-LOGS-RCMD-COM-003</w:t>
            </w:r>
          </w:p>
        </w:tc>
        <w:tc>
          <w:tcPr>
            <w:tcBorders>
              <w:left w:val="nil"/>
              <w:right w:val="nil"/>
            </w:tcBorders>
          </w:tcPr>
          <w:p>
            <w:pPr>
              <w:pStyle w:val="TableBodyText"/>
            </w:pPr>
            <w:r>
              <w:t>Configure alert notifications.</w:t>
            </w:r>
          </w:p>
        </w:tc>
        <w:tc>
          <w:tcPr>
            <w:tcBorders>
              <w:left w:val="nil"/>
              <w:right w:val="nil"/>
            </w:tcBorders>
          </w:tcPr>
          <w:p>
            <w:pPr>
              <w:pStyle w:val="TableBodyText"/>
            </w:pPr>
            <w:r>
              <w:t xml:space="preserve">Activates alerts from </w:t>
            </w:r>
            <w:r>
              <w:t>VCF Operations for logs</w:t>
            </w:r>
            <w:r>
              <w:t xml:space="preserve"> sent to administrators and operators.</w:t>
            </w:r>
          </w:p>
        </w:tc>
        <w:tc>
          <w:tcPr>
            <w:tcBorders>
              <w:left w:val="nil"/>
              <w:right w:val="nil"/>
            </w:tcBorders>
          </w:tcPr>
          <w:p>
            <w:pPr>
              <w:pStyle w:val="TableBodyText"/>
            </w:pPr>
            <w:r>
              <w:t xml:space="preserve">If using email for notifications, you must configure the SMTP server settings in </w:t>
            </w:r>
            <w:r>
              <w:t>VCF Operations for logs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VCF-LOGS-RCMD-COM-004</w:t>
            </w:r>
          </w:p>
        </w:tc>
        <w:tc>
          <w:tcPr>
            <w:tcBorders>
              <w:left w:val="nil"/>
              <w:right w:val="nil"/>
            </w:tcBorders>
          </w:tcPr>
          <w:p>
            <w:pPr>
              <w:pStyle w:val="TableBodyText"/>
            </w:pPr>
            <w:r>
              <w:t>Enable vCenter adapter for VCF Operations for Logs</w:t>
            </w:r>
          </w:p>
        </w:tc>
        <w:tc>
          <w:tcPr>
            <w:tcBorders>
              <w:left w:val="nil"/>
              <w:right w:val="nil"/>
            </w:tcBorders>
          </w:tcPr>
          <w:p>
            <w:pPr>
              <w:pStyle w:val="TableBodyText"/>
            </w:pPr>
            <w:r>
              <w:t>To gather logs from vCenter the Logs adapter needs to be manually enabled. It is not enabled by default.</w:t>
            </w:r>
          </w:p>
        </w:tc>
        <w:tc>
          <w:tcPr>
            <w:tcBorders>
              <w:left w:val="nil"/>
              <w:right w:val="nil"/>
            </w:tcBorders>
          </w:tcPr>
          <w:p>
            <w:pPr>
              <w:pStyle w:val="TableBodyText"/>
            </w:pPr>
            <w:r>
              <w:t>Requires manually enabling per adapter.</w:t>
            </w:r>
          </w:p>
        </w:tc>
      </w:tr>
    </w:tbl>
    <w:p>
      <w:pPr>
        <w:pStyle w:val="Heading2"/>
        <w:spacing w:before="320"/>
      </w:pPr>
      <w:bookmarkStart w:id="15" w:name="B1bed9d7be6eb40ddb35067fdc97cf880"/>
      <w:bookmarkStart w:id="16" w:name="_Toc256000043"/>
      <w:r>
        <w:t>High Availability VCF Operations for Logs Model</w:t>
      </w:r>
      <w:bookmarkEnd w:id="16"/>
      <w:bookmarkEnd w:id="15"/>
    </w:p>
    <w:p>
      <w:pPr>
        <w:pStyle w:val="BodyText"/>
      </w:pPr>
      <w:r>
        <w:t>The High Availability VCF Operations for logs model consists of a three-node deployment behind and internal load balancer. This model provides resiliency at both the application level through the clustered deployment as well as the vSphere cluster level through vSphere HA and vSphere DRS functionality.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w:t>
      </w:r>
      <w:r>
        <w:fldChar w:fldCharType="end"/>
      </w:r>
      <w:r>
        <w:t>. High Availability VCF Operations for Logs Model</w:t>
      </w:r>
    </w:p>
    <w:p>
      <w:pPr>
        <w:pStyle w:val="BodyText"/>
      </w:pPr>
      <w:r>
        <w:drawing>
          <wp:anchor simplePos="0" relativeHeight="251661312" behindDoc="0" locked="0" layoutInCell="0" allowOverlap="0">
            <wp:simplePos x="0" y="0"/>
            <wp:positionH relativeFrom="column">
              <wp:align>center</wp:align>
            </wp:positionH>
            <wp:positionV relativeFrom="paragraph">
              <wp:align>bottom</wp:align>
            </wp:positionV>
            <wp:extent cx="4863492" cy="5498413"/>
            <wp:wrapTopAndBottom/>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4863492" cy="5498413"/>
                    </a:xfrm>
                    <a:prstGeom prst="rect">
                      <a:avLst/>
                    </a:prstGeom>
                  </pic:spPr>
                </pic:pic>
              </a:graphicData>
            </a:graphic>
          </wp:anchor>
        </w:drawing>
      </w:r>
    </w:p>
    <w:p>
      <w:pPr>
        <w:pStyle w:val="SectionHeading3"/>
      </w:pPr>
      <w:r>
        <w:t>High Availability VCF Operations for Logs Model Attributes</w:t>
      </w:r>
    </w:p>
    <w:p>
      <w:pPr>
        <w:pStyle w:val="BodyText"/>
      </w:pPr>
      <w:r>
        <w:t xml:space="preserve">A </w:t>
      </w:r>
      <w:r>
        <w:rPr>
          <w:rStyle w:val="InlineCite"/>
        </w:rPr>
        <w:t>High Availability VCF Operations for Logs</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5"/>
        <w:gridCol w:w="781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Centralized management</w:t>
            </w:r>
          </w:p>
        </w:tc>
        <w:tc>
          <w:tcPr>
            <w:tcBorders>
              <w:left w:val="nil"/>
              <w:right w:val="nil"/>
            </w:tcBorders>
          </w:tcPr>
          <w:p>
            <w:pPr>
              <w:pStyle w:val="TableBodyText"/>
            </w:pPr>
            <w:r>
              <w:t xml:space="preserve">Provides a centralized log management framework for </w:t>
            </w:r>
            <w:r>
              <w:t>vCenter</w:t>
            </w:r>
            <w:r>
              <w:t xml:space="preserve">, </w:t>
            </w:r>
            <w:r>
              <w:t>ESX</w:t>
            </w:r>
            <w:r>
              <w:t xml:space="preserve">, </w:t>
            </w:r>
            <w:r>
              <w:t>NSX</w:t>
            </w:r>
            <w:r>
              <w:t xml:space="preserve">, </w:t>
            </w:r>
            <w:r>
              <w:t>VCF Operations</w:t>
            </w:r>
            <w:r>
              <w:t xml:space="preserve">, </w:t>
            </w:r>
            <w:r>
              <w:t>VCF Automation</w:t>
            </w:r>
            <w:r>
              <w:t xml:space="preserve">, and </w:t>
            </w:r>
            <w:r>
              <w:t>VCF Identity Broker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t>Relies on cluster technology in the event of an outage or ESX HA technology in the case of a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Supports scale-up and scale-out.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Recoverability</w:t>
            </w:r>
          </w:p>
        </w:tc>
        <w:tc>
          <w:tcPr>
            <w:tcBorders>
              <w:left w:val="nil"/>
              <w:right w:val="nil"/>
            </w:tcBorders>
          </w:tcPr>
          <w:p>
            <w:pPr>
              <w:pStyle w:val="TableBodyText"/>
            </w:pPr>
            <w:r>
              <w:t>Restore through a backup.</w:t>
            </w:r>
          </w:p>
        </w:tc>
      </w:tr>
    </w:tbl>
    <w:p>
      <w:pPr>
        <w:pStyle w:val="SectionHeading3"/>
        <w:spacing w:before="320"/>
      </w:pPr>
      <w:r>
        <w:t>High Availability VCF Operations for Logs Model Options</w:t>
      </w:r>
    </w:p>
    <w:p>
      <w:pPr>
        <w:pStyle w:val="BodyText"/>
      </w:pPr>
      <w:r>
        <w:t xml:space="preserve">A </w:t>
      </w:r>
      <w:r>
        <w:rPr>
          <w:rStyle w:val="InlineCite"/>
        </w:rPr>
        <w:t>High Availability VCF Operations for Logs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361"/>
        <w:gridCol w:w="459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Appliance Size</w:t>
            </w:r>
          </w:p>
        </w:tc>
        <w:tc>
          <w:tcPr>
            <w:tcBorders>
              <w:left w:val="nil"/>
              <w:right w:val="nil"/>
            </w:tcBorders>
          </w:tcPr>
          <w:p>
            <w:pPr>
              <w:pStyle w:val="TableBodyText"/>
              <w:numPr>
                <w:numId w:val="32"/>
              </w:numPr>
            </w:pPr>
            <w:r>
              <w:t>Small</w:t>
            </w:r>
          </w:p>
          <w:p>
            <w:pPr>
              <w:pStyle w:val="TableBodyText"/>
              <w:numPr>
                <w:numId w:val="32"/>
              </w:numPr>
            </w:pPr>
            <w:r>
              <w:t>Medium</w:t>
            </w:r>
          </w:p>
          <w:p>
            <w:pPr>
              <w:pStyle w:val="TableBodyText"/>
              <w:numPr>
                <w:numId w:val="32"/>
              </w:numPr>
            </w:pPr>
            <w:r>
              <w:t>Large</w:t>
            </w:r>
          </w:p>
        </w:tc>
      </w:tr>
    </w:tbl>
    <w:p>
      <w:pPr>
        <w:pStyle w:val="SectionHeading3"/>
        <w:spacing w:before="320"/>
      </w:pPr>
      <w:r>
        <w:t>High Availability VCF Operations for Logs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High Availability VCF Operations for Logs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8"/>
        <w:gridCol w:w="2798"/>
        <w:gridCol w:w="2840"/>
        <w:gridCol w:w="267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VCF-LOGS-REQD-HA-001</w:t>
            </w:r>
          </w:p>
        </w:tc>
        <w:tc>
          <w:tcPr>
            <w:tcBorders>
              <w:left w:val="nil"/>
              <w:right w:val="nil"/>
            </w:tcBorders>
          </w:tcPr>
          <w:p>
            <w:pPr>
              <w:pStyle w:val="TableBodyText"/>
            </w:pPr>
            <w:r>
              <w:t xml:space="preserve">Deploy </w:t>
            </w:r>
            <w:r>
              <w:t>VCF Operations for logs</w:t>
            </w:r>
            <w:r>
              <w:t xml:space="preserve"> as a three node cluster - one primary and two worker nodes with an integrated load balancer, in the default management vSphere cluster.</w:t>
            </w:r>
          </w:p>
        </w:tc>
        <w:tc>
          <w:tcPr>
            <w:tcBorders>
              <w:left w:val="nil"/>
              <w:right w:val="nil"/>
            </w:tcBorders>
          </w:tcPr>
          <w:p>
            <w:pPr>
              <w:pStyle w:val="TableBodyText"/>
              <w:numPr>
                <w:numId w:val="33"/>
              </w:numPr>
            </w:pPr>
            <w:r>
              <w:t>Provides high availability.</w:t>
            </w:r>
          </w:p>
          <w:p>
            <w:pPr>
              <w:pStyle w:val="TableBodyText"/>
              <w:numPr>
                <w:numId w:val="33"/>
              </w:numPr>
            </w:pPr>
            <w:r>
              <w:t>Using the integrated load balancer prevents a single point of failure.</w:t>
            </w:r>
          </w:p>
          <w:p>
            <w:pPr>
              <w:pStyle w:val="TableBodyText"/>
              <w:numPr>
                <w:numId w:val="33"/>
              </w:numPr>
            </w:pPr>
            <w:r>
              <w:t xml:space="preserve">Using the integrated load balancer simplifies the </w:t>
            </w:r>
            <w:r>
              <w:t>VCF Operations for logs</w:t>
            </w:r>
            <w:r>
              <w:t xml:space="preserve"> deployment and subsequent integration.</w:t>
            </w:r>
          </w:p>
        </w:tc>
        <w:tc>
          <w:tcPr>
            <w:tcBorders>
              <w:left w:val="nil"/>
              <w:right w:val="nil"/>
            </w:tcBorders>
          </w:tcPr>
          <w:p>
            <w:pPr>
              <w:pStyle w:val="TableBodyText"/>
              <w:numPr>
                <w:numId w:val="34"/>
              </w:numPr>
            </w:pPr>
            <w:r>
              <w:t>You must deploy a minimum of three appropriately sized nodes.</w:t>
            </w:r>
          </w:p>
          <w:p>
            <w:pPr>
              <w:pStyle w:val="TableBodyText"/>
              <w:numPr>
                <w:numId w:val="34"/>
              </w:numPr>
            </w:pPr>
            <w:r>
              <w:t>You must size all nodes identically.</w:t>
            </w:r>
          </w:p>
          <w:p>
            <w:pPr>
              <w:pStyle w:val="TableBodyText"/>
              <w:numPr>
                <w:numId w:val="34"/>
              </w:numPr>
            </w:pPr>
            <w:r>
              <w:t xml:space="preserve">If the capacity of your </w:t>
            </w:r>
            <w:r>
              <w:t>VCF Operations for logs</w:t>
            </w:r>
            <w:r>
              <w:t>cluster must expand, identical capacity must be added to each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VCF-LOGS-REQD-HA-002</w:t>
            </w:r>
          </w:p>
        </w:tc>
        <w:tc>
          <w:tcPr>
            <w:tcBorders>
              <w:left w:val="nil"/>
              <w:right w:val="nil"/>
            </w:tcBorders>
          </w:tcPr>
          <w:p>
            <w:pPr>
              <w:pStyle w:val="TableBodyText"/>
            </w:pPr>
            <w:r>
              <w:t xml:space="preserve">Protect all </w:t>
            </w:r>
            <w:r>
              <w:t>VCF Operations for logs</w:t>
            </w:r>
            <w:r>
              <w:t xml:space="preserve"> cluster nodes by using vSphere High Availability.</w:t>
            </w:r>
          </w:p>
        </w:tc>
        <w:tc>
          <w:tcPr>
            <w:tcBorders>
              <w:left w:val="nil"/>
              <w:right w:val="nil"/>
            </w:tcBorders>
          </w:tcPr>
          <w:p>
            <w:pPr>
              <w:pStyle w:val="TableBodyText"/>
            </w:pPr>
            <w:r>
              <w:t xml:space="preserve">Supports the availability objectives for </w:t>
            </w:r>
            <w:r>
              <w:t>VCF Operations for logs</w:t>
            </w:r>
            <w:r>
              <w:t xml:space="preserve"> without requiring manual intervention during an </w:t>
            </w:r>
            <w:r>
              <w:t>ESX</w:t>
            </w:r>
            <w:r>
              <w:t xml:space="preserve"> host failure event.</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VCF-LOGS-REQD-HA-003</w:t>
            </w:r>
          </w:p>
        </w:tc>
        <w:tc>
          <w:tcPr>
            <w:tcBorders>
              <w:left w:val="nil"/>
              <w:right w:val="nil"/>
            </w:tcBorders>
          </w:tcPr>
          <w:p>
            <w:pPr>
              <w:pStyle w:val="TableBodyText"/>
            </w:pPr>
            <w:r>
              <w:t xml:space="preserve">Apply a vSphere Distributed Resource Scheduler (DRS) anti-affinity rule to the </w:t>
            </w:r>
            <w:r>
              <w:t>VCF Operations for logs</w:t>
            </w:r>
            <w:r>
              <w:t xml:space="preserve"> cluster nodes.</w:t>
            </w:r>
          </w:p>
        </w:tc>
        <w:tc>
          <w:tcPr>
            <w:tcBorders>
              <w:left w:val="nil"/>
              <w:right w:val="nil"/>
            </w:tcBorders>
          </w:tcPr>
          <w:p>
            <w:pPr>
              <w:pStyle w:val="TableBodyText"/>
            </w:pPr>
            <w:r>
              <w:t xml:space="preserve">Using vSphere DRS prevents the </w:t>
            </w:r>
            <w:r>
              <w:t>VCF Operations for logs</w:t>
            </w:r>
            <w:r>
              <w:t xml:space="preserve"> cluster nodes from running on the same </w:t>
            </w:r>
            <w:r>
              <w:t>ESX</w:t>
            </w:r>
            <w:r>
              <w:t>host and risking the high availability of the cluster.</w:t>
            </w:r>
          </w:p>
        </w:tc>
        <w:tc>
          <w:tcPr>
            <w:tcBorders>
              <w:left w:val="nil"/>
              <w:right w:val="nil"/>
            </w:tcBorders>
          </w:tcPr>
          <w:p>
            <w:pPr>
              <w:pStyle w:val="TableBodyText"/>
            </w:pPr>
            <w:r>
              <w:t>None.</w:t>
            </w:r>
          </w:p>
        </w:tc>
      </w:tr>
    </w:tbl>
    <w:p>
      <w:pPr>
        <w:pStyle w:val="SectionHeading3"/>
        <w:spacing w:before="320"/>
      </w:pPr>
      <w:r>
        <w:t>High Availability VCF Operations for Logs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w:t>
      </w:r>
      <w:r>
        <w:fldChar w:fldCharType="end"/>
      </w:r>
      <w:r>
        <w:t>. Common VCF Operations for Logs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32"/>
        <w:gridCol w:w="2453"/>
        <w:gridCol w:w="2801"/>
        <w:gridCol w:w="257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VCF-LOGS-RCMD-COM-001</w:t>
            </w:r>
          </w:p>
        </w:tc>
        <w:tc>
          <w:tcPr>
            <w:tcBorders>
              <w:left w:val="nil"/>
              <w:right w:val="nil"/>
            </w:tcBorders>
          </w:tcPr>
          <w:p>
            <w:pPr>
              <w:pStyle w:val="TableBodyText"/>
            </w:pPr>
            <w:r>
              <w:t>Install the content pack for NSX from the Marketplace.</w:t>
            </w:r>
          </w:p>
        </w:tc>
        <w:tc>
          <w:tcPr>
            <w:tcBorders>
              <w:left w:val="nil"/>
              <w:right w:val="nil"/>
            </w:tcBorders>
          </w:tcPr>
          <w:p>
            <w:pPr>
              <w:pStyle w:val="TableBodyText"/>
            </w:pPr>
            <w:r>
              <w:t>Enables log analysis of NSX based logs.</w:t>
            </w:r>
          </w:p>
        </w:tc>
        <w:tc>
          <w:tcPr>
            <w:tcBorders>
              <w:left w:val="nil"/>
              <w:right w:val="nil"/>
            </w:tcBorders>
          </w:tcPr>
          <w:p>
            <w:pPr>
              <w:pStyle w:val="TableBodyText"/>
            </w:pPr>
            <w:r>
              <w:t>Internet access is required to access the Marketplace.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VCF-LOGS-RCMD-COM-002</w:t>
            </w:r>
          </w:p>
        </w:tc>
        <w:tc>
          <w:tcPr>
            <w:tcBorders>
              <w:left w:val="nil"/>
              <w:right w:val="nil"/>
            </w:tcBorders>
          </w:tcPr>
          <w:p>
            <w:pPr>
              <w:pStyle w:val="TableBodyText"/>
            </w:pPr>
            <w:r>
              <w:t xml:space="preserve">Configure a retention period for </w:t>
            </w:r>
            <w:r>
              <w:t>VCF Operations for logs</w:t>
            </w:r>
          </w:p>
          <w:p>
            <w:pPr>
              <w:pStyle w:val="TableBodyText"/>
            </w:pPr>
            <w:r>
              <w:t>according to your design objectives.</w:t>
            </w:r>
          </w:p>
        </w:tc>
        <w:tc>
          <w:tcPr>
            <w:tcBorders>
              <w:left w:val="nil"/>
              <w:right w:val="nil"/>
            </w:tcBorders>
          </w:tcPr>
          <w:p>
            <w:pPr>
              <w:pStyle w:val="TableBodyText"/>
            </w:pPr>
            <w:r>
              <w:t xml:space="preserve">Accommodates logs from the expected number of logging sources in </w:t>
            </w:r>
            <w:r>
              <w:t>VMware Cloud Foundation</w:t>
            </w:r>
            <w:r>
              <w:t xml:space="preserve"> platform.</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VCF-LOGS-RCMD-COM-003</w:t>
            </w:r>
          </w:p>
        </w:tc>
        <w:tc>
          <w:tcPr>
            <w:tcBorders>
              <w:left w:val="nil"/>
              <w:right w:val="nil"/>
            </w:tcBorders>
          </w:tcPr>
          <w:p>
            <w:pPr>
              <w:pStyle w:val="TableBodyText"/>
            </w:pPr>
            <w:r>
              <w:t>Configure alert notifications.</w:t>
            </w:r>
          </w:p>
        </w:tc>
        <w:tc>
          <w:tcPr>
            <w:tcBorders>
              <w:left w:val="nil"/>
              <w:right w:val="nil"/>
            </w:tcBorders>
          </w:tcPr>
          <w:p>
            <w:pPr>
              <w:pStyle w:val="TableBodyText"/>
            </w:pPr>
            <w:r>
              <w:t xml:space="preserve">Activates alerts from </w:t>
            </w:r>
            <w:r>
              <w:t>VCF Operations for logs</w:t>
            </w:r>
            <w:r>
              <w:t xml:space="preserve"> sent to administrators and operators.</w:t>
            </w:r>
          </w:p>
        </w:tc>
        <w:tc>
          <w:tcPr>
            <w:tcBorders>
              <w:left w:val="nil"/>
              <w:right w:val="nil"/>
            </w:tcBorders>
          </w:tcPr>
          <w:p>
            <w:pPr>
              <w:pStyle w:val="TableBodyText"/>
            </w:pPr>
            <w:r>
              <w:t xml:space="preserve">If using email for notifications, you must configure the SMTP server settings in </w:t>
            </w:r>
            <w:r>
              <w:t>VCF Operations for logs</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VCF-LOGS-RCMD-COM-004</w:t>
            </w:r>
          </w:p>
        </w:tc>
        <w:tc>
          <w:tcPr>
            <w:tcBorders>
              <w:left w:val="nil"/>
              <w:right w:val="nil"/>
            </w:tcBorders>
          </w:tcPr>
          <w:p>
            <w:pPr>
              <w:pStyle w:val="TableBodyText"/>
            </w:pPr>
            <w:r>
              <w:t>Enable vCenter adapter for VCF Operations for Logs</w:t>
            </w:r>
          </w:p>
        </w:tc>
        <w:tc>
          <w:tcPr>
            <w:tcBorders>
              <w:left w:val="nil"/>
              <w:right w:val="nil"/>
            </w:tcBorders>
          </w:tcPr>
          <w:p>
            <w:pPr>
              <w:pStyle w:val="TableBodyText"/>
            </w:pPr>
            <w:r>
              <w:t>To gather logs from vCenter the Logs adapter needs to be manually enabled. It is not enabled by default.</w:t>
            </w:r>
          </w:p>
        </w:tc>
        <w:tc>
          <w:tcPr>
            <w:tcBorders>
              <w:left w:val="nil"/>
              <w:right w:val="nil"/>
            </w:tcBorders>
          </w:tcPr>
          <w:p>
            <w:pPr>
              <w:pStyle w:val="TableBodyText"/>
            </w:pPr>
            <w:r>
              <w:t>Requires manually enabling per adapter.</w:t>
            </w:r>
          </w:p>
        </w:tc>
      </w:tr>
    </w:tbl>
    <w:p>
      <w:pPr>
        <w:pStyle w:val="Heading1"/>
        <w:spacing w:before="440"/>
      </w:pPr>
      <w:bookmarkStart w:id="17" w:name="_Toc256000044"/>
      <w:r>
        <w:t>References</w:t>
      </w:r>
      <w:bookmarkEnd w:id="17"/>
    </w:p>
    <w:p>
      <w:pPr>
        <w:pStyle w:val="BodyText"/>
      </w:pPr>
      <w:r>
        <w:t>For more information, see the following supplemental configuration and administration guides, white papers and best practices documents.</w:t>
      </w:r>
    </w:p>
    <w:p>
      <w:pPr>
        <w:pStyle w:val="SectionHeading2"/>
      </w:pPr>
      <w:r>
        <w:t>VMware Pro Cloud Services for Private Cloud Solution References</w:t>
      </w:r>
    </w:p>
    <w:p>
      <w:pPr>
        <w:pStyle w:val="BodyText"/>
        <w:pBdr>
          <w:top w:val="single" w:sz="8" w:space="2" w:color="D3D3D3"/>
          <w:bottom w:val="single" w:sz="8" w:space="2" w:color="D3D3D3"/>
        </w:pBdr>
      </w:pPr>
      <w:r>
        <w:t>Remember</w:t>
        <w:tab/>
      </w:r>
      <w:r>
        <w:t>Refine or add any additional links to product documentation</w:t>
      </w:r>
    </w:p>
    <w:p>
      <w:pPr>
        <w:pStyle w:val="BodyText"/>
      </w:pPr>
      <w:r>
        <w:t>See the VMware Cloud Foundation Documentation (</w:t>
      </w:r>
      <w:hyperlink r:id="rId15" w:tooltip="https://techdocs.broadcom.com/us/en/vmware-cis/vcf/vcf-9-0-and-later/9-0.html" w:history="1">
        <w:r>
          <w:rPr>
            <w:color w:val="0000FF"/>
            <w:u w:val="single"/>
          </w:rPr>
          <w:t>https://techdocs.broadcom.com/us/en/vmware-cis/vcf/vcf-9-0-and-later/9-0.html</w:t>
        </w:r>
      </w:hyperlink>
      <w:r>
        <w:t>) for product documentation for Cloud Foundation.</w:t>
      </w:r>
    </w:p>
    <w:p>
      <w:pPr>
        <w:pStyle w:val="BodyText"/>
      </w:pPr>
      <w:r>
        <w:t>The information is arranged by topics that include the following:</w:t>
      </w:r>
    </w:p>
    <w:p>
      <w:pPr>
        <w:pStyle w:val="BodyText"/>
        <w:numPr>
          <w:numId w:val="35"/>
        </w:numPr>
      </w:pPr>
      <w:hyperlink r:id="rId16" w:tooltip="VMware Cloud Foundation 9.0 Release Notes" w:history="1">
        <w:r>
          <w:rPr>
            <w:color w:val="0000FF"/>
            <w:u w:val="single"/>
          </w:rPr>
          <w:t>VMware Cloud Foundation 9.0 Release Notes</w:t>
        </w:r>
      </w:hyperlink>
    </w:p>
    <w:p>
      <w:pPr>
        <w:pStyle w:val="BodyText"/>
        <w:numPr>
          <w:numId w:val="35"/>
        </w:numPr>
      </w:pPr>
      <w:hyperlink r:id="rId17" w:tooltip="VMware Cloud Foundation Planning and Preparation Workbook" w:history="1">
        <w:r>
          <w:rPr>
            <w:color w:val="0000FF"/>
            <w:u w:val="single"/>
          </w:rPr>
          <w:t>VMware Cloud Foundation Planning and Preparation Workbook</w:t>
        </w:r>
      </w:hyperlink>
    </w:p>
    <w:p>
      <w:pPr>
        <w:pStyle w:val="BodyText"/>
        <w:numPr>
          <w:numId w:val="35"/>
        </w:numPr>
      </w:pPr>
      <w:hyperlink r:id="rId18" w:tooltip="VMware Cloud Foundation Design Guide" w:history="1">
        <w:r>
          <w:rPr>
            <w:color w:val="0000FF"/>
            <w:u w:val="single"/>
          </w:rPr>
          <w:t>VMware Cloud Foundation Design Guide</w:t>
        </w:r>
      </w:hyperlink>
    </w:p>
    <w:p>
      <w:pPr>
        <w:pStyle w:val="BodyText"/>
        <w:numPr>
          <w:numId w:val="35"/>
        </w:numPr>
      </w:pPr>
      <w:hyperlink r:id="rId19" w:tooltip="VMware Cloud Foundation Deployment, Convergence and Upgrade Guide" w:history="1">
        <w:r>
          <w:rPr>
            <w:color w:val="0000FF"/>
            <w:u w:val="single"/>
          </w:rPr>
          <w:t>VMware Cloud Foundation Deployment, Convergence and Upgrade Guide</w:t>
        </w:r>
      </w:hyperlink>
    </w:p>
    <w:p>
      <w:pPr>
        <w:pStyle w:val="BodyText"/>
        <w:numPr>
          <w:numId w:val="35"/>
        </w:numPr>
      </w:pPr>
      <w:hyperlink r:id="rId20" w:tooltip="VMware Cloud Foundation Building Cloud Infrastructure Guide" w:history="1">
        <w:r>
          <w:rPr>
            <w:color w:val="0000FF"/>
            <w:u w:val="single"/>
          </w:rPr>
          <w:t>VMware Cloud Foundation Building Cloud Infrastructure Guide</w:t>
        </w:r>
      </w:hyperlink>
    </w:p>
    <w:p>
      <w:pPr>
        <w:pStyle w:val="BodyText"/>
        <w:numPr>
          <w:numId w:val="35"/>
        </w:numPr>
      </w:pPr>
      <w:hyperlink r:id="rId21" w:tooltip="VMware Cloud Foundation vSphere Guide" w:history="1">
        <w:r>
          <w:rPr>
            <w:color w:val="0000FF"/>
            <w:u w:val="single"/>
          </w:rPr>
          <w:t>VMware Cloud Foundation vSphere Guide</w:t>
        </w:r>
      </w:hyperlink>
    </w:p>
    <w:p>
      <w:pPr>
        <w:pStyle w:val="BodyText"/>
        <w:numPr>
          <w:numId w:val="35"/>
        </w:numPr>
      </w:pPr>
      <w:hyperlink r:id="rId22" w:tooltip="VMware Cloud Foundation vSAN Guide" w:history="1">
        <w:r>
          <w:rPr>
            <w:color w:val="0000FF"/>
            <w:u w:val="single"/>
          </w:rPr>
          <w:t>VMware Cloud Foundation vSAN Guide</w:t>
        </w:r>
      </w:hyperlink>
    </w:p>
    <w:p>
      <w:pPr>
        <w:pStyle w:val="BodyText"/>
        <w:numPr>
          <w:numId w:val="35"/>
        </w:numPr>
      </w:pPr>
      <w:hyperlink r:id="rId23" w:tooltip="VMware Cloud Foundation NSX Guide" w:history="1">
        <w:r>
          <w:rPr>
            <w:color w:val="0000FF"/>
            <w:u w:val="single"/>
          </w:rPr>
          <w:t>VMware Cloud Foundation NSX Guide</w:t>
        </w:r>
      </w:hyperlink>
    </w:p>
    <w:p>
      <w:pPr>
        <w:pStyle w:val="BodyText"/>
        <w:numPr>
          <w:numId w:val="35"/>
        </w:numPr>
      </w:pPr>
      <w:hyperlink r:id="rId24" w:tooltip="VMware Cloud Foundation Lifecycle Management Guide" w:history="1">
        <w:r>
          <w:rPr>
            <w:color w:val="0000FF"/>
            <w:u w:val="single"/>
          </w:rPr>
          <w:t>VMware Cloud Foundation Lifecycle Management Guide</w:t>
        </w:r>
      </w:hyperlink>
    </w:p>
    <w:p>
      <w:pPr>
        <w:pStyle w:val="BodyText"/>
        <w:numPr>
          <w:numId w:val="35"/>
        </w:numPr>
      </w:pPr>
      <w:hyperlink r:id="rId25" w:tooltip="VMware Cloud Foundation Fleet Management Guide" w:history="1">
        <w:r>
          <w:rPr>
            <w:color w:val="0000FF"/>
            <w:u w:val="single"/>
          </w:rPr>
          <w:t>VMware Cloud Foundation Fleet Management Guide</w:t>
        </w:r>
      </w:hyperlink>
    </w:p>
    <w:p>
      <w:pPr>
        <w:pStyle w:val="BodyText"/>
        <w:numPr>
          <w:numId w:val="35"/>
        </w:numPr>
      </w:pPr>
      <w:hyperlink r:id="rId26" w:tooltip="VMware Cloud Foundation Infrastructure Operations Guide" w:history="1">
        <w:r>
          <w:rPr>
            <w:color w:val="0000FF"/>
            <w:u w:val="single"/>
          </w:rPr>
          <w:t>VMware Cloud Foundation Infrastructure Operations Guide</w:t>
        </w:r>
      </w:hyperlink>
    </w:p>
    <w:p>
      <w:pPr>
        <w:pStyle w:val="BodyText"/>
        <w:numPr>
          <w:numId w:val="35"/>
        </w:numPr>
      </w:pPr>
      <w:hyperlink r:id="rId27" w:tooltip="VMware Cloud Foundation Workload Monitoring and Observability Guide" w:history="1">
        <w:r>
          <w:rPr>
            <w:color w:val="0000FF"/>
            <w:u w:val="single"/>
          </w:rPr>
          <w:t>VMware Cloud Foundation Workload Monitoring and Observability Guide</w:t>
        </w:r>
      </w:hyperlink>
    </w:p>
    <w:p>
      <w:pPr>
        <w:pStyle w:val="BodyText"/>
        <w:numPr>
          <w:numId w:val="35"/>
        </w:numPr>
      </w:pPr>
      <w:hyperlink r:id="rId28" w:tooltip="VMware Cloud Foundation vSphere Supervisor Platform Guide" w:history="1">
        <w:r>
          <w:rPr>
            <w:color w:val="0000FF"/>
            <w:u w:val="single"/>
          </w:rPr>
          <w:t>VMware Cloud Foundation vSphere Supervisor Platform Guide</w:t>
        </w:r>
      </w:hyperlink>
    </w:p>
    <w:p>
      <w:pPr>
        <w:pStyle w:val="BodyText"/>
        <w:numPr>
          <w:numId w:val="35"/>
        </w:numPr>
      </w:pPr>
      <w:hyperlink r:id="rId29" w:tooltip="VMware Cloud Foundation Security and Compliance Guide" w:history="1">
        <w:r>
          <w:rPr>
            <w:color w:val="0000FF"/>
            <w:u w:val="single"/>
          </w:rPr>
          <w:t>VMware Cloud Foundation Security and Compliance Guide</w:t>
        </w:r>
      </w:hyperlink>
    </w:p>
    <w:p>
      <w:pPr>
        <w:pStyle w:val="BodyText"/>
        <w:numPr>
          <w:numId w:val="35"/>
        </w:numPr>
      </w:pPr>
      <w:hyperlink r:id="rId30" w:tooltip="VMware Cloud Foundation API Reference Guide" w:history="1">
        <w:r>
          <w:rPr>
            <w:color w:val="0000FF"/>
            <w:u w:val="single"/>
          </w:rPr>
          <w:t>VMware Cloud Foundation API Reference Guide</w:t>
        </w:r>
      </w:hyperlink>
    </w:p>
    <w:p>
      <w:pPr>
        <w:pStyle w:val="BodyText"/>
      </w:pPr>
      <w:r>
        <w:t>VMware Validated Solutions Guides:</w:t>
      </w:r>
    </w:p>
    <w:p>
      <w:pPr>
        <w:pStyle w:val="BodyText"/>
        <w:numPr>
          <w:numId w:val="36"/>
        </w:numPr>
      </w:pPr>
      <w:r>
        <w:t>&lt;Add as apporpriate&gt;</w:t>
      </w:r>
    </w:p>
    <w:sectPr w:rsidSect="0078571F">
      <w:headerReference w:type="default" r:id="rId31"/>
      <w:footerReference w:type="default" r:id="rId32"/>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24</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 for Private Cloud Infrastructure - VMware Cloud Foundation Operations for logs Design 9.0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hybridMultilevel"/>
    <w:tmpl w:val="7A0F56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7A0F5673"/>
    <w:multiLevelType w:val="hybridMultilevel"/>
    <w:tmpl w:val="7A0F56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5"/>
    <w:multiLevelType w:val="hybridMultilevel"/>
    <w:tmpl w:val="7A0F56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7A0F5676"/>
    <w:multiLevelType w:val="hybridMultilevel"/>
    <w:tmpl w:val="7A0F56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7A0F5679"/>
    <w:multiLevelType w:val="hybridMultilevel"/>
    <w:tmpl w:val="7A0F56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hybridMultilevel"/>
    <w:tmpl w:val="7A0F56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A0F567D"/>
    <w:multiLevelType w:val="hybridMultilevel"/>
    <w:tmpl w:val="7A0F56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E"/>
    <w:multiLevelType w:val="hybridMultilevel"/>
    <w:tmpl w:val="7A0F56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7A0F567F"/>
    <w:multiLevelType w:val="hybridMultilevel"/>
    <w:tmpl w:val="7A0F56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7A0F5680"/>
    <w:multiLevelType w:val="hybridMultilevel"/>
    <w:tmpl w:val="7A0F56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A0F5681"/>
    <w:multiLevelType w:val="hybridMultilevel"/>
    <w:tmpl w:val="7A0F56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hybridMultilevel"/>
    <w:tmpl w:val="7A0F56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techdocs.broadcom.com/us/en/vmware-cis/vcf/vcf-9-0-and-later/9-0/design.html" TargetMode="External"/><Relationship Id="rId26" Type="http://schemas.openxmlformats.org/officeDocument/2006/relationships/hyperlink" Target="https://techdocs.broadcom.com/us/en/vmware-cis/vcf/vcf-9-0-and-later/9-0/infrastructure-operations.html" TargetMode="External"/><Relationship Id="rId21" Type="http://schemas.openxmlformats.org/officeDocument/2006/relationships/hyperlink" Target="https://techdocs.broadcom.com/us/en/vmware-cis/vcf/vcf-9-0-and-later/9-0/vsphere-in-vcf.html" TargetMode="External"/><Relationship Id="rId34" Type="http://schemas.openxmlformats.org/officeDocument/2006/relationships/numbering" Target="numbering.xml"/><Relationship Id="rId12" Type="http://schemas.openxmlformats.org/officeDocument/2006/relationships/image" Target="media/image5.svg"/><Relationship Id="rId17" Type="http://schemas.openxmlformats.org/officeDocument/2006/relationships/hyperlink" Target="https://techdocs.broadcom.com/content/dam/broadcom/techdocs/us/en/assets/vmware-cis/vcf/vcf-9.0-planning-and-preparation-workbook.xlsx" TargetMode="External"/><Relationship Id="rId25" Type="http://schemas.openxmlformats.org/officeDocument/2006/relationships/hyperlink" Target="https://techdocs.broadcom.com/us/en/vmware-cis/vcf/vcf-9-0-and-later/9-0/fleet-management.html" TargetMode="External"/><Relationship Id="rId33" Type="http://schemas.openxmlformats.org/officeDocument/2006/relationships/theme" Target="theme/theme1.xml"/><Relationship Id="rId7" Type="http://schemas.openxmlformats.org/officeDocument/2006/relationships/hyperlink" Target="http://www.vmware.com/" TargetMode="External"/><Relationship Id="rId38" Type="http://schemas.openxmlformats.org/officeDocument/2006/relationships/customXml" Target="../customXml/item3.xml"/><Relationship Id="rId16" Type="http://schemas.openxmlformats.org/officeDocument/2006/relationships/hyperlink" Target="https://techdocs.broadcom.com/us/en/vmware-cis/vcf/vcf-9-0-and-later/9-0/release-notes.html" TargetMode="External"/><Relationship Id="rId2" Type="http://schemas.openxmlformats.org/officeDocument/2006/relationships/webSettings" Target="webSettings.xml"/><Relationship Id="rId20" Type="http://schemas.openxmlformats.org/officeDocument/2006/relationships/hyperlink" Target="https://techdocs.broadcom.com/us/en/vmware-cis/vcf/vcf-9-0-and-later/9-0/building-your-private-cloud-infrastructure.html" TargetMode="External"/><Relationship Id="rId29" Type="http://schemas.openxmlformats.org/officeDocument/2006/relationships/hyperlink" Target="https://techdocs.broadcom.com/us/en/vmware-cis/vcf/vcf-9-0-and-later/9-0/security-and-compliance.html" TargetMode="External"/><Relationship Id="rId1"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hyperlink" Target="https://techdocs.broadcom.com/us/en/vmware-cis/vcf/vcf-9-0-and-later/9-0/lifecycle-management.html" TargetMode="External"/><Relationship Id="rId32" Type="http://schemas.openxmlformats.org/officeDocument/2006/relationships/footer" Target="footer1.xml"/><Relationship Id="rId6" Type="http://schemas.openxmlformats.org/officeDocument/2006/relationships/hyperlink" Target="https://techdocs.broadcom.com/" TargetMode="External"/><Relationship Id="rId37" Type="http://schemas.openxmlformats.org/officeDocument/2006/relationships/customXml" Target="../customXml/item2.xml"/><Relationship Id="rId15" Type="http://schemas.openxmlformats.org/officeDocument/2006/relationships/hyperlink" Target="https://techdocs.broadcom.com/us/en/vmware-cis/vcf/vcf-9-0-and-later/9-0.html" TargetMode="External"/><Relationship Id="rId23" Type="http://schemas.openxmlformats.org/officeDocument/2006/relationships/hyperlink" Target="https://techdocs.broadcom.com/us/en/vmware-cis/vcf/vcf-9-0-and-later/9-0/advanced-network-management.html" TargetMode="External"/><Relationship Id="rId28" Type="http://schemas.openxmlformats.org/officeDocument/2006/relationships/hyperlink" Target="https://techdocs.broadcom.com/us/en/vmware-cis/vcf/vcf-9-0-and-later/9-0/vsphere-supervisor-installation-and-configuration.html" TargetMode="External"/><Relationship Id="rId5" Type="http://schemas.openxmlformats.org/officeDocument/2006/relationships/image" Target="media/image2.png"/><Relationship Id="rId36" Type="http://schemas.openxmlformats.org/officeDocument/2006/relationships/customXml" Target="../customXml/item1.xml"/><Relationship Id="rId10" Type="http://schemas.openxmlformats.org/officeDocument/2006/relationships/hyperlink" Target="https://vrlisizer.vmware.com/overview" TargetMode="External"/><Relationship Id="rId19" Type="http://schemas.openxmlformats.org/officeDocument/2006/relationships/hyperlink" Target="https://techdocs.broadcom.com/us/en/vmware-cis/vcf/vcf-9-0-and-later/9-0/deployment.html" TargetMode="External"/><Relationship Id="rId31" Type="http://schemas.openxmlformats.org/officeDocument/2006/relationships/header" Target="header1.xml"/><Relationship Id="rId14" Type="http://schemas.openxmlformats.org/officeDocument/2006/relationships/image" Target="media/image7.svg"/><Relationship Id="rId22" Type="http://schemas.openxmlformats.org/officeDocument/2006/relationships/hyperlink" Target="https://techdocs.broadcom.com/us/en/vmware-cis/vcf/vcf-9-0-and-later/9-0/vsan-deployment-administration-and-monitoring.html" TargetMode="External"/><Relationship Id="rId27" Type="http://schemas.openxmlformats.org/officeDocument/2006/relationships/hyperlink" Target="https://techdocs.broadcom.com/us/en/vmware-cis/vcf/vcf-9-0-and-later/9-0/workload-monitoring-and-observability.html" TargetMode="External"/><Relationship Id="rId30" Type="http://schemas.openxmlformats.org/officeDocument/2006/relationships/hyperlink" Target="https://developer.broadcom.com/xapis/vmware-cloud-foundation-api/latest/" TargetMode="External"/><Relationship Id="rId35" Type="http://schemas.openxmlformats.org/officeDocument/2006/relationships/styles" Target="styles.xml"/><Relationship Id="rId4" Type="http://schemas.openxmlformats.org/officeDocument/2006/relationships/image" Target="media/image1.jpeg"/><Relationship Id="rId9" Type="http://schemas.openxmlformats.org/officeDocument/2006/relationships/image" Target="media/image3.png"/><Relationship Id="rId8" Type="http://schemas.openxmlformats.org/officeDocument/2006/relationships/hyperlink" Target="https://configmax.broadcom.com/home" TargetMode="External"/><Relationship Id="rId3" Type="http://schemas.openxmlformats.org/officeDocument/2006/relationships/fontTable" Target="fontTable.xml"/></Relationships>
</file>

<file path=word/_rels/header1.xml.rels><?xml version="1.0" encoding="utf-8" standalone="yes"?><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8D7918A6-850B-44DE-B85E-7925E912E5A9}"/>
</file>

<file path=customXml/itemProps2.xml><?xml version="1.0" encoding="utf-8"?>
<ds:datastoreItem xmlns:ds="http://schemas.openxmlformats.org/officeDocument/2006/customXml" ds:itemID="{E2DEB5C6-5858-46B9-8840-294EA16D6439}"/>
</file>

<file path=customXml/itemProps3.xml><?xml version="1.0" encoding="utf-8"?>
<ds:datastoreItem xmlns:ds="http://schemas.openxmlformats.org/officeDocument/2006/customXml" ds:itemID="{0206B3FF-6F87-4A09-B989-B7550F8A9BE1}"/>
</file>

<file path=docProps/app.xml><?xml version="1.0" encoding="utf-8"?>
<Properties xmlns="http://schemas.openxmlformats.org/officeDocument/2006/extended-properties" xmlns:vt="http://schemas.openxmlformats.org/officeDocument/2006/docPropsVTypes">
  <Template>Normal.dotm</Template>
  <TotalTime>157</TotalTime>
  <Pages>24</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VMware Cloud Foundation Operations for logs Design 9.0</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