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Operations for logs Standard Operating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59264"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24"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_Toc256000024 \h </w:instrText>
        </w:r>
        <w:r>
          <w:fldChar w:fldCharType="separate"/>
        </w:r>
        <w:r>
          <w:t>4</w:t>
        </w:r>
        <w:r>
          <w:fldChar w:fldCharType="end"/>
        </w:r>
      </w:hyperlink>
    </w:p>
    <w:p>
      <w:pPr>
        <w:pStyle w:val="TOC1"/>
        <w:rPr>
          <w:rFonts w:asciiTheme="minorHAnsi" w:hAnsiTheme="minorHAnsi"/>
          <w:noProof/>
          <w:sz w:val="22"/>
        </w:rPr>
      </w:pPr>
      <w:hyperlink w:anchor="_Toc256000025"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_Toc256000025 \h </w:instrText>
        </w:r>
        <w:r>
          <w:fldChar w:fldCharType="separate"/>
        </w:r>
        <w:r>
          <w:t>5</w:t>
        </w:r>
        <w:r>
          <w:fldChar w:fldCharType="end"/>
        </w:r>
      </w:hyperlink>
    </w:p>
    <w:p>
      <w:pPr>
        <w:pStyle w:val="TOC1"/>
        <w:rPr>
          <w:rFonts w:asciiTheme="minorHAnsi" w:hAnsiTheme="minorHAnsi"/>
          <w:noProof/>
          <w:sz w:val="22"/>
        </w:rPr>
      </w:pPr>
      <w:hyperlink w:anchor="_Toc256000026" w:history="1">
        <w:r>
          <w:rPr>
            <w:rStyle w:val="Hyperlink"/>
          </w:rPr>
          <w:t>3.</w:t>
        </w:r>
        <w:r>
          <w:rPr>
            <w:rFonts w:asciiTheme="minorHAnsi" w:hAnsiTheme="minorHAnsi"/>
            <w:noProof/>
            <w:sz w:val="22"/>
          </w:rPr>
          <w:tab/>
        </w:r>
        <w:r>
          <w:rPr>
            <w:rStyle w:val="Hyperlink"/>
          </w:rPr>
          <w:t>Solution Adoption Overview</w:t>
        </w:r>
        <w:r>
          <w:tab/>
        </w:r>
        <w:r>
          <w:fldChar w:fldCharType="begin"/>
        </w:r>
        <w:r>
          <w:instrText xml:space="preserve"> PAGEREF _Toc256000026 \h </w:instrText>
        </w:r>
        <w:r>
          <w:fldChar w:fldCharType="separate"/>
        </w:r>
        <w:r>
          <w:t>6</w:t>
        </w:r>
        <w:r>
          <w:fldChar w:fldCharType="end"/>
        </w:r>
      </w:hyperlink>
    </w:p>
    <w:p>
      <w:pPr>
        <w:pStyle w:val="TOC1"/>
        <w:rPr>
          <w:rFonts w:asciiTheme="minorHAnsi" w:hAnsiTheme="minorHAnsi"/>
          <w:noProof/>
          <w:sz w:val="22"/>
        </w:rPr>
      </w:pPr>
      <w:hyperlink w:anchor="_Toc256000027" w:history="1">
        <w:r>
          <w:rPr>
            <w:rStyle w:val="Hyperlink"/>
          </w:rPr>
          <w:t>4.</w:t>
        </w:r>
        <w:r>
          <w:rPr>
            <w:rFonts w:asciiTheme="minorHAnsi" w:hAnsiTheme="minorHAnsi"/>
            <w:noProof/>
            <w:sz w:val="22"/>
          </w:rPr>
          <w:tab/>
        </w:r>
        <w:r>
          <w:rPr>
            <w:rStyle w:val="Hyperlink"/>
          </w:rPr>
          <w:t>VMware Cloud Foundation Operations for Logs Standard Operating Procedures</w:t>
        </w:r>
        <w:r>
          <w:tab/>
        </w:r>
        <w:r>
          <w:fldChar w:fldCharType="begin"/>
        </w:r>
        <w:r>
          <w:instrText xml:space="preserve"> PAGEREF _Toc256000027 \h </w:instrText>
        </w:r>
        <w:r>
          <w:fldChar w:fldCharType="separate"/>
        </w:r>
        <w:r>
          <w:t>7</w:t>
        </w:r>
        <w:r>
          <w:fldChar w:fldCharType="end"/>
        </w:r>
      </w:hyperlink>
    </w:p>
    <w:p>
      <w:pPr>
        <w:pStyle w:val="TOC2"/>
        <w:rPr>
          <w:rFonts w:asciiTheme="minorHAnsi" w:hAnsiTheme="minorHAnsi"/>
          <w:noProof/>
          <w:sz w:val="22"/>
        </w:rPr>
      </w:pPr>
      <w:hyperlink w:anchor="_Toc256000028" w:history="1">
        <w:r>
          <w:rPr>
            <w:rStyle w:val="Hyperlink"/>
          </w:rPr>
          <w:t>Configuring and Analyzing Logs</w:t>
        </w:r>
        <w:r>
          <w:tab/>
        </w:r>
        <w:r>
          <w:fldChar w:fldCharType="begin"/>
        </w:r>
        <w:r>
          <w:instrText xml:space="preserve"> PAGEREF _Toc256000028 \h </w:instrText>
        </w:r>
        <w:r>
          <w:fldChar w:fldCharType="separate"/>
        </w:r>
        <w:r>
          <w:t>7</w:t>
        </w:r>
        <w:r>
          <w:fldChar w:fldCharType="end"/>
        </w:r>
      </w:hyperlink>
    </w:p>
    <w:p>
      <w:pPr>
        <w:pStyle w:val="TOC3"/>
        <w:rPr>
          <w:rFonts w:asciiTheme="minorHAnsi" w:hAnsiTheme="minorHAnsi"/>
          <w:noProof/>
          <w:sz w:val="22"/>
        </w:rPr>
      </w:pPr>
      <w:hyperlink w:anchor="_Toc256000029" w:history="1">
        <w:r>
          <w:rPr>
            <w:rStyle w:val="Hyperlink"/>
          </w:rPr>
          <w:t>Overview of Log Standardization</w:t>
        </w:r>
        <w:r>
          <w:tab/>
        </w:r>
        <w:r>
          <w:fldChar w:fldCharType="begin"/>
        </w:r>
        <w:r>
          <w:instrText xml:space="preserve"> PAGEREF _Toc256000029 \h </w:instrText>
        </w:r>
        <w:r>
          <w:fldChar w:fldCharType="separate"/>
        </w:r>
        <w:r>
          <w:t>7</w:t>
        </w:r>
        <w:r>
          <w:fldChar w:fldCharType="end"/>
        </w:r>
      </w:hyperlink>
    </w:p>
    <w:p>
      <w:pPr>
        <w:pStyle w:val="TOC3"/>
        <w:rPr>
          <w:rFonts w:asciiTheme="minorHAnsi" w:hAnsiTheme="minorHAnsi"/>
          <w:noProof/>
          <w:sz w:val="22"/>
        </w:rPr>
      </w:pPr>
      <w:hyperlink w:anchor="_Toc256000030" w:history="1">
        <w:r>
          <w:rPr>
            <w:rStyle w:val="Hyperlink"/>
          </w:rPr>
          <w:t>Centralized Log Collection Architecture</w:t>
        </w:r>
        <w:r>
          <w:tab/>
        </w:r>
        <w:r>
          <w:fldChar w:fldCharType="begin"/>
        </w:r>
        <w:r>
          <w:instrText xml:space="preserve"> PAGEREF _Toc256000030 \h </w:instrText>
        </w:r>
        <w:r>
          <w:fldChar w:fldCharType="separate"/>
        </w:r>
        <w:r>
          <w:t>8</w:t>
        </w:r>
        <w:r>
          <w:fldChar w:fldCharType="end"/>
        </w:r>
      </w:hyperlink>
    </w:p>
    <w:p>
      <w:pPr>
        <w:pStyle w:val="TOC3"/>
        <w:rPr>
          <w:rFonts w:asciiTheme="minorHAnsi" w:hAnsiTheme="minorHAnsi"/>
          <w:noProof/>
          <w:sz w:val="22"/>
        </w:rPr>
      </w:pPr>
      <w:hyperlink w:anchor="_Toc256000031" w:history="1">
        <w:r>
          <w:rPr>
            <w:rStyle w:val="Hyperlink"/>
          </w:rPr>
          <w:t>Log Statement Standardization Format</w:t>
        </w:r>
        <w:r>
          <w:tab/>
        </w:r>
        <w:r>
          <w:fldChar w:fldCharType="begin"/>
        </w:r>
        <w:r>
          <w:instrText xml:space="preserve"> PAGEREF _Toc256000031 \h </w:instrText>
        </w:r>
        <w:r>
          <w:fldChar w:fldCharType="separate"/>
        </w:r>
        <w:r>
          <w:t>9</w:t>
        </w:r>
        <w:r>
          <w:fldChar w:fldCharType="end"/>
        </w:r>
      </w:hyperlink>
    </w:p>
    <w:p>
      <w:pPr>
        <w:pStyle w:val="TOC3"/>
        <w:rPr>
          <w:rFonts w:asciiTheme="minorHAnsi" w:hAnsiTheme="minorHAnsi"/>
          <w:noProof/>
          <w:sz w:val="22"/>
        </w:rPr>
      </w:pPr>
      <w:hyperlink w:anchor="_Toc256000032" w:history="1">
        <w:r>
          <w:rPr>
            <w:rStyle w:val="Hyperlink"/>
          </w:rPr>
          <w:t>Getting Started with Log Analysis</w:t>
        </w:r>
        <w:r>
          <w:tab/>
        </w:r>
        <w:r>
          <w:fldChar w:fldCharType="begin"/>
        </w:r>
        <w:r>
          <w:instrText xml:space="preserve"> PAGEREF _Toc256000032 \h </w:instrText>
        </w:r>
        <w:r>
          <w:fldChar w:fldCharType="separate"/>
        </w:r>
        <w:r>
          <w:t>12</w:t>
        </w:r>
        <w:r>
          <w:fldChar w:fldCharType="end"/>
        </w:r>
      </w:hyperlink>
    </w:p>
    <w:p>
      <w:pPr>
        <w:pStyle w:val="TOC3"/>
        <w:rPr>
          <w:rFonts w:asciiTheme="minorHAnsi" w:hAnsiTheme="minorHAnsi"/>
          <w:noProof/>
          <w:sz w:val="22"/>
        </w:rPr>
      </w:pPr>
      <w:hyperlink w:anchor="_Toc256000033" w:history="1">
        <w:r>
          <w:rPr>
            <w:rStyle w:val="Hyperlink"/>
          </w:rPr>
          <w:t>Viewing Logs, Queries and Fields</w:t>
        </w:r>
        <w:r>
          <w:tab/>
        </w:r>
        <w:r>
          <w:fldChar w:fldCharType="begin"/>
        </w:r>
        <w:r>
          <w:instrText xml:space="preserve"> PAGEREF _Toc256000033 \h </w:instrText>
        </w:r>
        <w:r>
          <w:fldChar w:fldCharType="separate"/>
        </w:r>
        <w:r>
          <w:t>16</w:t>
        </w:r>
        <w:r>
          <w:fldChar w:fldCharType="end"/>
        </w:r>
      </w:hyperlink>
    </w:p>
    <w:p>
      <w:pPr>
        <w:pStyle w:val="TOC3"/>
        <w:rPr>
          <w:rFonts w:asciiTheme="minorHAnsi" w:hAnsiTheme="minorHAnsi"/>
          <w:noProof/>
          <w:sz w:val="22"/>
        </w:rPr>
      </w:pPr>
      <w:hyperlink w:anchor="_Toc256000034" w:history="1">
        <w:r>
          <w:rPr>
            <w:rStyle w:val="Hyperlink"/>
          </w:rPr>
          <w:t>Log Data Transfer</w:t>
        </w:r>
        <w:r>
          <w:tab/>
        </w:r>
        <w:r>
          <w:fldChar w:fldCharType="begin"/>
        </w:r>
        <w:r>
          <w:instrText xml:space="preserve"> PAGEREF _Toc256000034 \h </w:instrText>
        </w:r>
        <w:r>
          <w:fldChar w:fldCharType="separate"/>
        </w:r>
        <w:r>
          <w:t>30</w:t>
        </w:r>
        <w:r>
          <w:fldChar w:fldCharType="end"/>
        </w:r>
      </w:hyperlink>
    </w:p>
    <w:p>
      <w:pPr>
        <w:pStyle w:val="TOC3"/>
        <w:rPr>
          <w:rFonts w:asciiTheme="minorHAnsi" w:hAnsiTheme="minorHAnsi"/>
          <w:noProof/>
          <w:sz w:val="22"/>
        </w:rPr>
      </w:pPr>
      <w:hyperlink w:anchor="_Toc256000035" w:history="1">
        <w:r>
          <w:rPr>
            <w:rStyle w:val="Hyperlink"/>
          </w:rPr>
          <w:t>Troubleshooting Log Analysis and Log Collection</w:t>
        </w:r>
        <w:r>
          <w:tab/>
        </w:r>
        <w:r>
          <w:fldChar w:fldCharType="begin"/>
        </w:r>
        <w:r>
          <w:instrText xml:space="preserve"> PAGEREF _Toc256000035 \h </w:instrText>
        </w:r>
        <w:r>
          <w:fldChar w:fldCharType="separate"/>
        </w:r>
        <w:r>
          <w:t>31</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24"/>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54"/>
        <w:gridCol w:w="1347"/>
        <w:gridCol w:w="1884"/>
        <w:gridCol w:w="2745"/>
        <w:gridCol w:w="25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025"/>
      <w:r>
        <w:t>Document Overview</w:t>
      </w:r>
      <w:bookmarkEnd w:id="2"/>
    </w:p>
    <w:p>
      <w:pPr>
        <w:pStyle w:val="BodyText"/>
      </w:pPr>
      <w:r>
        <w:t xml:space="preserve">This adoption guide document is created by VCF Professional Services to support the subsequent standard operating procedures of the VMware by Broadcom solution at </w:t>
      </w:r>
      <w:r>
        <w:t>Customer</w:t>
      </w:r>
      <w:r>
        <w:t>.</w:t>
      </w:r>
    </w:p>
    <w:p>
      <w:pPr>
        <w:pStyle w:val="BodyText"/>
      </w:pPr>
      <w:r>
        <w:t>This document is accompanied by other documents that focus on implementation and operation subjects, such as installation guides, configuration, and verification workbooks.</w:t>
      </w:r>
    </w:p>
    <w:p>
      <w:pPr>
        <w:pStyle w:val="Heading1"/>
      </w:pPr>
      <w:bookmarkStart w:id="3" w:name="_Toc256000026"/>
      <w:r>
        <w:t>Solution Adoption Overview</w:t>
      </w:r>
      <w:bookmarkEnd w:id="3"/>
    </w:p>
    <w:p>
      <w:pPr>
        <w:pStyle w:val="BodyText"/>
      </w:pPr>
      <w:r>
        <w:t>Adoption of any solution involves the incorporation of the technology into existing business processes. The creation, training, and verification of adopted processes is required to ensure that the original business aims are achieved post implementation of the solution.</w:t>
      </w:r>
    </w:p>
    <w:p>
      <w:pPr>
        <w:pStyle w:val="BodyText"/>
      </w:pPr>
      <w:r>
        <w:t>VMware has created a simple methodology to assist with this methodology. The following diagram illustrates this strategy.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See One, Do One, Teach One</w:t>
      </w:r>
    </w:p>
    <w:p>
      <w:pPr>
        <w:pStyle w:val="BodyText"/>
      </w:pPr>
      <w:r>
        <w:drawing>
          <wp:inline>
            <wp:extent cx="6324600" cy="113094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1130946"/>
                    </a:xfrm>
                    <a:prstGeom prst="rect">
                      <a:avLst/>
                    </a:prstGeom>
                  </pic:spPr>
                </pic:pic>
              </a:graphicData>
            </a:graphic>
          </wp:inline>
        </w:drawing>
      </w:r>
    </w:p>
    <w:p>
      <w:pPr>
        <w:pStyle w:val="BodyText"/>
      </w:pPr>
      <w:r>
        <w:t xml:space="preserve">Using this methodology </w:t>
      </w:r>
      <w:r>
        <w:t>Customer</w:t>
      </w:r>
      <w:r>
        <w:t xml:space="preserve"> has details on many standard operational processes that can be used post implementation of the solution.</w:t>
      </w:r>
    </w:p>
    <w:p>
      <w:pPr>
        <w:pStyle w:val="Heading1"/>
      </w:pPr>
      <w:bookmarkStart w:id="4" w:name="_Toc256000027"/>
      <w:r>
        <w:t>VMware Cloud Foundation Operations for Logs Standard Operating Procedures</w:t>
      </w:r>
      <w:bookmarkEnd w:id="4"/>
    </w:p>
    <w:p>
      <w:pPr>
        <w:pStyle w:val="BodyText"/>
      </w:pPr>
      <w:r>
        <w:t>This section lists the operational guidance and solution interoperability details for the Intelligent Logging and Analytics.</w:t>
      </w:r>
    </w:p>
    <w:p>
      <w:pPr>
        <w:pStyle w:val="Heading2"/>
      </w:pPr>
      <w:bookmarkStart w:id="5" w:name="_Toc256000028"/>
      <w:r>
        <w:t>Configuring and Analyzing Logs</w:t>
      </w:r>
      <w:bookmarkEnd w:id="5"/>
    </w:p>
    <w:p>
      <w:pPr>
        <w:pStyle w:val="BodyText"/>
      </w:pPr>
      <w:r>
        <w:t>VCF Operations</w:t>
      </w:r>
      <w:r>
        <w:t xml:space="preserve"> 9.0 provides capabilities to collect, parse, modify, process and analyze logs collected from various </w:t>
      </w:r>
      <w:r>
        <w:t>VMware Cloud Foundation</w:t>
      </w:r>
      <w:r>
        <w:t xml:space="preserve"> components. The prerequisite is the deployment of the </w:t>
      </w:r>
      <w:r>
        <w:t>VCF Operations for logs</w:t>
      </w:r>
      <w:r>
        <w:t xml:space="preserve"> component. </w:t>
      </w:r>
      <w:r>
        <w:t>VMware Cloud Foundation</w:t>
      </w:r>
      <w:r>
        <w:t xml:space="preserve"> 9.0 provides an integrated user experience for log analysis. You can view and analyze logs from the </w:t>
      </w:r>
      <w:r>
        <w:t>VCF Operations</w:t>
      </w:r>
      <w:r>
        <w:t xml:space="preserve"> console. </w:t>
      </w:r>
      <w:r>
        <w:t>VMware Cloud Foundation</w:t>
      </w:r>
      <w:r>
        <w:t xml:space="preserve"> 9.0 also introduces a new log standard.</w:t>
      </w:r>
    </w:p>
    <w:p>
      <w:pPr>
        <w:pStyle w:val="Heading3"/>
      </w:pPr>
      <w:bookmarkStart w:id="6" w:name="_Toc256000029"/>
      <w:r>
        <w:t>Overview of Log Standardization</w:t>
      </w:r>
      <w:bookmarkEnd w:id="6"/>
    </w:p>
    <w:p>
      <w:pPr>
        <w:pStyle w:val="BodyText"/>
      </w:pPr>
      <w:r>
        <w:t xml:space="preserve">By introducing a unified log standard, </w:t>
      </w:r>
      <w:r>
        <w:t>VMware Cloud Foundation</w:t>
      </w:r>
      <w:r>
        <w:t xml:space="preserve"> enhances log usability, simplifies troubleshooting, and improves automation capabilities. The adoption of industry standards and structured logging ensures that logs are more consistent, easy to interpret, and valuable for your organization, your support teams, and your automation processes. The log standard introduced in </w:t>
      </w:r>
      <w:r>
        <w:t>VMware Cloud Foundation</w:t>
      </w:r>
      <w:r>
        <w:t xml:space="preserve"> is a significant step toward greater observability, system efficiency, and proactive problem resolution.</w:t>
      </w:r>
    </w:p>
    <w:p>
      <w:pPr>
        <w:pStyle w:val="SectionHeading4"/>
      </w:pPr>
      <w:r>
        <w:t>Why a New Log Standard?</w:t>
      </w:r>
    </w:p>
    <w:p>
      <w:pPr>
        <w:pStyle w:val="BodyText"/>
      </w:pPr>
      <w:r>
        <w:t xml:space="preserve">Logging serves as a key source of information for system management, troubleshooting, and automation. Global support teams rely on log statements to diagnose issues, optimize performance, and enhance automation processes. In previous versions, VMware products such as </w:t>
      </w:r>
      <w:r>
        <w:t>vCenter</w:t>
      </w:r>
      <w:r>
        <w:t xml:space="preserve">, </w:t>
      </w:r>
      <w:r>
        <w:t>vSphere</w:t>
      </w:r>
      <w:r>
        <w:t>, Aria Operations for Networks, have followed their own logging standards, often based on the RFC 5424 Syslog Protocol. Though functional, this approach introduced inconsistencies in log formats and patterns, making interpretation more complex and reducing the efficiency of automated log analysis.</w:t>
      </w:r>
    </w:p>
    <w:p>
      <w:pPr>
        <w:pStyle w:val="BodyText"/>
      </w:pPr>
      <w:r>
        <w:t xml:space="preserve">To address these challenges, </w:t>
      </w:r>
      <w:r>
        <w:t>VMware Cloud Foundation</w:t>
      </w:r>
      <w:r>
        <w:t xml:space="preserve"> 9.0 introduces a standardized log format. This new format aligns with industry best practices, including OpenTelemetry principles. It is designed to improve log consistency across components, simplify troubleshooting, and facilitate automation-driven log consumption. In VMware Cloud Foundation 9.0, three components follow a unified format, offering greater interoperability. In future versions, more components will adopt the standardized log format. This reduces the complexity of integrating new tools or migrating to new </w:t>
      </w:r>
      <w:r>
        <w:t>VMware Cloud Foundation</w:t>
      </w:r>
      <w:r>
        <w:t xml:space="preserve"> versions since updates will follow this standardized approach.</w:t>
      </w:r>
    </w:p>
    <w:p>
      <w:pPr>
        <w:pStyle w:val="SectionHeading4"/>
      </w:pPr>
      <w:r>
        <w:t>Objectives of Log Standardization</w:t>
      </w:r>
    </w:p>
    <w:p>
      <w:pPr>
        <w:pStyle w:val="BodyText"/>
      </w:pPr>
      <w:r>
        <w:t>VMware Cloud Foundation</w:t>
      </w:r>
      <w:r>
        <w:t xml:space="preserve"> benefits from standardizing logs because of the following reasons:</w:t>
      </w:r>
    </w:p>
    <w:p>
      <w:pPr>
        <w:pStyle w:val="BodyText"/>
        <w:numPr>
          <w:numId w:val="8"/>
        </w:numPr>
      </w:pPr>
      <w:r>
        <w:t>Unified Logging Standard: Establishing a single log statement standard across the VMware Cloud Foundation platform while incorporating industry standards.</w:t>
      </w:r>
    </w:p>
    <w:p>
      <w:pPr>
        <w:pStyle w:val="BodyText"/>
        <w:numPr>
          <w:numId w:val="8"/>
        </w:numPr>
      </w:pPr>
      <w:r>
        <w:t>Enhanced Automation and Parsing: Enabling automated log parsing and interpretation to improve operational efficiency.</w:t>
      </w:r>
    </w:p>
    <w:p>
      <w:pPr>
        <w:pStyle w:val="BodyText"/>
        <w:numPr>
          <w:numId w:val="8"/>
        </w:numPr>
      </w:pPr>
      <w:r>
        <w:t xml:space="preserve">Ease of Configuration: There is now a single place to enable or disable log collection as well as configure it's granularity. The approach is applicable for cross-datacenter </w:t>
      </w:r>
      <w:r>
        <w:t>VMware Cloud Foundation</w:t>
      </w:r>
      <w:r>
        <w:t xml:space="preserve"> platforms by utilizing log forwarder capability within the </w:t>
      </w:r>
      <w:r>
        <w:t>cloud proxy</w:t>
      </w:r>
      <w:r>
        <w:t>.</w:t>
      </w:r>
    </w:p>
    <w:p>
      <w:pPr>
        <w:pStyle w:val="SectionHeading4"/>
      </w:pPr>
      <w:r>
        <w:t>Components Using the New Log Standard</w:t>
      </w:r>
    </w:p>
    <w:p>
      <w:pPr>
        <w:pStyle w:val="BodyText"/>
      </w:pPr>
      <w:r>
        <w:t xml:space="preserve">The </w:t>
      </w:r>
      <w:r>
        <w:t>VMware Cloud Foundation</w:t>
      </w:r>
      <w:r>
        <w:t xml:space="preserve"> components using the new standard include:</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VCF Operations</w:t>
            </w:r>
          </w:p>
        </w:tc>
      </w:tr>
      <w:tr>
        <w:tblPrEx>
          <w:tblW w:w="5000" w:type="pct"/>
          <w:tblCellMar>
            <w:left w:w="108" w:type="dxa"/>
            <w:right w:w="108" w:type="dxa"/>
          </w:tblCellMar>
        </w:tblPrEx>
        <w:trPr>
          <w:cantSplit w:val="0"/>
        </w:trPr>
        <w:tc>
          <w:tcPr>
            <w:tcBorders>
              <w:left w:val="nil"/>
              <w:right w:val="nil"/>
            </w:tcBorders>
          </w:tcPr>
          <w:p>
            <w:pPr>
              <w:pStyle w:val="TableBodyText"/>
            </w:pPr>
            <w:r>
              <w:t>VCF Operations for networks</w:t>
            </w:r>
          </w:p>
        </w:tc>
      </w:tr>
      <w:tr>
        <w:tblPrEx>
          <w:tblW w:w="5000" w:type="pct"/>
          <w:tblCellMar>
            <w:left w:w="108" w:type="dxa"/>
            <w:right w:w="108" w:type="dxa"/>
          </w:tblCellMar>
        </w:tblPrEx>
        <w:trPr>
          <w:cantSplit w:val="0"/>
        </w:trPr>
        <w:tc>
          <w:tcPr>
            <w:tcBorders>
              <w:left w:val="nil"/>
              <w:right w:val="nil"/>
            </w:tcBorders>
          </w:tcPr>
          <w:p>
            <w:pPr>
              <w:pStyle w:val="TableBodyText"/>
            </w:pPr>
            <w:r>
              <w:t>VCF Identity Broker</w:t>
            </w:r>
          </w:p>
        </w:tc>
      </w:tr>
    </w:tbl>
    <w:p>
      <w:pPr>
        <w:pStyle w:val="SectionHeading4"/>
        <w:spacing w:before="120"/>
      </w:pPr>
      <w:r>
        <w:t>Impact of Log Standardization on Existing Workflows and Automation</w:t>
      </w:r>
    </w:p>
    <w:p>
      <w:pPr>
        <w:pStyle w:val="BodyText"/>
        <w:numPr>
          <w:numId w:val="9"/>
        </w:numPr>
      </w:pPr>
      <w:r>
        <w:t>Automation Adjustments: If you use automated workflows tied to logging data, then you may need to adjust your processes for the components using the new log standard. Since the standardized format introduces specific fields (for example, timestamps, user actions, and component details), any custom scripts or automation routines relying on previous formats will require updating to the new structure.</w:t>
      </w:r>
    </w:p>
    <w:p>
      <w:pPr>
        <w:pStyle w:val="BodyText"/>
        <w:numPr>
          <w:numId w:val="9"/>
        </w:numPr>
      </w:pPr>
      <w:r>
        <w:t xml:space="preserve">Dashboard and Alert Configuration: If you have dashboards or alert systems connected to log data, initial reconfiguration is necessary. You can combine log based symptoms with metric based symptoms, ensuring that crucial insights are not missed due to format discrepancies. You can build log based widgets with the existing </w:t>
      </w:r>
      <w:r>
        <w:t>VCF Operations</w:t>
      </w:r>
      <w:r>
        <w:t xml:space="preserve"> dashboards. This functionality is new in VCF 9.0.</w:t>
      </w:r>
    </w:p>
    <w:p>
      <w:pPr>
        <w:pStyle w:val="SectionHeading4"/>
      </w:pPr>
      <w:r>
        <w:t>Scope of Log Standardization</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Logs Within Scope</w:t>
            </w:r>
          </w:p>
        </w:tc>
      </w:tr>
      <w:tr>
        <w:tblPrEx>
          <w:tblW w:w="5000" w:type="pct"/>
          <w:tblCellMar>
            <w:left w:w="108" w:type="dxa"/>
            <w:right w:w="108" w:type="dxa"/>
          </w:tblCellMar>
        </w:tblPrEx>
        <w:trPr>
          <w:cantSplit w:val="0"/>
        </w:trPr>
        <w:tc>
          <w:tcPr>
            <w:tcBorders>
              <w:left w:val="nil"/>
              <w:right w:val="nil"/>
            </w:tcBorders>
          </w:tcPr>
          <w:p>
            <w:pPr>
              <w:pStyle w:val="TableBodyText"/>
            </w:pPr>
            <w:r>
              <w:t>Logs Out of Scope</w:t>
            </w:r>
          </w:p>
        </w:tc>
      </w:tr>
    </w:tbl>
    <w:p>
      <w:pPr>
        <w:pStyle w:val="Heading3"/>
        <w:spacing w:before="320"/>
      </w:pPr>
      <w:bookmarkStart w:id="7" w:name="_Toc256000030"/>
      <w:r>
        <w:t>Centralized Log Collection Architecture</w:t>
      </w:r>
      <w:bookmarkEnd w:id="7"/>
    </w:p>
    <w:p>
      <w:pPr>
        <w:pStyle w:val="BodyText"/>
      </w:pPr>
      <w:r>
        <w:t xml:space="preserve">The new centralized logs collection architecture provides the benefits of log collection across different </w:t>
      </w:r>
      <w:r>
        <w:t>VMware Cloud Foundation</w:t>
      </w:r>
      <w:r>
        <w:t xml:space="preserve"> components, granular log configuration and cross data center log collection. To implement this setup, </w:t>
      </w:r>
      <w:r>
        <w:t>VCF Operations</w:t>
      </w:r>
      <w:r>
        <w:t xml:space="preserve"> and </w:t>
      </w:r>
      <w:r>
        <w:t>VCF Operations for logs</w:t>
      </w:r>
      <w:r>
        <w:t xml:space="preserve"> must be integrated. </w:t>
      </w:r>
      <w:r>
        <w:t>VCF Operations</w:t>
      </w:r>
      <w:r>
        <w:t xml:space="preserve"> provides centralized management for log collection across all the </w:t>
      </w:r>
      <w:r>
        <w:t>VMware Cloud Foundation</w:t>
      </w:r>
      <w:r>
        <w:t xml:space="preserve"> components. It also supports diagnostic and monitoring features that rely on these logs.</w:t>
      </w:r>
    </w:p>
    <w:p>
      <w:pPr>
        <w:pStyle w:val="SectionHeading4"/>
      </w:pPr>
      <w:r>
        <w:t>Centralized Configuration Management</w:t>
      </w:r>
    </w:p>
    <w:p>
      <w:pPr>
        <w:pStyle w:val="BodyText"/>
      </w:pPr>
      <w:r>
        <w:t xml:space="preserve">The log collection configuration is stored in the </w:t>
      </w:r>
      <w:r>
        <w:t>VCF Operations for logs</w:t>
      </w:r>
      <w:r>
        <w:t xml:space="preserve"> cluster, but updates are always initiated through </w:t>
      </w:r>
      <w:r>
        <w:t>VCF Operations</w:t>
      </w:r>
      <w:r>
        <w:t>.</w:t>
      </w:r>
    </w:p>
    <w:p>
      <w:pPr>
        <w:pStyle w:val="BodyText"/>
      </w:pPr>
      <w:r>
        <w:t xml:space="preserve">Irrespective of whether logs are forwarded via the unified </w:t>
      </w:r>
      <w:r>
        <w:t>Cloud Proxy</w:t>
      </w:r>
      <w:r>
        <w:t xml:space="preserve">, or sent directly to the </w:t>
      </w:r>
      <w:r>
        <w:t>VCF Operations for logs</w:t>
      </w:r>
      <w:r>
        <w:t xml:space="preserve"> cluster, the interface for providing centralized log collection is through </w:t>
      </w:r>
      <w:r>
        <w:t>VCF Operations</w:t>
      </w:r>
      <w:r>
        <w:t xml:space="preserve"> for the components which follow the new log standard.</w:t>
      </w:r>
    </w:p>
    <w:p>
      <w:pPr>
        <w:pStyle w:val="SectionHeading4"/>
      </w:pPr>
      <w:r>
        <w:t>The Agent</w:t>
      </w:r>
    </w:p>
    <w:p>
      <w:pPr>
        <w:pStyle w:val="BodyText"/>
      </w:pPr>
      <w:r>
        <w:t xml:space="preserve">The Agent is pre-installed in the supported </w:t>
      </w:r>
      <w:r>
        <w:t>VMware Cloud Foundation</w:t>
      </w:r>
      <w:r>
        <w:t xml:space="preserve"> components. It offers key benefits:</w:t>
      </w:r>
    </w:p>
    <w:p>
      <w:pPr>
        <w:pStyle w:val="BodyText"/>
        <w:numPr>
          <w:numId w:val="10"/>
        </w:numPr>
      </w:pPr>
      <w:r>
        <w:t>Centralized Configuration: Once the Agent is connected to its server, it automatically retrieves and applies configuration settings based on defined Agent Groups.</w:t>
      </w:r>
    </w:p>
    <w:p>
      <w:pPr>
        <w:pStyle w:val="BodyText"/>
        <w:numPr>
          <w:numId w:val="10"/>
        </w:numPr>
      </w:pPr>
      <w:r>
        <w:t>Lifecycle Management: The Agent can update itself by downloading the latest version directly from its server.</w:t>
      </w:r>
    </w:p>
    <w:p>
      <w:pPr>
        <w:pStyle w:val="BodyText"/>
        <w:numPr>
          <w:numId w:val="10"/>
        </w:numPr>
      </w:pPr>
      <w:r>
        <w:t>Log Enhancement: The Agent can add static information (e.g., application name or file path) to logs, which is typically missing in traditional syslog data.</w:t>
      </w:r>
    </w:p>
    <w:p>
      <w:pPr>
        <w:pStyle w:val="SectionHeading4"/>
      </w:pPr>
      <w:r>
        <w:t>Unified Cloud Proxy</w:t>
      </w:r>
    </w:p>
    <w:p>
      <w:pPr>
        <w:pStyle w:val="BodyText"/>
      </w:pPr>
      <w:r>
        <w:t xml:space="preserve">Unified </w:t>
      </w:r>
      <w:r>
        <w:t>Cloud Proxy</w:t>
      </w:r>
      <w:r>
        <w:t xml:space="preserve"> plays a key role in collecting logs from multiple data centers. It works as follows:</w:t>
      </w:r>
    </w:p>
    <w:p>
      <w:pPr>
        <w:pStyle w:val="BodyText"/>
        <w:numPr>
          <w:numId w:val="11"/>
        </w:numPr>
      </w:pPr>
      <w:r>
        <w:t>VCF Operations</w:t>
      </w:r>
      <w:r>
        <w:t xml:space="preserve"> requests credentials.</w:t>
      </w:r>
    </w:p>
    <w:p>
      <w:pPr>
        <w:pStyle w:val="BodyText"/>
        <w:numPr>
          <w:ilvl w:val="1"/>
          <w:numId w:val="11"/>
        </w:numPr>
      </w:pPr>
      <w:r>
        <w:t>VCF Operations</w:t>
      </w:r>
      <w:r>
        <w:t xml:space="preserve"> requests credentials from </w:t>
      </w:r>
      <w:r>
        <w:t>VCF Operations for logs</w:t>
      </w:r>
      <w:r>
        <w:t xml:space="preserve"> for the log forwarder.</w:t>
      </w:r>
    </w:p>
    <w:p>
      <w:pPr>
        <w:pStyle w:val="BodyText"/>
        <w:numPr>
          <w:ilvl w:val="1"/>
          <w:numId w:val="11"/>
        </w:numPr>
      </w:pPr>
      <w:r>
        <w:t xml:space="preserve">This request includes the </w:t>
      </w:r>
      <w:r>
        <w:t>Cloud Proxy</w:t>
      </w:r>
      <w:r>
        <w:t xml:space="preserve"> ID.</w:t>
      </w:r>
    </w:p>
    <w:p>
      <w:pPr>
        <w:pStyle w:val="BodyText"/>
        <w:numPr>
          <w:numId w:val="11"/>
        </w:numPr>
      </w:pPr>
      <w:r>
        <w:t>Credential transmission.</w:t>
      </w:r>
    </w:p>
    <w:p>
      <w:pPr>
        <w:pStyle w:val="BodyText"/>
        <w:numPr>
          <w:ilvl w:val="1"/>
          <w:numId w:val="11"/>
        </w:numPr>
      </w:pPr>
      <w:r>
        <w:t xml:space="preserve">The credentials and </w:t>
      </w:r>
      <w:r>
        <w:t>VCF Operations for logs</w:t>
      </w:r>
      <w:r>
        <w:t xml:space="preserve"> FQDN (Fully Qualified Domain Name) are sent to the </w:t>
      </w:r>
      <w:r>
        <w:t>Cloud Proxy</w:t>
      </w:r>
      <w:r>
        <w:t>.</w:t>
      </w:r>
    </w:p>
    <w:p>
      <w:pPr>
        <w:pStyle w:val="BodyText"/>
        <w:numPr>
          <w:ilvl w:val="1"/>
          <w:numId w:val="11"/>
        </w:numPr>
      </w:pPr>
      <w:r>
        <w:t>This data is encrypted.</w:t>
      </w:r>
    </w:p>
    <w:p>
      <w:pPr>
        <w:pStyle w:val="BodyText"/>
        <w:numPr>
          <w:numId w:val="11"/>
        </w:numPr>
      </w:pPr>
      <w:r>
        <w:t>Log forwarder setup.</w:t>
      </w:r>
    </w:p>
    <w:p>
      <w:pPr>
        <w:pStyle w:val="BodyText"/>
        <w:numPr>
          <w:ilvl w:val="1"/>
          <w:numId w:val="11"/>
        </w:numPr>
      </w:pPr>
      <w:r>
        <w:t xml:space="preserve">The log forwarder decrypts the payload and establishes a connection with </w:t>
      </w:r>
      <w:r>
        <w:t>VCF Operations for logs</w:t>
      </w:r>
      <w:r>
        <w:t>.</w:t>
      </w:r>
    </w:p>
    <w:p>
      <w:pPr>
        <w:pStyle w:val="BodyText"/>
        <w:numPr>
          <w:numId w:val="11"/>
        </w:numPr>
      </w:pPr>
      <w:r>
        <w:t>Configuration updates.</w:t>
      </w:r>
    </w:p>
    <w:p>
      <w:pPr>
        <w:pStyle w:val="BodyText"/>
        <w:numPr>
          <w:ilvl w:val="1"/>
          <w:numId w:val="11"/>
        </w:numPr>
      </w:pPr>
      <w:r>
        <w:t>Any future configuration updates are sent via this established connection.</w:t>
      </w:r>
    </w:p>
    <w:p>
      <w:pPr>
        <w:pStyle w:val="BodyText"/>
      </w:pPr>
      <w:r>
        <w:t xml:space="preserve">For more information about the types of Cloud Proxy deployment, see the topic, </w:t>
      </w:r>
      <w:r>
        <w:t>Collecting Data with Cloud Proxy in VCF Operations.</w:t>
      </w:r>
    </w:p>
    <w:p>
      <w:pPr>
        <w:pStyle w:val="Heading3"/>
      </w:pPr>
      <w:bookmarkStart w:id="8" w:name="_Toc256000031"/>
      <w:r>
        <w:t>Log Statement Standardization Format</w:t>
      </w:r>
      <w:bookmarkEnd w:id="8"/>
    </w:p>
    <w:p>
      <w:pPr>
        <w:pStyle w:val="BodyText"/>
      </w:pPr>
      <w:r>
        <w:t>VMware Cloud Foundation comprises a number of components each of which issue log messages.. The VCF 9.0 release introduces a standard format for these messages.</w:t>
      </w:r>
    </w:p>
    <w:p>
      <w:pPr>
        <w:pStyle w:val="BodyText"/>
      </w:pPr>
      <w:r>
        <w:t xml:space="preserve">In </w:t>
      </w:r>
      <w:r>
        <w:t>VMware Cloud Foundation</w:t>
      </w:r>
      <w:r>
        <w:t xml:space="preserve"> 9.0, the following components use the standard format for their application log messages:</w:t>
      </w:r>
    </w:p>
    <w:p>
      <w:pPr>
        <w:pStyle w:val="BodyText"/>
        <w:numPr>
          <w:numId w:val="12"/>
        </w:numPr>
      </w:pPr>
      <w:r>
        <w:t>VCF Operations</w:t>
      </w:r>
      <w:r>
        <w:t xml:space="preserve"> (formerly Aria Operations)</w:t>
      </w:r>
    </w:p>
    <w:p>
      <w:pPr>
        <w:pStyle w:val="BodyText"/>
        <w:numPr>
          <w:numId w:val="12"/>
        </w:numPr>
      </w:pPr>
      <w:r>
        <w:t>VCF Operations for networks</w:t>
      </w:r>
    </w:p>
    <w:p>
      <w:pPr>
        <w:pStyle w:val="BodyText"/>
        <w:numPr>
          <w:numId w:val="12"/>
        </w:numPr>
      </w:pPr>
      <w:r>
        <w:t>VCF Identity Broker</w:t>
      </w:r>
    </w:p>
    <w:p>
      <w:pPr>
        <w:pStyle w:val="BodyText"/>
      </w:pPr>
      <w:r>
        <w:t xml:space="preserve">This standard addresses a long-standing problem of </w:t>
      </w:r>
      <w:r>
        <w:t>VMware Cloud Foundation</w:t>
      </w:r>
      <w:r>
        <w:t xml:space="preserve"> components using component-specific formats, in some cases, multiple formats for the same component. These different formats complicate troubleshooting due to such factors as using different time stamp formats and recording information in different parts of the log message. The different formats also make it more difficult to automatically parse log messages.</w:t>
      </w:r>
    </w:p>
    <w:p>
      <w:pPr>
        <w:pStyle w:val="BodyText"/>
      </w:pPr>
      <w:r>
        <w:t xml:space="preserve">Standardizing the log message format addresses both problems. It will make it easier to manually troubleshoot problems using the log statements and process the log statements programmatically. This standard is based on the </w:t>
      </w:r>
      <w:r>
        <w:t>ESX</w:t>
      </w:r>
      <w:r>
        <w:t xml:space="preserve"> log formats for application log files that was introduced in </w:t>
      </w:r>
      <w:r>
        <w:t>ESX</w:t>
      </w:r>
      <w:r>
        <w:t xml:space="preserve"> 8.0. If automatic parsing of log messages was developed for the earlier versions of the above noted components, this parsing logic may need to be updated to correctly parse the log statements compliant with the standard.More details provided below.</w:t>
      </w:r>
    </w:p>
    <w:p>
      <w:pPr>
        <w:pStyle w:val="BodyText"/>
      </w:pPr>
      <w:r>
        <w:t xml:space="preserve">Application log messages are written into files maintained by components on their local file systems. The log statement standard applies to log statements issued by software modules authored by the </w:t>
      </w:r>
      <w:r>
        <w:t>VMware Cloud Foundation</w:t>
      </w:r>
      <w:r>
        <w:t xml:space="preserve"> division and not to third-party software modules such as Apache Tomcat. In </w:t>
      </w:r>
      <w:r>
        <w:t>VMware Cloud Foundation</w:t>
      </w:r>
      <w:r>
        <w:t xml:space="preserve"> 9.0, the standard does not apply to messages transmitted using Syslog.</w:t>
      </w:r>
    </w:p>
    <w:p>
      <w:pPr>
        <w:pStyle w:val="SectionHeading4"/>
      </w:pPr>
      <w:r>
        <w:t>Log Statement Standard</w:t>
      </w:r>
    </w:p>
    <w:p>
      <w:pPr>
        <w:pStyle w:val="BodyText"/>
      </w:pPr>
      <w:r>
        <w:t>The log statement standard is described below using Augmented Backus-Naur Form (ABNF) notation. The standard describes the format of an application log message. This section summarizes the key elements.</w:t>
      </w:r>
    </w:p>
    <w:p>
      <w:pPr>
        <w:pStyle w:val="BodyText"/>
      </w:pPr>
      <w:r>
        <w:t>In the standard, an application log message comprises three parts separated by spaces and terminated by a newline. The line below lists the format.</w:t>
      </w:r>
    </w:p>
    <w:p>
      <w:pPr>
        <w:pStyle w:val="BodyText"/>
      </w:pPr>
      <w:r>
        <w:rPr>
          <w:rStyle w:val="InlineCode"/>
        </w:rPr>
        <w:t>HEADER &lt;space&gt; STRUCTURED-DATA &lt;space&gt; MSG</w:t>
      </w:r>
    </w:p>
    <w:p>
      <w:pPr>
        <w:pStyle w:val="BodyText"/>
        <w:pBdr>
          <w:top w:val="single" w:sz="8" w:space="2" w:color="D3D3D3"/>
          <w:bottom w:val="single" w:sz="8" w:space="2" w:color="D3D3D3"/>
        </w:pBdr>
      </w:pPr>
      <w:r>
        <w:rPr>
          <w:rStyle w:val="NoteLeadernote"/>
        </w:rPr>
        <w:t>Note</w:t>
        <w:tab/>
      </w:r>
      <w:r>
        <w:t>HEADER and STRUCTURED-DATA must be in every log statement while the MSG part may be omitted.</w:t>
      </w:r>
    </w:p>
    <w:p>
      <w:pPr>
        <w:pStyle w:val="BodyText"/>
      </w:pPr>
      <w:r>
        <w:t>The following log message is an example of one that is compliant with the standard:</w:t>
      </w:r>
    </w:p>
    <w:p>
      <w:pPr>
        <w:pStyle w:val="CodeBlock"/>
      </w:pPr>
      <w:r>
        <w:t>2025-06-05T05:21:29.840Z INFO api 25572 [ops@4413 threadId=”639”</w:t>
        <w:br/>
        <w:t>threadName=”127.0.0.1-8010-exec-26”] Completed POST /diagnostics/findings</w:t>
      </w:r>
    </w:p>
    <w:p>
      <w:pPr>
        <w:pStyle w:val="BodyText"/>
      </w:pPr>
      <w:r>
        <w:t>The list below maps this example back to the format of a log message:</w:t>
      </w:r>
    </w:p>
    <w:p>
      <w:pPr>
        <w:pStyle w:val="BodyText"/>
        <w:numPr>
          <w:numId w:val="13"/>
        </w:numPr>
      </w:pPr>
      <w:r>
        <w:t xml:space="preserve">HEADER: </w:t>
      </w:r>
      <w:r>
        <w:rPr>
          <w:rStyle w:val="InlineCode"/>
        </w:rPr>
        <w:t>2025-06-05T05:21:29.840Z INFO api 25572</w:t>
      </w:r>
    </w:p>
    <w:p>
      <w:pPr>
        <w:pStyle w:val="BodyText"/>
        <w:numPr>
          <w:numId w:val="13"/>
        </w:numPr>
      </w:pPr>
      <w:r>
        <w:t xml:space="preserve">STRUCTURED-DATA: </w:t>
      </w:r>
      <w:r>
        <w:rPr>
          <w:rStyle w:val="InlineCode"/>
        </w:rPr>
        <w:t>[ops@4413 threadId=”639” threadName=”127.0.0.1-8010-exec-26]</w:t>
      </w:r>
    </w:p>
    <w:p>
      <w:pPr>
        <w:pStyle w:val="BodyText"/>
        <w:numPr>
          <w:numId w:val="13"/>
        </w:numPr>
      </w:pPr>
      <w:r>
        <w:t xml:space="preserve">MSG: </w:t>
      </w:r>
      <w:r>
        <w:rPr>
          <w:rStyle w:val="InlineCode"/>
        </w:rPr>
        <w:t>Completed POST /diagnostics/findings</w:t>
      </w:r>
    </w:p>
    <w:p>
      <w:pPr>
        <w:pStyle w:val="BodyText"/>
      </w:pPr>
      <w:r>
        <w:t>This example illustrates three key principles of the log message format.</w:t>
      </w:r>
    </w:p>
    <w:p>
      <w:pPr>
        <w:pStyle w:val="BodyText"/>
      </w:pPr>
      <w:r>
        <w:t>First, the first two parts of the log message format (HEADER and STRUCTURED-DATA) contain sub-parts separated by spaces. For example, the header includes four sub-parts (timestamp, severity, app-name (application name), and proc-id (process ID). The meaning and format of the sub-parts are defined in the table below using Augmented Backus-Naur Form (ABNF) notation.</w:t>
      </w:r>
    </w:p>
    <w:p>
      <w:pPr>
        <w:pStyle w:val="BodyText"/>
      </w:pPr>
      <w:r>
        <w:t>Second, the timestamps comply to the format defined in the RFC 5424 standard and, in addition, always use UTC/GMT. In earlier VCF versions, the lack of a uniform timestamp made it difficult to manually or programmatically order log messages. The log standard addresses this problem by mandating that all timestamps be in this format.</w:t>
      </w:r>
    </w:p>
    <w:p>
      <w:pPr>
        <w:pStyle w:val="BodyText"/>
      </w:pPr>
      <w:r>
        <w:t xml:space="preserve">Finally, every log message that is compliant with the standard includes the sub-part </w:t>
      </w:r>
      <w:r>
        <w:rPr>
          <w:rStyle w:val="InlineCode"/>
        </w:rPr>
        <w:t>&lt;string&gt;@4413</w:t>
      </w:r>
      <w:r>
        <w:t xml:space="preserve"> in the STRUCTURED-DATA part. In the above example, the string is </w:t>
      </w:r>
      <w:r>
        <w:rPr>
          <w:rStyle w:val="InlineCode"/>
        </w:rPr>
        <w:t>ops</w:t>
      </w:r>
      <w:r>
        <w:t xml:space="preserve">. This string reports the component that issued the log statement. In the example above, the log message was issued by VCF Operations. It is abbreviated as </w:t>
      </w:r>
      <w:r>
        <w:rPr>
          <w:rStyle w:val="InlineCode"/>
        </w:rPr>
        <w:t>ops</w:t>
      </w:r>
      <w:r>
        <w:t>. The formal name for this sub-part is SD-ID. Its format is defined in the table below. The standard requires all compliant log messages to contain the SD-ID. This fact can be used in automatic parsing of log messages. Log messages that include the SD-ID are compliant with the standard. Log messages that do not include SD-ID may be partially compliant or not at all compliant. Parsing logic written for the standard will correctly parse compliant messages and may not parse non compliant messages.</w:t>
      </w:r>
    </w:p>
    <w:p>
      <w:pPr>
        <w:pStyle w:val="BodyText"/>
      </w:pPr>
      <w:r>
        <w:t>If automatic parsing of log messages was developed for the earlier versions of the above noted components, this parsing logic may need to be updated to correctly parse the log statements compliant with the standard. Follow this guidance for reviewing existing parsing logic:</w:t>
      </w:r>
    </w:p>
    <w:p>
      <w:pPr>
        <w:pStyle w:val="BodyText"/>
        <w:numPr>
          <w:numId w:val="14"/>
        </w:numPr>
      </w:pPr>
      <w:r>
        <w:t>Review existing automation logic</w:t>
      </w:r>
    </w:p>
    <w:p>
      <w:pPr>
        <w:pStyle w:val="BodyText"/>
        <w:numPr>
          <w:numId w:val="14"/>
        </w:numPr>
      </w:pPr>
      <w:r>
        <w:t>If the logic is parsing log statements from components other than the three listed in this section, no action is required.</w:t>
      </w:r>
    </w:p>
    <w:p>
      <w:pPr>
        <w:pStyle w:val="BodyText"/>
        <w:numPr>
          <w:numId w:val="14"/>
        </w:numPr>
      </w:pPr>
      <w:r>
        <w:t>If the logic is parsing log statements from the components mentioned above, search the application log files of the component for examples of the log messages of interest. Generally, the MSG part of the log message did not change. So, start by searching for the message ignoring any timestamps or other parts of the original log line.</w:t>
      </w:r>
    </w:p>
    <w:p>
      <w:pPr>
        <w:pStyle w:val="BodyText"/>
        <w:numPr>
          <w:numId w:val="14"/>
        </w:numPr>
      </w:pPr>
      <w:r>
        <w:t>Review the log message examples found in the previous step. If the message includes the SD-ID, review the parsing logic for any changes.</w:t>
      </w:r>
    </w:p>
    <w:p>
      <w:pPr>
        <w:pStyle w:val="BodyText"/>
      </w:pPr>
      <w:r>
        <w:t xml:space="preserve">To create a parser that can programmatically process the VCF application log message format, use the ABNF notation given below. Parser generators can be used to generate a parser that understands the format. Finally, as already noted, the standard is based on the ESX 8.0 standard. There are a few differences between these standards, which can be understood by comparing the VCF log ABNF to the ESX ABNF for log files that the </w:t>
      </w:r>
      <w:r>
        <w:rPr>
          <w:rStyle w:val="InlineCode"/>
        </w:rPr>
        <w:t>vmsyslogd</w:t>
      </w:r>
      <w:r>
        <w:t xml:space="preserve"> service manages. An existing parser that understands this </w:t>
      </w:r>
      <w:r>
        <w:t>ESX</w:t>
      </w:r>
      <w:r>
        <w:t xml:space="preserve"> log format can be modified and applied for parsing log messages compliant to the standard.</w:t>
      </w:r>
    </w:p>
    <w:p>
      <w:pPr>
        <w:pStyle w:val="SectionHeading4"/>
      </w:pPr>
      <w:r>
        <w:t>VCF Application Log Message Format</w:t>
      </w:r>
    </w:p>
    <w:p>
      <w:pPr>
        <w:pStyle w:val="BodyText"/>
      </w:pPr>
      <w:r>
        <w:t>Application logs are written by a component to its local file system.</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3"/>
        <w:gridCol w:w="7777"/>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Parameter</w:t>
            </w:r>
          </w:p>
        </w:tc>
        <w:tc>
          <w:tcPr>
            <w:tcBorders>
              <w:left w:val="nil"/>
              <w:right w:val="nil"/>
            </w:tcBorders>
          </w:tcPr>
          <w:p>
            <w:pPr>
              <w:pStyle w:val="TableBodyText"/>
            </w:pPr>
            <w:r>
              <w:rPr>
                <w:rStyle w:val="InlineBold"/>
              </w:rPr>
              <w:t>Value</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SP</w:t>
            </w:r>
          </w:p>
        </w:tc>
        <w:tc>
          <w:tcPr>
            <w:tcBorders>
              <w:left w:val="nil"/>
              <w:right w:val="nil"/>
            </w:tcBorders>
          </w:tcPr>
          <w:p>
            <w:pPr>
              <w:pStyle w:val="TableBodyText"/>
            </w:pPr>
            <w:r>
              <w:rPr>
                <w:rStyle w:val="InlineCode"/>
              </w:rPr>
              <w:t>ASCII space %x20</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LOG-MSG</w:t>
            </w:r>
          </w:p>
        </w:tc>
        <w:tc>
          <w:tcPr>
            <w:tcBorders>
              <w:left w:val="nil"/>
              <w:right w:val="nil"/>
            </w:tcBorders>
          </w:tcPr>
          <w:p>
            <w:pPr>
              <w:pStyle w:val="TableBodyText"/>
            </w:pPr>
            <w:r>
              <w:rPr>
                <w:rStyle w:val="InlineCode"/>
              </w:rPr>
              <w:t>HEADER SP STRUCTURED-DATA [SP MSG] %0A</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HEADER</w:t>
            </w:r>
          </w:p>
        </w:tc>
        <w:tc>
          <w:tcPr>
            <w:tcBorders>
              <w:left w:val="nil"/>
              <w:right w:val="nil"/>
            </w:tcBorders>
          </w:tcPr>
          <w:p>
            <w:pPr>
              <w:pStyle w:val="TableBodyText"/>
            </w:pPr>
            <w:r>
              <w:rPr>
                <w:rStyle w:val="InlineCode"/>
              </w:rPr>
              <w:t>TIMESTAMP SP SEVERITY SP APP-NAME SP PROC-IDENTIFIER</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APP-NAME</w:t>
            </w:r>
          </w:p>
        </w:tc>
        <w:tc>
          <w:tcPr>
            <w:tcBorders>
              <w:left w:val="nil"/>
              <w:right w:val="nil"/>
            </w:tcBorders>
          </w:tcPr>
          <w:p>
            <w:pPr>
              <w:pStyle w:val="TableBodyText"/>
            </w:pPr>
            <w:r>
              <w:rPr>
                <w:rStyle w:val="InlineCode"/>
              </w:rPr>
              <w:t>1*48PRINTUSASCII</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PROC-IDENTIFIER</w:t>
            </w:r>
          </w:p>
        </w:tc>
        <w:tc>
          <w:tcPr>
            <w:tcBorders>
              <w:left w:val="nil"/>
              <w:right w:val="nil"/>
            </w:tcBorders>
          </w:tcPr>
          <w:p>
            <w:pPr>
              <w:pStyle w:val="TableBodyText"/>
            </w:pPr>
            <w:r>
              <w:rPr>
                <w:rStyle w:val="InlineCode"/>
              </w:rPr>
              <w:t>NILVALUE / 1*DIGITS</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TIMESTAMP</w:t>
            </w:r>
          </w:p>
        </w:tc>
        <w:tc>
          <w:tcPr>
            <w:tcBorders>
              <w:left w:val="nil"/>
              <w:right w:val="nil"/>
            </w:tcBorders>
          </w:tcPr>
          <w:p>
            <w:pPr>
              <w:pStyle w:val="TableBodyText"/>
            </w:pPr>
            <w:r>
              <w:rPr>
                <w:rStyle w:val="InlineCode"/>
              </w:rPr>
              <w:t>FULL-DATE "T" UTC-TIME</w:t>
            </w:r>
          </w:p>
          <w:p>
            <w:pPr>
              <w:pStyle w:val="TableBodyText"/>
            </w:pPr>
            <w:r>
              <w:t>Complies to RFC 5424 with the requirement for UTC/GMT formatting.</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FULL-DATE</w:t>
            </w:r>
          </w:p>
        </w:tc>
        <w:tc>
          <w:tcPr>
            <w:tcBorders>
              <w:left w:val="nil"/>
              <w:right w:val="nil"/>
            </w:tcBorders>
          </w:tcPr>
          <w:p>
            <w:pPr>
              <w:pStyle w:val="TableBodyText"/>
            </w:pPr>
            <w:r>
              <w:rPr>
                <w:rStyle w:val="InlineCode"/>
              </w:rPr>
              <w:t>DATE-FULLYEAR "-" DATE-MONTH "-" DATE-MDAY</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DATE-FULLYEAR</w:t>
            </w:r>
          </w:p>
        </w:tc>
        <w:tc>
          <w:tcPr>
            <w:tcBorders>
              <w:left w:val="nil"/>
              <w:right w:val="nil"/>
            </w:tcBorders>
          </w:tcPr>
          <w:p>
            <w:pPr>
              <w:pStyle w:val="TableBodyText"/>
            </w:pPr>
            <w:r>
              <w:rPr>
                <w:rStyle w:val="InlineCode"/>
              </w:rPr>
              <w:t>4DIGIT</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DATE-MONTH</w:t>
            </w:r>
          </w:p>
        </w:tc>
        <w:tc>
          <w:tcPr>
            <w:tcBorders>
              <w:left w:val="nil"/>
              <w:right w:val="nil"/>
            </w:tcBorders>
          </w:tcPr>
          <w:p>
            <w:pPr>
              <w:pStyle w:val="TableBodyText"/>
            </w:pPr>
            <w:r>
              <w:rPr>
                <w:rStyle w:val="InlineCode"/>
              </w:rPr>
              <w:t>2DIGIT ; 01-12</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DATE-MDAY</w:t>
            </w:r>
          </w:p>
        </w:tc>
        <w:tc>
          <w:tcPr>
            <w:tcBorders>
              <w:left w:val="nil"/>
              <w:right w:val="nil"/>
            </w:tcBorders>
          </w:tcPr>
          <w:p>
            <w:pPr>
              <w:pStyle w:val="TableBodyText"/>
            </w:pPr>
            <w:r>
              <w:rPr>
                <w:rStyle w:val="InlineCode"/>
              </w:rPr>
              <w:t>2DIGIT ; 01-28, 01-29, 01-30, 01-31 based on month/year</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UTC-TIME</w:t>
            </w:r>
          </w:p>
        </w:tc>
        <w:tc>
          <w:tcPr>
            <w:tcBorders>
              <w:left w:val="nil"/>
              <w:right w:val="nil"/>
            </w:tcBorders>
          </w:tcPr>
          <w:p>
            <w:pPr>
              <w:pStyle w:val="TableBodyText"/>
            </w:pPr>
            <w:r>
              <w:rPr>
                <w:rStyle w:val="InlineCode"/>
              </w:rPr>
              <w:t>TIME-HOUR ":" TIME-MINUTE ":" TIME-SECOND [TIME-SECFRAC] "Z"</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TIME-HOUR</w:t>
            </w:r>
          </w:p>
        </w:tc>
        <w:tc>
          <w:tcPr>
            <w:tcBorders>
              <w:left w:val="nil"/>
              <w:right w:val="nil"/>
            </w:tcBorders>
          </w:tcPr>
          <w:p>
            <w:pPr>
              <w:pStyle w:val="TableBodyText"/>
            </w:pPr>
            <w:r>
              <w:rPr>
                <w:rStyle w:val="InlineCode"/>
              </w:rPr>
              <w:t>2DIGIT ; 00-23</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TIME-MINUTE</w:t>
            </w:r>
          </w:p>
        </w:tc>
        <w:tc>
          <w:tcPr>
            <w:tcBorders>
              <w:left w:val="nil"/>
              <w:right w:val="nil"/>
            </w:tcBorders>
          </w:tcPr>
          <w:p>
            <w:pPr>
              <w:pStyle w:val="TableBodyText"/>
            </w:pPr>
            <w:r>
              <w:rPr>
                <w:rStyle w:val="InlineCode"/>
              </w:rPr>
              <w:t>2DIGIT ; 00-59</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TIME-SECOND</w:t>
            </w:r>
          </w:p>
        </w:tc>
        <w:tc>
          <w:tcPr>
            <w:tcBorders>
              <w:left w:val="nil"/>
              <w:right w:val="nil"/>
            </w:tcBorders>
          </w:tcPr>
          <w:p>
            <w:pPr>
              <w:pStyle w:val="TableBodyText"/>
            </w:pPr>
            <w:r>
              <w:rPr>
                <w:rStyle w:val="InlineCode"/>
              </w:rPr>
              <w:t>2DIGIT ; 00-59</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TIME-SECFRAC</w:t>
            </w:r>
          </w:p>
        </w:tc>
        <w:tc>
          <w:tcPr>
            <w:tcBorders>
              <w:left w:val="nil"/>
              <w:right w:val="nil"/>
            </w:tcBorders>
          </w:tcPr>
          <w:p>
            <w:pPr>
              <w:pStyle w:val="TableBodyText"/>
            </w:pPr>
            <w:r>
              <w:rPr>
                <w:rStyle w:val="InlineCode"/>
              </w:rPr>
              <w:t>"." 3*6DIGIT</w:t>
            </w:r>
          </w:p>
          <w:p>
            <w:pPr>
              <w:pStyle w:val="TableBodyText"/>
            </w:pPr>
            <w:r>
              <w:t>Providing fractional seconds is considered very important.</w:t>
            </w:r>
          </w:p>
          <w:p>
            <w:pPr>
              <w:pStyle w:val="TableBodyText"/>
            </w:pPr>
            <w:r>
              <w:t>Millisecond resolution is the minimum allowed (3 digits) when they are added.</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SEVERITY</w:t>
            </w:r>
          </w:p>
        </w:tc>
        <w:tc>
          <w:tcPr>
            <w:tcBorders>
              <w:left w:val="nil"/>
              <w:right w:val="nil"/>
            </w:tcBorders>
          </w:tcPr>
          <w:p>
            <w:pPr>
              <w:pStyle w:val="TableBodyText"/>
            </w:pPr>
            <w:r>
              <w:rPr>
                <w:rStyle w:val="InlineCode"/>
              </w:rPr>
              <w:t>[ LINE-MARKER ] SEVERITY-STRING</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SEVERITY-STRING</w:t>
            </w:r>
          </w:p>
        </w:tc>
        <w:tc>
          <w:tcPr>
            <w:tcBorders>
              <w:left w:val="nil"/>
              <w:right w:val="nil"/>
            </w:tcBorders>
          </w:tcPr>
          <w:p>
            <w:pPr>
              <w:pStyle w:val="TableBodyText"/>
            </w:pPr>
            <w:r>
              <w:rPr>
                <w:rStyle w:val="InlineCode"/>
              </w:rPr>
              <w:t>"EMERGENCY" / "ALERT" / "CRITICAL" / "ERROR" / "WARNING" / "NOTICE" / "INFO" / "DEBUG"</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LINE-MARKER</w:t>
            </w:r>
          </w:p>
        </w:tc>
        <w:tc>
          <w:tcPr>
            <w:tcBorders>
              <w:left w:val="nil"/>
              <w:right w:val="nil"/>
            </w:tcBorders>
          </w:tcPr>
          <w:p>
            <w:pPr>
              <w:pStyle w:val="TableBodyText"/>
            </w:pPr>
            <w:r>
              <w:rPr>
                <w:rStyle w:val="InlineCode"/>
              </w:rPr>
              <w:t>"-" | "+"</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NILVALUE</w:t>
            </w:r>
          </w:p>
        </w:tc>
        <w:tc>
          <w:tcPr>
            <w:tcBorders>
              <w:left w:val="nil"/>
              <w:right w:val="nil"/>
            </w:tcBorders>
          </w:tcPr>
          <w:p>
            <w:pPr>
              <w:pStyle w:val="TableBodyText"/>
            </w:pPr>
            <w:r>
              <w:rPr>
                <w:rStyle w:val="InlineCode"/>
              </w:rPr>
              <w:t>"-"</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STRUCTURED-DATA</w:t>
            </w:r>
          </w:p>
        </w:tc>
        <w:tc>
          <w:tcPr>
            <w:tcBorders>
              <w:left w:val="nil"/>
              <w:right w:val="nil"/>
            </w:tcBorders>
          </w:tcPr>
          <w:p>
            <w:pPr>
              <w:pStyle w:val="TableBodyText"/>
            </w:pPr>
            <w:r>
              <w:rPr>
                <w:rStyle w:val="InlineCode"/>
              </w:rPr>
              <w:t>1*SD-ELEMENT</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SD-ELEMENT</w:t>
            </w:r>
          </w:p>
        </w:tc>
        <w:tc>
          <w:tcPr>
            <w:tcBorders>
              <w:left w:val="nil"/>
              <w:right w:val="nil"/>
            </w:tcBorders>
          </w:tcPr>
          <w:p>
            <w:pPr>
              <w:pStyle w:val="TableBodyText"/>
            </w:pPr>
            <w:r>
              <w:rPr>
                <w:rStyle w:val="InlineCode"/>
              </w:rPr>
              <w:t>"[" SD-ID [*(SP SD-PARAM)] "]"</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SD-PARAM</w:t>
            </w:r>
          </w:p>
        </w:tc>
        <w:tc>
          <w:tcPr>
            <w:tcBorders>
              <w:left w:val="nil"/>
              <w:right w:val="nil"/>
            </w:tcBorders>
          </w:tcPr>
          <w:p>
            <w:pPr>
              <w:pStyle w:val="TableBodyText"/>
            </w:pPr>
            <w:r>
              <w:rPr>
                <w:rStyle w:val="InlineCode"/>
              </w:rPr>
              <w:t>PARAM-NAME "=" %d34 PARAM-VALUE %d34</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SD-ID</w:t>
            </w:r>
          </w:p>
        </w:tc>
        <w:tc>
          <w:tcPr>
            <w:tcBorders>
              <w:left w:val="nil"/>
              <w:right w:val="nil"/>
            </w:tcBorders>
          </w:tcPr>
          <w:p>
            <w:pPr>
              <w:pStyle w:val="TableBodyText"/>
            </w:pPr>
            <w:r>
              <w:rPr>
                <w:rStyle w:val="InlineCode"/>
              </w:rPr>
              <w:t>SD-COMP-ID "@4413"</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SD-COMP-ID</w:t>
            </w:r>
          </w:p>
        </w:tc>
        <w:tc>
          <w:tcPr>
            <w:tcBorders>
              <w:left w:val="nil"/>
              <w:right w:val="nil"/>
            </w:tcBorders>
          </w:tcPr>
          <w:p>
            <w:pPr>
              <w:pStyle w:val="TableBodyText"/>
            </w:pPr>
            <w:r>
              <w:rPr>
                <w:rStyle w:val="InlineCode"/>
              </w:rPr>
              <w:t>1*27PRINTUSASCII</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PARAM-NAME</w:t>
            </w:r>
          </w:p>
        </w:tc>
        <w:tc>
          <w:tcPr>
            <w:tcBorders>
              <w:left w:val="nil"/>
              <w:right w:val="nil"/>
            </w:tcBorders>
          </w:tcPr>
          <w:p>
            <w:pPr>
              <w:pStyle w:val="TableBodyText"/>
            </w:pPr>
            <w:r>
              <w:rPr>
                <w:rStyle w:val="InlineCode"/>
              </w:rPr>
              <w:t>1*32PRINTUSASCII ; characters '"', '\' and ']' MUST be escaped.</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PARAM-VALUE</w:t>
            </w:r>
          </w:p>
        </w:tc>
        <w:tc>
          <w:tcPr>
            <w:tcBorders>
              <w:left w:val="nil"/>
              <w:right w:val="nil"/>
            </w:tcBorders>
          </w:tcPr>
          <w:p>
            <w:pPr>
              <w:pStyle w:val="TableBodyText"/>
            </w:pPr>
            <w:r>
              <w:rPr>
                <w:rStyle w:val="InlineCode"/>
              </w:rPr>
              <w:t>UTF-8-STRING; ; except '', SP, ']', %d34 (")</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Bold"/>
              </w:rPr>
              <w:t>MSG</w:t>
            </w:r>
          </w:p>
        </w:tc>
        <w:tc>
          <w:tcPr>
            <w:tcBorders>
              <w:left w:val="nil"/>
              <w:right w:val="nil"/>
            </w:tcBorders>
          </w:tcPr>
          <w:p>
            <w:pPr>
              <w:pStyle w:val="TableBodyText"/>
            </w:pPr>
            <w:r>
              <w:rPr>
                <w:rStyle w:val="InlineCode"/>
              </w:rPr>
              <w:t>UTF-8-STRING</w:t>
            </w:r>
          </w:p>
        </w:tc>
      </w:tr>
    </w:tbl>
    <w:p>
      <w:pPr>
        <w:pStyle w:val="Heading3"/>
        <w:spacing w:before="320"/>
      </w:pPr>
      <w:bookmarkStart w:id="9" w:name="_Toc256000032"/>
      <w:r>
        <w:t>Getting Started with Log Analysis</w:t>
      </w:r>
      <w:bookmarkEnd w:id="9"/>
    </w:p>
    <w:p>
      <w:pPr>
        <w:pStyle w:val="BodyText"/>
      </w:pPr>
      <w:r>
        <w:t xml:space="preserve">You can access and manage log data directly from within </w:t>
      </w:r>
      <w:r>
        <w:t>VCF Operations</w:t>
      </w:r>
      <w:r>
        <w:t xml:space="preserve"> after deploying the </w:t>
      </w:r>
      <w:r>
        <w:t>VCF Operations for logs</w:t>
      </w:r>
      <w:r>
        <w:t xml:space="preserve"> appliance.</w:t>
      </w:r>
    </w:p>
    <w:p>
      <w:pPr>
        <w:pStyle w:val="SectionHeading4"/>
      </w:pPr>
      <w:r>
        <w:t>Deploying VCF Operations for logs</w:t>
      </w:r>
    </w:p>
    <w:p>
      <w:pPr>
        <w:pStyle w:val="BodyText"/>
      </w:pPr>
      <w:r>
        <w:t xml:space="preserve">To deploy </w:t>
      </w:r>
      <w:r>
        <w:t>VCF Operations for logs</w:t>
      </w:r>
      <w:r>
        <w:t xml:space="preserve">, see </w:t>
      </w:r>
      <w:r>
        <w:t xml:space="preserve">Deploying </w:t>
      </w:r>
      <w:r>
        <w:t xml:space="preserve">. The steps to deploy </w:t>
      </w:r>
      <w:r>
        <w:t>VCF Operations for logs</w:t>
      </w:r>
      <w:r>
        <w:t xml:space="preserve"> depends on the type of license that you have. You use fleet management if you have a </w:t>
      </w:r>
      <w:r>
        <w:t>VMware Cloud Foundation</w:t>
      </w:r>
      <w:r>
        <w:t xml:space="preserve"> license. You download an OVA and deploy the </w:t>
      </w:r>
      <w:r>
        <w:t>VCF Operations for logs</w:t>
      </w:r>
      <w:r>
        <w:t xml:space="preserve"> appliance if you have a VMware vSphere Foundation license. For more information, see, </w:t>
      </w:r>
      <w:r>
        <w:t>Start a New VCF Operations for Logs Deployment</w:t>
      </w:r>
      <w:r>
        <w:t>.</w:t>
      </w:r>
    </w:p>
    <w:p>
      <w:pPr>
        <w:pStyle w:val="SectionHeading4"/>
      </w:pPr>
      <w:r>
        <w:t>What's New in VMware Cloud Foundation 9.0</w:t>
      </w:r>
    </w:p>
    <w:p>
      <w:pPr>
        <w:pStyle w:val="BodyText"/>
      </w:pPr>
      <w:r>
        <w:t xml:space="preserve">The following functionality is available in the </w:t>
      </w:r>
      <w:r>
        <w:t>VCF Operations</w:t>
      </w:r>
      <w:r>
        <w:t xml:space="preserve"> console:</w:t>
      </w:r>
    </w:p>
    <w:p>
      <w:pPr>
        <w:pStyle w:val="BodyText"/>
        <w:numPr>
          <w:numId w:val="15"/>
        </w:numPr>
      </w:pPr>
      <w:r>
        <w:t xml:space="preserve">Log analysis and log compare. Available when you navigate to the </w:t>
      </w:r>
      <w:r>
        <w:rPr>
          <w:rStyle w:val="InlineUI"/>
        </w:rPr>
        <w:t>ANALYSE LOGS</w:t>
      </w:r>
      <w:r>
        <w:t xml:space="preserve"> tab in the </w:t>
      </w:r>
      <w:r>
        <w:rPr>
          <w:rStyle w:val="InlineUI"/>
        </w:rPr>
        <w:t>Infrastructure Operations</w:t>
      </w:r>
      <w:r>
        <w:rPr>
          <w:rStyle w:val="InlineUI"/>
        </w:rPr>
        <w:t xml:space="preserve"> &gt; </w:t>
      </w:r>
      <w:r>
        <w:rPr>
          <w:rStyle w:val="InlineUI"/>
        </w:rPr>
        <w:t>Analyze</w:t>
      </w:r>
      <w:r>
        <w:t xml:space="preserve"> page. For more information, see the topic,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Bdca63eda33fb42d49900a6e12325ba79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Viewing Logs, Queries and Fields</w:t>
      </w:r>
      <w:r>
        <w:fldChar w:fldCharType="end"/>
      </w:r>
    </w:p>
    <w:p>
      <w:pPr>
        <w:pStyle w:val="BodyText"/>
        <w:numPr>
          <w:numId w:val="15"/>
        </w:numPr>
      </w:pPr>
      <w:r>
        <w:t xml:space="preserve">Log widgets. Available when you navigate to the </w:t>
      </w:r>
      <w:r>
        <w:rPr>
          <w:rStyle w:val="InlineUI"/>
        </w:rPr>
        <w:t>Log Analysis</w:t>
      </w:r>
      <w:r>
        <w:t xml:space="preserve"> widget in the </w:t>
      </w:r>
      <w:r>
        <w:rPr>
          <w:rStyle w:val="InlineUI"/>
        </w:rPr>
        <w:t>Infrastructure Operations</w:t>
      </w:r>
      <w:r>
        <w:rPr>
          <w:rStyle w:val="InlineUI"/>
        </w:rPr>
        <w:t xml:space="preserve"> &gt; </w:t>
      </w:r>
      <w:r>
        <w:rPr>
          <w:rStyle w:val="InlineUI"/>
        </w:rPr>
        <w:t>Dashboards &amp; Reports</w:t>
      </w:r>
      <w:r>
        <w:t xml:space="preserve"> page and create a new dashboard. For more information, see the topic, </w:t>
      </w:r>
      <w:r>
        <w:t>Log Analysis Widget.</w:t>
      </w:r>
    </w:p>
    <w:p>
      <w:pPr>
        <w:pStyle w:val="BodyText"/>
        <w:numPr>
          <w:numId w:val="15"/>
        </w:numPr>
      </w:pPr>
      <w:r>
        <w:t xml:space="preserve">Log based alerts. Available when you click the </w:t>
      </w:r>
      <w:r>
        <w:rPr>
          <w:rStyle w:val="InlineUI"/>
        </w:rPr>
        <w:t>Symptom Definitions</w:t>
      </w:r>
      <w:r>
        <w:t xml:space="preserve"> card in </w:t>
      </w:r>
      <w:r>
        <w:rPr>
          <w:rStyle w:val="InlineUI"/>
        </w:rPr>
        <w:t>Infrastructure Operations</w:t>
      </w:r>
      <w:r>
        <w:rPr>
          <w:rStyle w:val="InlineUI"/>
        </w:rPr>
        <w:t xml:space="preserve"> &gt; </w:t>
      </w:r>
      <w:r>
        <w:rPr>
          <w:rStyle w:val="InlineUI"/>
        </w:rPr>
        <w:t>Configurations</w:t>
      </w:r>
      <w:r>
        <w:t xml:space="preserve">. For more information, see the topic, </w:t>
      </w:r>
      <w:r>
        <w:t>Symptom Definitions.</w:t>
      </w:r>
    </w:p>
    <w:p>
      <w:pPr>
        <w:pStyle w:val="BodyText"/>
        <w:numPr>
          <w:numId w:val="15"/>
        </w:numPr>
      </w:pPr>
      <w:r>
        <w:t>Cloud Proxy</w:t>
      </w:r>
      <w:r>
        <w:t xml:space="preserve"> enhancements. Available when you deploy an OVA with Log Forwarder. To do this, go to</w:t>
      </w:r>
      <w:r>
        <w:rPr>
          <w:rStyle w:val="InlineUI"/>
        </w:rPr>
        <w:t>Administration</w:t>
      </w:r>
      <w:r>
        <w:rPr>
          <w:rStyle w:val="InlineUI"/>
        </w:rPr>
        <w:t xml:space="preserve"> &gt; </w:t>
      </w:r>
      <w:r>
        <w:rPr>
          <w:rStyle w:val="InlineUI"/>
        </w:rPr>
        <w:t>Cloud Proxies</w:t>
      </w:r>
      <w:r>
        <w:t xml:space="preserve">. For more information on Log Forwarder, see the topic, </w:t>
      </w:r>
      <w:r>
        <w:t>Collecting Data with Cloud Proxy in VCF Operations.</w:t>
      </w:r>
    </w:p>
    <w:p>
      <w:pPr>
        <w:pStyle w:val="Heading4"/>
      </w:pPr>
      <w:r>
        <w:t>Upgrade Scenarios</w:t>
      </w:r>
    </w:p>
    <w:p>
      <w:pPr>
        <w:pStyle w:val="BodyText"/>
      </w:pPr>
      <w:r>
        <w:t xml:space="preserve">There is no upgrade path from existing Logs clusters (version 8.18 or earlier) to </w:t>
      </w:r>
      <w:r>
        <w:t>VCF Operations for logs</w:t>
      </w:r>
      <w:r>
        <w:t xml:space="preserve">. The </w:t>
      </w:r>
      <w:r>
        <w:t>VCF Operations for logs</w:t>
      </w:r>
      <w:r>
        <w:t xml:space="preserve"> appliance must be deployed in VCF 9.0. See </w:t>
      </w:r>
      <w:r>
        <w:t xml:space="preserve">Deploying </w:t>
      </w:r>
      <w:r>
        <w:t xml:space="preserve"> for more information on deployment and upgrade.</w:t>
      </w:r>
    </w:p>
    <w:p>
      <w:pPr>
        <w:pStyle w:val="BodyText"/>
      </w:pPr>
      <w:r>
        <w:t xml:space="preserve">In case of </w:t>
      </w:r>
      <w:r>
        <w:t>vCenter</w:t>
      </w:r>
      <w:r>
        <w:t xml:space="preserve"> integration, the following scenarios exist:</w:t>
      </w:r>
    </w:p>
    <w:p>
      <w:pPr>
        <w:pStyle w:val="BodyText"/>
        <w:numPr>
          <w:numId w:val="16"/>
        </w:numPr>
      </w:pPr>
      <w:r>
        <w:t>vCenter</w:t>
      </w:r>
      <w:r>
        <w:t xml:space="preserve"> integrated in </w:t>
      </w:r>
      <w:r>
        <w:t>VCF Operations for logs</w:t>
      </w:r>
      <w:r>
        <w:t xml:space="preserve"> only.</w:t>
      </w:r>
    </w:p>
    <w:p>
      <w:pPr>
        <w:pStyle w:val="BodyText"/>
        <w:numPr>
          <w:numId w:val="17"/>
        </w:numPr>
      </w:pPr>
      <w:r>
        <w:t>vCenter</w:t>
      </w:r>
      <w:r>
        <w:t xml:space="preserve"> integrated in </w:t>
      </w:r>
      <w:r>
        <w:t>VCF Operations</w:t>
      </w:r>
      <w:r>
        <w:t xml:space="preserve"> only.</w:t>
      </w:r>
    </w:p>
    <w:p>
      <w:pPr>
        <w:pStyle w:val="BodyText"/>
        <w:numPr>
          <w:numId w:val="18"/>
        </w:numPr>
      </w:pPr>
      <w:r>
        <w:t>vCenter</w:t>
      </w:r>
      <w:r>
        <w:t xml:space="preserve"> integrated in both </w:t>
      </w:r>
      <w:r>
        <w:t>VCF Operations</w:t>
      </w:r>
      <w:r>
        <w:t xml:space="preserve"> and </w:t>
      </w:r>
      <w:r>
        <w:t>VCF Operations for logs</w:t>
      </w:r>
      <w:r>
        <w:t>.</w:t>
      </w:r>
    </w:p>
    <w:p>
      <w:pPr>
        <w:pStyle w:val="BodyText"/>
        <w:pBdr>
          <w:top w:val="single" w:sz="8" w:space="2" w:color="D3D3D3"/>
          <w:bottom w:val="single" w:sz="8" w:space="2" w:color="D3D3D3"/>
        </w:pBdr>
      </w:pPr>
      <w:r>
        <w:rPr>
          <w:rStyle w:val="NoteLeadernote"/>
        </w:rPr>
        <w:t>Note</w:t>
        <w:tab/>
      </w:r>
      <w:r>
        <w:t xml:space="preserve">After you upgrade to VCF Operations 9.0, it will only work with </w:t>
      </w:r>
      <w:r>
        <w:t>VCF Operations for logs</w:t>
      </w:r>
      <w:r>
        <w:t xml:space="preserve"> . You must delete any integration with older versions of Aria Operations for Logs. For more information on log sources and log injestion after upgrade,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B0591f3ce0b0a4d81a381e6cd6d7afeb2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Log Sources and Log Ingestion after Upgrade</w:t>
      </w:r>
      <w:r>
        <w:fldChar w:fldCharType="end"/>
      </w:r>
      <w:r>
        <w:t>.</w:t>
      </w:r>
    </w:p>
    <w:p>
      <w:pPr>
        <w:pStyle w:val="Heading4"/>
      </w:pPr>
      <w:bookmarkStart w:id="10" w:name="B0591f3ce0b0a4d81a381e6cd6d7afeb2"/>
      <w:r>
        <w:t>Log Sources and Log Ingestion after Upgrade</w:t>
      </w:r>
      <w:bookmarkEnd w:id="10"/>
    </w:p>
    <w:p>
      <w:pPr>
        <w:pStyle w:val="BodyText"/>
      </w:pPr>
      <w:r>
        <w:t xml:space="preserve">The </w:t>
      </w:r>
      <w:r>
        <w:t>VCF Operations for logs</w:t>
      </w:r>
      <w:r>
        <w:t xml:space="preserve"> cluster is a new appliance in </w:t>
      </w:r>
      <w:r>
        <w:t>VMware Cloud Foundation</w:t>
      </w:r>
      <w:r>
        <w:t xml:space="preserve">. Before you proceed with the upgrade to </w:t>
      </w:r>
      <w:r>
        <w:t>VMware Cloud Foundation</w:t>
      </w:r>
      <w:r>
        <w:t xml:space="preserve">, you must understand the architectural changes, and log management transitions involved when moving to </w:t>
      </w:r>
      <w:r>
        <w:t>VCF Operations</w:t>
      </w:r>
      <w:r>
        <w:t xml:space="preserve"> 9.0 from Aria Operations for Logs 8.18.x. For more information on deployment, see </w:t>
      </w:r>
      <w:r>
        <w:t>Deploying .</w:t>
      </w:r>
      <w:r>
        <w:rPr>
          <w:rStyle w:val="InlineBold"/>
        </w:rPr>
        <w:t xml:space="preserve">Upgrade from Aria Operations for Logs 8.18.x to </w:t>
      </w:r>
      <w:r>
        <w:rPr>
          <w:rStyle w:val="InlineBold"/>
        </w:rPr>
        <w:t>VCF Operations</w:t>
      </w:r>
      <w:r>
        <w:rPr>
          <w:rStyle w:val="InlineBold"/>
        </w:rPr>
        <w:t xml:space="preserve"> 9.x (Single Aria Operations for Logs 8.18.x instance):</w:t>
      </w:r>
    </w:p>
    <w:p>
      <w:pPr>
        <w:pStyle w:val="BodyText"/>
        <w:numPr>
          <w:numId w:val="19"/>
        </w:numPr>
      </w:pPr>
      <w:r>
        <w:t xml:space="preserve">Existing Aria Operations for Logs 8.18.x remains, but log sources need to be reconfigured to point to </w:t>
      </w:r>
      <w:r>
        <w:t>VCF Operations for logs</w:t>
      </w:r>
      <w:r>
        <w:t xml:space="preserve"> for active logs, and data copy initiated for historical logs via </w:t>
      </w:r>
      <w:r>
        <w:t>VCF Operations</w:t>
      </w:r>
      <w:r>
        <w:t>.</w:t>
      </w:r>
    </w:p>
    <w:p>
      <w:pPr>
        <w:pStyle w:val="BodyText"/>
        <w:numPr>
          <w:numId w:val="19"/>
        </w:numPr>
      </w:pPr>
      <w:r>
        <w:t xml:space="preserve">Remote Aria Operations for Logs 8.18.x log clusters need to be reconfigured to forward logs to the new </w:t>
      </w:r>
      <w:r>
        <w:t>VCF Operations for logs</w:t>
      </w:r>
      <w:r>
        <w:t xml:space="preserve"> instance.</w:t>
      </w:r>
    </w:p>
    <w:p>
      <w:pPr>
        <w:pStyle w:val="BodyText"/>
      </w:pPr>
      <w:r>
        <w:t xml:space="preserve">The </w:t>
      </w:r>
      <w:r>
        <w:t>VCF Operations</w:t>
      </w:r>
      <w:r>
        <w:t xml:space="preserve"> 9.0 UI provides an integrated console for exploring logs, running queries, and managing log data. Each </w:t>
      </w:r>
      <w:r>
        <w:t>VMware Cloud Foundation</w:t>
      </w:r>
      <w:r>
        <w:t xml:space="preserve"> instance is responsible for deploying a new, integrated </w:t>
      </w:r>
      <w:r>
        <w:t>VCF Operations for logs</w:t>
      </w:r>
      <w:r>
        <w:t xml:space="preserve"> cluster. This cluster becomes the central point for log collection, aggregation, and analysis for all VCF instances within a given fleet. </w:t>
      </w:r>
      <w:r>
        <w:t>VMware Cloud Foundation</w:t>
      </w:r>
      <w:r>
        <w:t xml:space="preserve"> supports only one </w:t>
      </w:r>
      <w:r>
        <w:t>VCF Operations for logs</w:t>
      </w:r>
      <w:r>
        <w:t xml:space="preserve"> cluster per instance.</w:t>
      </w:r>
    </w:p>
    <w:p>
      <w:pPr>
        <w:pStyle w:val="BodyText"/>
      </w:pPr>
      <w:r>
        <w:t xml:space="preserve">The following upgrade scenarios are valid when you deploy </w:t>
      </w:r>
      <w:r>
        <w:t>VMware Cloud Foundation</w:t>
      </w:r>
      <w:r>
        <w: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Upgrading from a single Aria Operations for Logs 8.18.x instance integrated with Aria Operations 8.18.x</w:t>
            </w:r>
          </w:p>
        </w:tc>
      </w:tr>
      <w:tr>
        <w:tblPrEx>
          <w:tblW w:w="5000" w:type="pct"/>
          <w:tblCellMar>
            <w:left w:w="108" w:type="dxa"/>
            <w:right w:w="108" w:type="dxa"/>
          </w:tblCellMar>
        </w:tblPrEx>
        <w:trPr>
          <w:cantSplit w:val="0"/>
        </w:trPr>
        <w:tc>
          <w:tcPr>
            <w:tcBorders>
              <w:left w:val="nil"/>
              <w:right w:val="nil"/>
            </w:tcBorders>
          </w:tcPr>
          <w:p>
            <w:pPr>
              <w:pStyle w:val="TableBodyText"/>
            </w:pPr>
            <w:r>
              <w:t>Upgrading from multiple Aria Operations for Logs 8.18.x Instances Forwarding to a Single Instance</w:t>
            </w:r>
          </w:p>
        </w:tc>
      </w:tr>
      <w:tr>
        <w:tblPrEx>
          <w:tblW w:w="5000" w:type="pct"/>
          <w:tblCellMar>
            <w:left w:w="108" w:type="dxa"/>
            <w:right w:w="108" w:type="dxa"/>
          </w:tblCellMar>
        </w:tblPrEx>
        <w:trPr>
          <w:cantSplit w:val="0"/>
        </w:trPr>
        <w:tc>
          <w:tcPr>
            <w:tcBorders>
              <w:left w:val="nil"/>
              <w:right w:val="nil"/>
            </w:tcBorders>
          </w:tcPr>
          <w:p>
            <w:pPr>
              <w:pStyle w:val="TableBodyText"/>
            </w:pPr>
            <w:r>
              <w:t>Content Pack Transition</w:t>
            </w:r>
          </w:p>
        </w:tc>
      </w:tr>
    </w:tbl>
    <w:p>
      <w:pPr>
        <w:pStyle w:val="Heading4"/>
        <w:spacing w:before="120"/>
      </w:pPr>
      <w:r>
        <w:t>Configuring Log Sources</w:t>
      </w:r>
    </w:p>
    <w:p>
      <w:pPr>
        <w:pStyle w:val="BodyText"/>
      </w:pPr>
      <w:r>
        <w:t xml:space="preserve">Configure the log sources in </w:t>
      </w:r>
      <w:r>
        <w:t>VCF Operations</w:t>
      </w:r>
      <w:r>
        <w:t xml:space="preserve"> for log analysis for </w:t>
      </w:r>
      <w:r>
        <w:t>vCenter</w:t>
      </w:r>
      <w:r>
        <w:t xml:space="preserve">, </w:t>
      </w:r>
      <w:r>
        <w:t>VCF Operations for networks</w:t>
      </w:r>
      <w:r>
        <w:t xml:space="preserve"> and </w:t>
      </w:r>
      <w:r>
        <w:t>VCF Operations</w:t>
      </w:r>
      <w:r>
        <w:t xml:space="preserve">. For </w:t>
      </w:r>
      <w:r>
        <w:t>vCenter</w:t>
      </w:r>
      <w:r>
        <w:t xml:space="preserve">, </w:t>
      </w:r>
      <w:r>
        <w:t>VCF Operations</w:t>
      </w:r>
      <w:r>
        <w:t xml:space="preserve"> can collect events, tasks and alarms. For other components, </w:t>
      </w:r>
      <w:r>
        <w:t>VCF Operations</w:t>
      </w:r>
      <w:r>
        <w:t xml:space="preserve"> collects logs.</w:t>
      </w:r>
    </w:p>
    <w:p>
      <w:pPr>
        <w:pStyle w:val="BodyText"/>
        <w:pBdr>
          <w:top w:val="single" w:sz="8" w:space="2" w:color="D3D3D3"/>
          <w:bottom w:val="single" w:sz="8" w:space="2" w:color="D3D3D3"/>
        </w:pBdr>
      </w:pPr>
      <w:r>
        <w:rPr>
          <w:rStyle w:val="NoteLeadernote"/>
        </w:rPr>
        <w:t>Note</w:t>
        <w:tab/>
      </w:r>
      <w:r>
        <w:t>VCF Operations</w:t>
      </w:r>
      <w:r>
        <w:t xml:space="preserve"> supports a configuration export and import functionality which allows transferring the configuration from one </w:t>
      </w:r>
      <w:r>
        <w:t>VCF Operations</w:t>
      </w:r>
      <w:r>
        <w:t xml:space="preserve"> instance to another. The log collection configuration for the </w:t>
      </w:r>
      <w:r>
        <w:t>vCenter</w:t>
      </w:r>
      <w:r>
        <w:t xml:space="preserve"> adapter instances is not included in the export and import.</w:t>
      </w:r>
    </w:p>
    <w:p>
      <w:pPr>
        <w:pStyle w:val="BodyText"/>
      </w:pPr>
      <w:r>
        <w:rPr>
          <w:rStyle w:val="Strong"/>
        </w:rPr>
        <w:t>Prerequisites</w:t>
      </w:r>
    </w:p>
    <w:p>
      <w:pPr>
        <w:pStyle w:val="BodyText"/>
      </w:pPr>
      <w:r>
        <w:t xml:space="preserve">Verify that you have the </w:t>
      </w:r>
      <w:r>
        <w:rPr>
          <w:rStyle w:val="InlineUI"/>
        </w:rPr>
        <w:t>manage</w:t>
      </w:r>
      <w:r>
        <w:t xml:space="preserve"> permission to configure log sources. You can configure permissions in the </w:t>
      </w:r>
      <w:r>
        <w:rPr>
          <w:rStyle w:val="InlineUI"/>
        </w:rPr>
        <w:t>Access Control</w:t>
      </w:r>
      <w:r>
        <w:t xml:space="preserve"> card when you navigate to </w:t>
      </w:r>
      <w:r>
        <w:rPr>
          <w:rStyle w:val="InlineUI"/>
        </w:rPr>
        <w:t>Administration</w:t>
      </w:r>
      <w:r>
        <w:rPr>
          <w:rStyle w:val="InlineUI"/>
        </w:rPr>
        <w:t xml:space="preserve"> &gt; </w:t>
      </w:r>
      <w:r>
        <w:rPr>
          <w:rStyle w:val="InlineUI"/>
        </w:rPr>
        <w:t>Control Panel</w:t>
      </w:r>
      <w:r>
        <w:t xml:space="preserve">. Go to the </w:t>
      </w:r>
      <w:r>
        <w:rPr>
          <w:rStyle w:val="InlineUI"/>
        </w:rPr>
        <w:t>Roles</w:t>
      </w:r>
      <w:r>
        <w:t xml:space="preserve"> tab and select or deselect the permissions appropriately under </w:t>
      </w:r>
      <w:r>
        <w:rPr>
          <w:rStyle w:val="InlineUI"/>
        </w:rPr>
        <w:t>Infrastructure Operations</w:t>
      </w:r>
      <w:r>
        <w:rPr>
          <w:rStyle w:val="InlineUI"/>
        </w:rPr>
        <w:t xml:space="preserve"> &gt; </w:t>
      </w:r>
      <w:r>
        <w:rPr>
          <w:rStyle w:val="InlineUI"/>
        </w:rPr>
        <w:t>Analyze</w:t>
      </w:r>
      <w:r>
        <w:t xml:space="preserve"> when you add or edit a role.</w:t>
      </w:r>
    </w:p>
    <w:p>
      <w:pPr>
        <w:pStyle w:val="BodyText"/>
      </w:pPr>
      <w:r>
        <w:t xml:space="preserve">Verify that the </w:t>
      </w:r>
      <w:r>
        <w:t>VCF Operations for logs</w:t>
      </w:r>
      <w:r>
        <w:t xml:space="preserve"> appliance is installed. Go to </w:t>
      </w:r>
      <w:r>
        <w:rPr>
          <w:rStyle w:val="InlineUI"/>
        </w:rPr>
        <w:t>Fleet Management</w:t>
      </w:r>
      <w:r>
        <w:rPr>
          <w:rStyle w:val="InlineUI"/>
        </w:rPr>
        <w:t xml:space="preserve"> &gt; </w:t>
      </w:r>
      <w:r>
        <w:rPr>
          <w:rStyle w:val="InlineUI"/>
        </w:rPr>
        <w:t>Lifecycle</w:t>
      </w:r>
      <w:r>
        <w:t xml:space="preserve"> and verify that the </w:t>
      </w:r>
      <w:r>
        <w:rPr>
          <w:rStyle w:val="InlineUI"/>
        </w:rPr>
        <w:t>operations-logs</w:t>
      </w:r>
      <w:r>
        <w:t xml:space="preserve"> tile is deployed with the proper version, in the VCF Capabilities pane. You see an </w:t>
      </w:r>
      <w:r>
        <w:rPr>
          <w:rStyle w:val="InlineUI"/>
        </w:rPr>
        <w:t>ADD</w:t>
      </w:r>
      <w:r>
        <w:t xml:space="preserve"> button in the </w:t>
      </w:r>
      <w:r>
        <w:rPr>
          <w:rStyle w:val="InlineUI"/>
        </w:rPr>
        <w:t>operations-logs</w:t>
      </w:r>
      <w:r>
        <w:t xml:space="preserve"> tile if </w:t>
      </w:r>
      <w:r>
        <w:t>VCF Operations for logs</w:t>
      </w:r>
      <w:r>
        <w:t xml:space="preserve"> appliance is not installed. See the topic, </w:t>
      </w:r>
      <w:r>
        <w:t xml:space="preserve">Deploying </w:t>
      </w:r>
      <w:r>
        <w:t xml:space="preserve"> for more information.</w:t>
      </w:r>
    </w:p>
    <w:p>
      <w:pPr>
        <w:pStyle w:val="BodyText"/>
        <w:pBdr>
          <w:top w:val="single" w:sz="8" w:space="2" w:color="D3D3D3"/>
          <w:bottom w:val="single" w:sz="8" w:space="2" w:color="D3D3D3"/>
        </w:pBdr>
      </w:pPr>
      <w:r>
        <w:rPr>
          <w:rStyle w:val="NoteLeadernote"/>
        </w:rPr>
        <w:t>Note</w:t>
        <w:tab/>
      </w:r>
      <w:r>
        <w:t xml:space="preserve">If you are a VMware vSphere Foundation customer, go to the </w:t>
      </w:r>
      <w:r>
        <w:rPr>
          <w:rStyle w:val="InlineUI"/>
        </w:rPr>
        <w:t>Administration</w:t>
      </w:r>
      <w:r>
        <w:rPr>
          <w:rStyle w:val="InlineUI"/>
        </w:rPr>
        <w:t xml:space="preserve"> &gt; </w:t>
      </w:r>
      <w:r>
        <w:rPr>
          <w:rStyle w:val="InlineUI"/>
        </w:rPr>
        <w:t>Control Panel</w:t>
      </w:r>
      <w:r>
        <w:rPr>
          <w:rStyle w:val="InlineUI"/>
        </w:rPr>
        <w:t xml:space="preserve"> &gt; </w:t>
      </w:r>
      <w:r>
        <w:rPr>
          <w:rStyle w:val="InlineUI"/>
        </w:rPr>
        <w:t>Operations-Logs</w:t>
      </w:r>
      <w:r>
        <w:t xml:space="preserve"> integration tile to view and edit the integration with </w:t>
      </w:r>
      <w:r>
        <w:t>VCF Operations for logs</w:t>
      </w:r>
      <w:r>
        <w:t>.</w:t>
      </w:r>
    </w:p>
    <w:p>
      <w:pPr>
        <w:pStyle w:val="BodyText"/>
      </w:pPr>
      <w:r>
        <w:rPr>
          <w:rStyle w:val="Strong"/>
        </w:rPr>
        <w:t>Procedure</w:t>
      </w:r>
    </w:p>
    <w:p>
      <w:pPr>
        <w:pStyle w:val="BodyText"/>
        <w:numPr>
          <w:numId w:val="20"/>
        </w:numPr>
      </w:pPr>
      <w:r>
        <w:t xml:space="preserve">To manage configurations, go to </w:t>
      </w:r>
      <w:r>
        <w:rPr>
          <w:rStyle w:val="InlineUI"/>
        </w:rPr>
        <w:t>Infrastructure Operations</w:t>
      </w:r>
      <w:r>
        <w:rPr>
          <w:rStyle w:val="InlineUI"/>
        </w:rPr>
        <w:t xml:space="preserve"> &gt; </w:t>
      </w:r>
      <w:r>
        <w:rPr>
          <w:rStyle w:val="InlineUI"/>
        </w:rPr>
        <w:t>Configurations</w:t>
      </w:r>
      <w:r>
        <w:t xml:space="preserve">. Click the </w:t>
      </w:r>
      <w:r>
        <w:rPr>
          <w:rStyle w:val="InlineUI"/>
        </w:rPr>
        <w:t>Log Collection</w:t>
      </w:r>
      <w:r>
        <w:t xml:space="preserve"> card.</w:t>
      </w:r>
    </w:p>
    <w:p>
      <w:pPr>
        <w:pStyle w:val="BodyText"/>
        <w:numPr>
          <w:numId w:val="20"/>
        </w:numPr>
      </w:pPr>
      <w:r>
        <w:t>For the individual components, manage the log collection.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0"/>
        <w:gridCol w:w="7610"/>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Edit log sources.</w:t>
            </w:r>
          </w:p>
        </w:tc>
      </w:tr>
      <w:tr>
        <w:tblPrEx>
          <w:tblInd w:w="480" w:type="dxa"/>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Edit log sources.</w:t>
            </w:r>
          </w:p>
        </w:tc>
      </w:tr>
      <w:tr>
        <w:tblPrEx>
          <w:tblInd w:w="480" w:type="dxa"/>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Edit log sources.</w:t>
            </w:r>
          </w:p>
        </w:tc>
      </w:tr>
      <w:tr>
        <w:tblPrEx>
          <w:tblInd w:w="480" w:type="dxa"/>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 xml:space="preserve">Centralized log collection is not available. Log sources are configured if installed through Fleet Manager. For more information, see </w:t>
            </w:r>
            <w:r>
              <w:t>Deploying VCF Identity Broker.</w:t>
            </w:r>
          </w:p>
        </w:tc>
      </w:tr>
      <w:tr>
        <w:tblPrEx>
          <w:tblInd w:w="480" w:type="dxa"/>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 xml:space="preserve">Centralized log collection is not available. Log sources are configured if installed through Lifecycle Manager. See </w:t>
            </w:r>
            <w:r>
              <w:t>Import and Upgrade VMware Aria Automation in VCF Operations 9.0</w:t>
            </w:r>
            <w:r>
              <w:t xml:space="preserve"> and </w:t>
            </w:r>
            <w:r>
              <w:t>Upgrade to VCF Automation</w:t>
            </w:r>
            <w:r>
              <w:t>.</w:t>
            </w:r>
          </w:p>
        </w:tc>
      </w:tr>
    </w:tbl>
    <w:p>
      <w:pPr>
        <w:pStyle w:val="Heading4"/>
        <w:spacing w:before="120"/>
      </w:pPr>
      <w:r>
        <w:t>Configuring VCF Single Sign-On for VCF Operations for logs</w:t>
      </w:r>
    </w:p>
    <w:p>
      <w:pPr>
        <w:pStyle w:val="BodyText"/>
      </w:pPr>
      <w:r>
        <w:t xml:space="preserve">After deploying the </w:t>
      </w:r>
      <w:r>
        <w:t>VCF Operations for logs</w:t>
      </w:r>
      <w:r>
        <w:t xml:space="preserve"> appliance, you can configure VCF Single Sign-On by setting up an external identity provider in </w:t>
      </w:r>
      <w:r>
        <w:t>VCF Operations</w:t>
      </w:r>
      <w:r>
        <w:t xml:space="preserve"> to enable VCF Single Sign-On in to </w:t>
      </w:r>
      <w:r>
        <w:t>VCF Operations for logs</w:t>
      </w:r>
      <w:r>
        <w:t>.</w:t>
      </w:r>
    </w:p>
    <w:p>
      <w:pPr>
        <w:pStyle w:val="BodyText"/>
        <w:pBdr>
          <w:top w:val="single" w:sz="8" w:space="2" w:color="D3D3D3"/>
          <w:bottom w:val="single" w:sz="8" w:space="2" w:color="D3D3D3"/>
        </w:pBdr>
      </w:pPr>
      <w:r>
        <w:rPr>
          <w:rStyle w:val="NoteLeadernote"/>
        </w:rPr>
        <w:t>Note</w:t>
        <w:tab/>
      </w:r>
      <w:r>
        <w:t xml:space="preserve">After configuring VCF Single Sign-On for you can still log in to </w:t>
      </w:r>
      <w:r>
        <w:t>VCF Operations for logs</w:t>
      </w:r>
      <w:r>
        <w:t xml:space="preserve"> with a local account or by using other configured authentication sources.</w:t>
      </w:r>
    </w:p>
    <w:p>
      <w:pPr>
        <w:pStyle w:val="BodyText"/>
      </w:pPr>
      <w:r>
        <w:rPr>
          <w:rStyle w:val="Strong"/>
        </w:rPr>
        <w:t>Prerequisites</w:t>
      </w:r>
    </w:p>
    <w:p>
      <w:pPr>
        <w:pStyle w:val="BodyText"/>
        <w:numPr>
          <w:numId w:val="21"/>
        </w:numPr>
      </w:pPr>
      <w:r>
        <w:t xml:space="preserve">Ensure that the External Identity Provider is configured. For more information, see the topic, </w:t>
      </w:r>
      <w:r>
        <w:t>Identity Providers and Protocols Supported for SSO.</w:t>
      </w:r>
    </w:p>
    <w:p>
      <w:pPr>
        <w:pStyle w:val="BodyText"/>
        <w:numPr>
          <w:numId w:val="21"/>
        </w:numPr>
      </w:pPr>
      <w:r>
        <w:t xml:space="preserve">Ensure that you have the super admin privileges credentials to log in to the </w:t>
      </w:r>
      <w:r>
        <w:t>VCF Operations for logs</w:t>
      </w:r>
      <w:r>
        <w:t xml:space="preserve"> deployment to configure VCF Single Sign-On authentication.</w:t>
      </w:r>
    </w:p>
    <w:p>
      <w:pPr>
        <w:pStyle w:val="BodyText"/>
        <w:numPr>
          <w:numId w:val="21"/>
        </w:numPr>
      </w:pPr>
      <w:r>
        <w:t>You need a VCF license to perform these steps.</w:t>
      </w:r>
    </w:p>
    <w:p>
      <w:pPr>
        <w:pStyle w:val="BodyText"/>
      </w:pPr>
      <w:r>
        <w:rPr>
          <w:rStyle w:val="Strong"/>
        </w:rPr>
        <w:t>Procedure</w:t>
      </w:r>
    </w:p>
    <w:p>
      <w:pPr>
        <w:pStyle w:val="BodyText"/>
        <w:numPr>
          <w:numId w:val="22"/>
        </w:numPr>
      </w:pPr>
      <w:r>
        <w:t xml:space="preserve">Navigate to </w:t>
      </w:r>
      <w:r>
        <w:rPr>
          <w:rStyle w:val="InlineUI"/>
        </w:rPr>
        <w:t>Fleet Management</w:t>
      </w:r>
      <w:r>
        <w:rPr>
          <w:rStyle w:val="InlineUI"/>
        </w:rPr>
        <w:t xml:space="preserve"> &gt; </w:t>
      </w:r>
      <w:r>
        <w:rPr>
          <w:rStyle w:val="InlineUI"/>
        </w:rPr>
        <w:t>Identity &amp; Access</w:t>
      </w:r>
      <w:r>
        <w:rPr>
          <w:rStyle w:val="InlineUI"/>
        </w:rPr>
        <w:t xml:space="preserve"> &gt; </w:t>
      </w:r>
      <w:r>
        <w:rPr>
          <w:rStyle w:val="InlineUI"/>
        </w:rPr>
        <w:t>VCF Other Components</w:t>
      </w:r>
      <w:r>
        <w:t xml:space="preserve"> and click </w:t>
      </w:r>
      <w:r>
        <w:rPr>
          <w:rStyle w:val="InlineUI"/>
        </w:rPr>
        <w:t>CONTINUE</w:t>
      </w:r>
      <w:r>
        <w:t xml:space="preserve"> to configure the client component. Specify the following properties: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5"/>
        <w:gridCol w:w="7775"/>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Provide a name for the VCF SSO client</w:t>
            </w:r>
          </w:p>
        </w:tc>
      </w:tr>
      <w:tr>
        <w:tblPrEx>
          <w:tblInd w:w="480" w:type="dxa"/>
          <w:tblCellMar>
            <w:left w:w="108" w:type="dxa"/>
            <w:right w:w="108" w:type="dxa"/>
          </w:tblCellMar>
        </w:tblPrEx>
        <w:trPr>
          <w:cantSplit w:val="0"/>
        </w:trPr>
        <w:tc>
          <w:tcPr>
            <w:tcBorders>
              <w:left w:val="nil"/>
              <w:right w:val="nil"/>
            </w:tcBorders>
          </w:tcPr>
          <w:p>
            <w:pPr>
              <w:pStyle w:val="TableBodyText"/>
            </w:pPr>
            <w:r>
              <w:t>Identity Broker</w:t>
            </w:r>
          </w:p>
        </w:tc>
        <w:tc>
          <w:tcPr>
            <w:tcBorders>
              <w:left w:val="nil"/>
              <w:right w:val="nil"/>
            </w:tcBorders>
          </w:tcPr>
          <w:p>
            <w:pPr>
              <w:pStyle w:val="TableBodyText"/>
            </w:pPr>
            <w:r>
              <w:t>From the drop-down list, select the identity broker issuer which is configured for federated authentication.</w:t>
            </w:r>
          </w:p>
        </w:tc>
      </w:tr>
      <w:tr>
        <w:tblPrEx>
          <w:tblInd w:w="480" w:type="dxa"/>
          <w:tblCellMar>
            <w:left w:w="108" w:type="dxa"/>
            <w:right w:w="108" w:type="dxa"/>
          </w:tblCellMar>
        </w:tblPrEx>
        <w:trPr>
          <w:cantSplit w:val="0"/>
        </w:trPr>
        <w:tc>
          <w:tcPr>
            <w:tcBorders>
              <w:left w:val="nil"/>
              <w:right w:val="nil"/>
            </w:tcBorders>
          </w:tcPr>
          <w:p>
            <w:pPr>
              <w:pStyle w:val="TableBodyText"/>
            </w:pPr>
            <w:r>
              <w:t>VCF Instance</w:t>
            </w:r>
          </w:p>
        </w:tc>
        <w:tc>
          <w:tcPr>
            <w:tcBorders>
              <w:left w:val="nil"/>
              <w:right w:val="nil"/>
            </w:tcBorders>
          </w:tcPr>
          <w:p>
            <w:pPr>
              <w:pStyle w:val="TableBodyText"/>
            </w:pPr>
            <w:r>
              <w:t>Displays the host identifier of the VCF Instance. This value need not be edited.</w:t>
            </w:r>
          </w:p>
        </w:tc>
      </w:tr>
      <w:tr>
        <w:tblPrEx>
          <w:tblInd w:w="480" w:type="dxa"/>
          <w:tblCellMar>
            <w:left w:w="108" w:type="dxa"/>
            <w:right w:w="108" w:type="dxa"/>
          </w:tblCellMar>
        </w:tblPrEx>
        <w:trPr>
          <w:cantSplit w:val="0"/>
        </w:trPr>
        <w:tc>
          <w:tcPr>
            <w:tcBorders>
              <w:left w:val="nil"/>
              <w:right w:val="nil"/>
            </w:tcBorders>
          </w:tcPr>
          <w:p>
            <w:pPr>
              <w:pStyle w:val="TableBodyText"/>
            </w:pPr>
            <w:r>
              <w:t>Deployment Type</w:t>
            </w:r>
          </w:p>
        </w:tc>
        <w:tc>
          <w:tcPr>
            <w:tcBorders>
              <w:left w:val="nil"/>
              <w:right w:val="nil"/>
            </w:tcBorders>
          </w:tcPr>
          <w:p>
            <w:pPr>
              <w:pStyle w:val="TableBodyText"/>
            </w:pPr>
            <w:r>
              <w:t>Displays the deployment type based on the Identity Broker. Can be Embedded or Appliance.</w:t>
            </w:r>
          </w:p>
        </w:tc>
      </w:tr>
      <w:tr>
        <w:tblPrEx>
          <w:tblInd w:w="480" w:type="dxa"/>
          <w:tblCellMar>
            <w:left w:w="108" w:type="dxa"/>
            <w:right w:w="108" w:type="dxa"/>
          </w:tblCellMar>
        </w:tblPrEx>
        <w:trPr>
          <w:cantSplit w:val="0"/>
        </w:trPr>
        <w:tc>
          <w:tcPr>
            <w:tcBorders>
              <w:left w:val="nil"/>
              <w:right w:val="nil"/>
            </w:tcBorders>
          </w:tcPr>
          <w:p>
            <w:pPr>
              <w:pStyle w:val="TableBodyText"/>
            </w:pPr>
            <w:r>
              <w:t>Redirect URIs</w:t>
            </w:r>
          </w:p>
        </w:tc>
        <w:tc>
          <w:tcPr>
            <w:tcBorders>
              <w:left w:val="nil"/>
              <w:right w:val="nil"/>
            </w:tcBorders>
          </w:tcPr>
          <w:p>
            <w:pPr>
              <w:pStyle w:val="TableBodyText"/>
            </w:pPr>
            <w:r>
              <w:t xml:space="preserve">Enter one or more URIs to which you want to redirect the user once they are successfully authorized and are granted an access token. For more information, see </w:t>
            </w:r>
            <w:r>
              <w:t>Configuring Single Sign-On.</w:t>
            </w:r>
          </w:p>
          <w:p>
            <w:pPr>
              <w:pStyle w:val="TableBodyText"/>
              <w:pBdr>
                <w:top w:val="single" w:sz="8" w:space="2" w:color="D3D3D3"/>
              </w:pBdr>
            </w:pPr>
            <w:r>
              <w:rPr>
                <w:rStyle w:val="NoteLeadernote"/>
              </w:rPr>
              <w:t>Note</w:t>
              <w:tab/>
            </w:r>
            <w:r>
              <w:t xml:space="preserve">Logging in to the </w:t>
            </w:r>
            <w:r>
              <w:t>VCF Operations for logs</w:t>
            </w:r>
            <w:r>
              <w:t xml:space="preserve"> master node using the FQDN will not work unless you add the redirect URI in the following format:</w:t>
            </w:r>
          </w:p>
          <w:p>
            <w:pPr>
              <w:pStyle w:val="TableBodyText"/>
              <w:pBdr>
                <w:bottom w:val="single" w:sz="8" w:space="2" w:color="D3D3D3"/>
              </w:pBdr>
            </w:pPr>
            <w:r>
              <w:rPr>
                <w:rStyle w:val="InlineCode"/>
              </w:rPr>
              <w:t>https://&lt;FQDN&gt;/login?authMethod=VIDB</w:t>
            </w:r>
          </w:p>
        </w:tc>
      </w:tr>
      <w:tr>
        <w:tblPrEx>
          <w:tblInd w:w="480" w:type="dxa"/>
          <w:tblCellMar>
            <w:left w:w="108" w:type="dxa"/>
            <w:right w:w="108" w:type="dxa"/>
          </w:tblCellMar>
        </w:tblPrEx>
        <w:trPr>
          <w:cantSplit w:val="0"/>
        </w:trPr>
        <w:tc>
          <w:tcPr>
            <w:tcBorders>
              <w:left w:val="nil"/>
              <w:right w:val="nil"/>
            </w:tcBorders>
          </w:tcPr>
          <w:p>
            <w:pPr>
              <w:pStyle w:val="TableBodyText"/>
            </w:pPr>
            <w:r>
              <w:t>Post logout redirect URIs</w:t>
            </w:r>
          </w:p>
        </w:tc>
        <w:tc>
          <w:tcPr>
            <w:tcBorders>
              <w:left w:val="nil"/>
              <w:right w:val="nil"/>
            </w:tcBorders>
          </w:tcPr>
          <w:p>
            <w:pPr>
              <w:pStyle w:val="TableBodyText"/>
            </w:pPr>
            <w:r>
              <w:t xml:space="preserve">Enter one or more URIs to which you want to redirect the user after they have logged out from </w:t>
            </w:r>
            <w:r>
              <w:t>VCF Operations for logs</w:t>
            </w:r>
            <w:r>
              <w:t>.</w:t>
            </w:r>
          </w:p>
        </w:tc>
      </w:tr>
    </w:tbl>
    <w:p>
      <w:pPr>
        <w:pStyle w:val="BodyText"/>
        <w:numPr>
          <w:numId w:val="22"/>
        </w:numPr>
        <w:spacing w:before="240"/>
      </w:pPr>
      <w:r>
        <w:t xml:space="preserve">Click </w:t>
      </w:r>
      <w:r>
        <w:rPr>
          <w:rStyle w:val="InlineUI"/>
        </w:rPr>
        <w:t>GENERATE OIDC CLIENT</w:t>
      </w:r>
      <w:r>
        <w:t>. Copy and save the values which are displayed in a secure location. The client secret value cannot be retrieved after the next step. However, a new value can be regenerated.</w:t>
      </w:r>
    </w:p>
    <w:p>
      <w:pPr>
        <w:pStyle w:val="BodyText"/>
        <w:numPr>
          <w:numId w:val="22"/>
        </w:numPr>
      </w:pPr>
      <w:r>
        <w:t xml:space="preserve">Click </w:t>
      </w:r>
      <w:r>
        <w:rPr>
          <w:rStyle w:val="InlineUI"/>
        </w:rPr>
        <w:t>SAVE</w:t>
      </w:r>
      <w:r>
        <w:t>.</w:t>
      </w:r>
    </w:p>
    <w:p>
      <w:pPr>
        <w:pStyle w:val="BodyText"/>
        <w:numPr>
          <w:numId w:val="22"/>
        </w:numPr>
      </w:pPr>
      <w:r>
        <w:t xml:space="preserve">Navigate to the </w:t>
      </w:r>
      <w:r>
        <w:t>VCF Operations for logs</w:t>
      </w:r>
      <w:r>
        <w:t xml:space="preserve"> deployment and log in with the admin privileges.</w:t>
      </w:r>
    </w:p>
    <w:p>
      <w:pPr>
        <w:pStyle w:val="BodyText"/>
        <w:numPr>
          <w:numId w:val="22"/>
        </w:numPr>
      </w:pPr>
      <w:r>
        <w:t xml:space="preserve">Go to the </w:t>
      </w:r>
      <w:r>
        <w:rPr>
          <w:rStyle w:val="InlineUI"/>
        </w:rPr>
        <w:t>VCF SSO</w:t>
      </w:r>
      <w:r>
        <w:t xml:space="preserve"> card after you click </w:t>
      </w:r>
      <w:r>
        <w:rPr>
          <w:rStyle w:val="InlineUI"/>
        </w:rPr>
        <w:t>Configuration</w:t>
      </w:r>
      <w:r>
        <w:rPr>
          <w:rStyle w:val="InlineUI"/>
        </w:rPr>
        <w:t xml:space="preserve"> &gt; </w:t>
      </w:r>
      <w:r>
        <w:rPr>
          <w:rStyle w:val="InlineUI"/>
        </w:rPr>
        <w:t>Authentication</w:t>
      </w:r>
      <w:r>
        <w:t xml:space="preserve"> on the left menu.</w:t>
      </w:r>
    </w:p>
    <w:p>
      <w:pPr>
        <w:pStyle w:val="BodyText"/>
        <w:numPr>
          <w:numId w:val="22"/>
        </w:numPr>
      </w:pPr>
      <w:r>
        <w:t xml:space="preserve">Click the edit (pencil) icon on the top right. Enter a name for the configuration in the </w:t>
      </w:r>
      <w:r>
        <w:rPr>
          <w:rStyle w:val="InlineUI"/>
        </w:rPr>
        <w:t>Identity Provider Name</w:t>
      </w:r>
      <w:r>
        <w:t xml:space="preserve"> field.</w:t>
      </w:r>
    </w:p>
    <w:p>
      <w:pPr>
        <w:pStyle w:val="BodyText"/>
        <w:numPr>
          <w:numId w:val="22"/>
        </w:numPr>
      </w:pPr>
      <w:r>
        <w:t xml:space="preserve">Enter the values in the following fields from the information you had previously copied from </w:t>
      </w:r>
      <w:r>
        <w:t>VCF Operations</w:t>
      </w:r>
      <w:r>
        <w:t>.</w:t>
      </w:r>
    </w:p>
    <w:p>
      <w:pPr>
        <w:pStyle w:val="BodyText"/>
        <w:numPr>
          <w:ilvl w:val="1"/>
          <w:numId w:val="22"/>
        </w:numPr>
      </w:pPr>
      <w:r>
        <w:t>VMware Cloud Foundation Identity Broker Issuer</w:t>
      </w:r>
    </w:p>
    <w:p>
      <w:pPr>
        <w:pStyle w:val="BodyText"/>
        <w:numPr>
          <w:ilvl w:val="1"/>
          <w:numId w:val="22"/>
        </w:numPr>
      </w:pPr>
      <w:r>
        <w:t>Client ID</w:t>
      </w:r>
    </w:p>
    <w:p>
      <w:pPr>
        <w:pStyle w:val="BodyText"/>
        <w:numPr>
          <w:ilvl w:val="1"/>
          <w:numId w:val="22"/>
        </w:numPr>
      </w:pPr>
      <w:r>
        <w:t>Client Secret</w:t>
      </w:r>
    </w:p>
    <w:p>
      <w:pPr>
        <w:pStyle w:val="BodyText"/>
        <w:numPr>
          <w:numId w:val="22"/>
        </w:numPr>
      </w:pPr>
      <w:r>
        <w:t xml:space="preserve">Test your connection by clicking </w:t>
      </w:r>
      <w:r>
        <w:rPr>
          <w:rStyle w:val="InlineUI"/>
        </w:rPr>
        <w:t>TEST CONNECTION</w:t>
      </w:r>
      <w:r>
        <w:t>.</w:t>
      </w:r>
    </w:p>
    <w:p>
      <w:pPr>
        <w:pStyle w:val="BodyText"/>
        <w:numPr>
          <w:numId w:val="22"/>
        </w:numPr>
      </w:pPr>
      <w:r>
        <w:t xml:space="preserve">Once you verify the connection is working, click </w:t>
      </w:r>
      <w:r>
        <w:rPr>
          <w:rStyle w:val="InlineUI"/>
        </w:rPr>
        <w:t>SAVE</w:t>
      </w:r>
      <w:r>
        <w:t>.</w:t>
      </w:r>
    </w:p>
    <w:p>
      <w:pPr>
        <w:pStyle w:val="BodyText"/>
        <w:numPr>
          <w:numId w:val="22"/>
        </w:numPr>
      </w:pPr>
      <w:r>
        <w:t xml:space="preserve">Give permissions to VCF SSO users and groups to access the current instance of </w:t>
      </w:r>
      <w:r>
        <w:t>VCF Operations for logs</w:t>
      </w:r>
      <w:r>
        <w:t xml:space="preserve">. Navigate to </w:t>
      </w:r>
      <w:r>
        <w:rPr>
          <w:rStyle w:val="InlineUI"/>
        </w:rPr>
        <w:t>Management</w:t>
      </w:r>
      <w:r>
        <w:rPr>
          <w:rStyle w:val="InlineUI"/>
        </w:rPr>
        <w:t xml:space="preserve"> &gt; </w:t>
      </w:r>
      <w:r>
        <w:rPr>
          <w:rStyle w:val="InlineUI"/>
        </w:rPr>
        <w:t>Access Control</w:t>
      </w:r>
      <w:r>
        <w:t xml:space="preserve">. For more information, see the </w:t>
      </w:r>
      <w:r>
        <w:rPr>
          <w:rStyle w:val="InlineItalic"/>
        </w:rPr>
        <w:t>Configure to Use Active Directory Groups for VCF Operations logs</w:t>
      </w:r>
      <w:r>
        <w:t xml:space="preserve"> topic in the Administering </w:t>
      </w:r>
      <w:r>
        <w:t>VCF Operations for logs</w:t>
      </w:r>
      <w:r>
        <w:t xml:space="preserve"> documentation.</w:t>
      </w:r>
    </w:p>
    <w:p>
      <w:pPr>
        <w:pStyle w:val="BodyText"/>
      </w:pPr>
      <w:r>
        <w:rPr>
          <w:rStyle w:val="Strong"/>
        </w:rPr>
        <w:t>Results</w:t>
      </w:r>
    </w:p>
    <w:p>
      <w:pPr>
        <w:pStyle w:val="BodyText"/>
      </w:pPr>
      <w:r>
        <w:t xml:space="preserve">The next time you try and log in to the </w:t>
      </w:r>
      <w:r>
        <w:t>VCF Operations for logs</w:t>
      </w:r>
      <w:r>
        <w:t xml:space="preserve"> deployment, you can select SSO as the login method in the landing page. You will be redirected to an external authentication page. Enter the credentials to log in.</w:t>
      </w:r>
    </w:p>
    <w:p>
      <w:pPr>
        <w:pStyle w:val="Heading3"/>
      </w:pPr>
      <w:bookmarkStart w:id="11" w:name="Bdca63eda33fb42d49900a6e12325ba79"/>
      <w:bookmarkStart w:id="12" w:name="_Toc256000033"/>
      <w:r>
        <w:t>Viewing Logs, Queries and Fields</w:t>
      </w:r>
      <w:bookmarkEnd w:id="12"/>
      <w:bookmarkEnd w:id="11"/>
    </w:p>
    <w:p>
      <w:pPr>
        <w:pStyle w:val="BodyText"/>
      </w:pPr>
      <w:r>
        <w:t xml:space="preserve">In the </w:t>
      </w:r>
      <w:r>
        <w:rPr>
          <w:rStyle w:val="InlineUI"/>
        </w:rPr>
        <w:t>Analyze</w:t>
      </w:r>
      <w:r>
        <w:t xml:space="preserve"> page, you can search for log messages in context, and collect and analyze log feeds from within </w:t>
      </w:r>
      <w:r>
        <w:t>VCF Operations</w:t>
      </w:r>
      <w:r>
        <w:t xml:space="preserve">. You can view log-related metrics for troubleshooting. You can also dynamically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B07c26864e0b14886a17d0a25d7573fbd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Log Fields</w:t>
      </w:r>
      <w:r>
        <w:fldChar w:fldCharType="end"/>
      </w:r>
      <w:r>
        <w:t xml:space="preserve"> from log messages based on customized queries.</w:t>
      </w:r>
    </w:p>
    <w:p>
      <w:pPr>
        <w:pStyle w:val="SectionHeading4"/>
      </w:pPr>
      <w:r>
        <w:t>The Analyze Page</w:t>
      </w:r>
    </w:p>
    <w:p>
      <w:pPr>
        <w:pStyle w:val="BodyText"/>
      </w:pPr>
      <w:r>
        <w:t xml:space="preserve">You can view logs, create queries and fields when you navigate to </w:t>
      </w:r>
      <w:r>
        <w:rPr>
          <w:rStyle w:val="InlineUI"/>
        </w:rPr>
        <w:t>Infrastructure Operations</w:t>
      </w:r>
      <w:r>
        <w:rPr>
          <w:rStyle w:val="InlineUI"/>
        </w:rPr>
        <w:t xml:space="preserve"> &gt; </w:t>
      </w:r>
      <w:r>
        <w:rPr>
          <w:rStyle w:val="InlineUI"/>
        </w:rPr>
        <w:t>Analyze</w:t>
      </w:r>
      <w:r>
        <w:t xml:space="preserve">. In the Logs tab of the </w:t>
      </w:r>
      <w:r>
        <w:rPr>
          <w:rStyle w:val="InlineUI"/>
        </w:rPr>
        <w:t>Analyze</w:t>
      </w:r>
      <w:r>
        <w:t xml:space="preserve"> page, you can search and filter log events, and create queries to extract events based on timestamp, text, source, and fields in log events. Besides presenting the log stream, </w:t>
      </w:r>
      <w:r>
        <w:t>VCF Operations</w:t>
      </w:r>
      <w:r>
        <w:t xml:space="preserve"> presents charts of the query results. You can save these charts to look them up later in the </w:t>
      </w:r>
      <w:r>
        <w:rPr>
          <w:rStyle w:val="InlineUI"/>
        </w:rPr>
        <w:t>Dashboards</w:t>
      </w:r>
      <w:r>
        <w:t xml:space="preserve"> page accessible from </w:t>
      </w:r>
      <w:r>
        <w:rPr>
          <w:rStyle w:val="InlineUI"/>
        </w:rPr>
        <w:t>Infrastructure Operations</w:t>
      </w:r>
      <w:r>
        <w:rPr>
          <w:rStyle w:val="InlineUI"/>
        </w:rPr>
        <w:t xml:space="preserve"> &gt; </w:t>
      </w:r>
      <w:r>
        <w:rPr>
          <w:rStyle w:val="InlineUI"/>
        </w:rPr>
        <w:t>Dashboards and Reports</w:t>
      </w:r>
      <w:r>
        <w:t xml:space="preserve">. You can access the </w:t>
      </w:r>
      <w:r>
        <w:rPr>
          <w:rStyle w:val="InlineUI"/>
        </w:rPr>
        <w:t>Analyze</w:t>
      </w:r>
      <w:r>
        <w:t xml:space="preserve"> page if your user account is associated with a role that has the appropriate permission. You can view or edit settings in the </w:t>
      </w:r>
      <w:r>
        <w:rPr>
          <w:rStyle w:val="InlineUI"/>
        </w:rPr>
        <w:t>Analyze</w:t>
      </w:r>
      <w:r>
        <w:t xml:space="preserve"> page, depending on the sub-categories and corresponding access levels selected for the permission.</w:t>
      </w:r>
    </w:p>
    <w:p>
      <w:pPr>
        <w:pStyle w:val="SectionHeading4"/>
      </w:pPr>
      <w:r>
        <w:t>Manage Permissions to Analyze Logs</w:t>
      </w:r>
    </w:p>
    <w:p>
      <w:pPr>
        <w:pStyle w:val="BodyText"/>
      </w:pPr>
      <w:r>
        <w:t xml:space="preserve">You can manage permissions in the </w:t>
      </w:r>
      <w:r>
        <w:rPr>
          <w:rStyle w:val="InlineUI"/>
        </w:rPr>
        <w:t>Access Control</w:t>
      </w:r>
      <w:r>
        <w:t xml:space="preserve"> card when you navigate to </w:t>
      </w:r>
      <w:r>
        <w:rPr>
          <w:rStyle w:val="InlineUI"/>
        </w:rPr>
        <w:t>Administration</w:t>
      </w:r>
      <w:r>
        <w:rPr>
          <w:rStyle w:val="InlineUI"/>
        </w:rPr>
        <w:t xml:space="preserve"> &gt; </w:t>
      </w:r>
      <w:r>
        <w:rPr>
          <w:rStyle w:val="InlineUI"/>
        </w:rPr>
        <w:t>Control Panel</w:t>
      </w:r>
      <w:r>
        <w:t xml:space="preserve">. Go the </w:t>
      </w:r>
      <w:r>
        <w:rPr>
          <w:rStyle w:val="InlineUI"/>
        </w:rPr>
        <w:t>Roles</w:t>
      </w:r>
      <w:r>
        <w:t xml:space="preserve"> tab and select or deselect the permissions appropriately under </w:t>
      </w:r>
      <w:r>
        <w:rPr>
          <w:rStyle w:val="InlineUI"/>
        </w:rPr>
        <w:t>Infrastructure Operations</w:t>
      </w:r>
      <w:r>
        <w:rPr>
          <w:rStyle w:val="InlineUI"/>
        </w:rPr>
        <w:t xml:space="preserve"> &gt; </w:t>
      </w:r>
      <w:r>
        <w:rPr>
          <w:rStyle w:val="InlineUI"/>
        </w:rPr>
        <w:t>Analyze</w:t>
      </w:r>
      <w:r>
        <w:t xml:space="preserve"> when you add or edit a role. For more information, go to the topic, </w:t>
      </w:r>
      <w:r>
        <w:t>Add or Edit Roles and Assign Permissions.</w:t>
      </w:r>
    </w:p>
    <w:p>
      <w:pPr>
        <w:pStyle w:val="Heading4"/>
      </w:pPr>
      <w:r>
        <w:t>Log Queries</w:t>
      </w:r>
    </w:p>
    <w:p>
      <w:pPr>
        <w:pStyle w:val="BodyText"/>
      </w:pPr>
      <w:r>
        <w:t xml:space="preserve">Queries in </w:t>
      </w:r>
      <w:r>
        <w:t>VCF Operations</w:t>
      </w:r>
      <w:r>
        <w:t xml:space="preserve"> can retrieve and summarize events. Once created, you can compare queries.</w:t>
      </w:r>
    </w:p>
    <w:p>
      <w:pPr>
        <w:pStyle w:val="BodyText"/>
      </w:pPr>
      <w:r>
        <w:t xml:space="preserve">You can create and save queries from the </w:t>
      </w:r>
      <w:r>
        <w:rPr>
          <w:rStyle w:val="InlineUI"/>
        </w:rPr>
        <w:t>Analyze</w:t>
      </w:r>
      <w:r>
        <w:t xml:space="preserve"> page. Saved queries are available in the </w:t>
      </w:r>
      <w:r>
        <w:rPr>
          <w:rStyle w:val="InlineUI"/>
        </w:rPr>
        <w:t>Saved Queries</w:t>
      </w:r>
      <w:r>
        <w:t xml:space="preserve"> card in </w:t>
      </w:r>
      <w:r>
        <w:rPr>
          <w:rStyle w:val="InlineUI"/>
        </w:rPr>
        <w:t>Infrastructure Operations</w:t>
      </w:r>
      <w:r>
        <w:rPr>
          <w:rStyle w:val="InlineUI"/>
        </w:rPr>
        <w:t xml:space="preserve"> &gt; </w:t>
      </w:r>
      <w:r>
        <w:rPr>
          <w:rStyle w:val="InlineUI"/>
        </w:rPr>
        <w:t>Configurations</w:t>
      </w:r>
      <w:r>
        <w:t>. You can export query results, share your queries with other users, and can save, delete, rename, and load existing queries. You can take snapshots of queries and save them to dashboards.</w:t>
      </w:r>
    </w:p>
    <w:p>
      <w:pPr>
        <w:pStyle w:val="BodyText"/>
      </w:pPr>
      <w:r>
        <w:t>A query consists of one or more of the following:</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Keywords</w:t>
            </w:r>
          </w:p>
        </w:tc>
      </w:tr>
      <w:tr>
        <w:tblPrEx>
          <w:tblW w:w="5000" w:type="pct"/>
          <w:tblCellMar>
            <w:left w:w="108" w:type="dxa"/>
            <w:right w:w="108" w:type="dxa"/>
          </w:tblCellMar>
        </w:tblPrEx>
        <w:trPr>
          <w:cantSplit w:val="0"/>
        </w:trPr>
        <w:tc>
          <w:tcPr>
            <w:tcBorders>
              <w:left w:val="nil"/>
              <w:right w:val="nil"/>
            </w:tcBorders>
          </w:tcPr>
          <w:p>
            <w:pPr>
              <w:pStyle w:val="TableBodyText"/>
            </w:pPr>
            <w:r>
              <w:t>Globs</w:t>
            </w:r>
          </w:p>
        </w:tc>
      </w:tr>
      <w:tr>
        <w:tblPrEx>
          <w:tblW w:w="5000" w:type="pct"/>
          <w:tblCellMar>
            <w:left w:w="108" w:type="dxa"/>
            <w:right w:w="108" w:type="dxa"/>
          </w:tblCellMar>
        </w:tblPrEx>
        <w:trPr>
          <w:cantSplit w:val="0"/>
        </w:trPr>
        <w:tc>
          <w:tcPr>
            <w:tcBorders>
              <w:left w:val="nil"/>
              <w:right w:val="nil"/>
            </w:tcBorders>
          </w:tcPr>
          <w:p>
            <w:pPr>
              <w:pStyle w:val="TableBodyText"/>
            </w:pPr>
            <w:r>
              <w:t>Regular expressions</w:t>
            </w:r>
          </w:p>
        </w:tc>
      </w:tr>
      <w:tr>
        <w:tblPrEx>
          <w:tblW w:w="5000" w:type="pct"/>
          <w:tblCellMar>
            <w:left w:w="108" w:type="dxa"/>
            <w:right w:w="108" w:type="dxa"/>
          </w:tblCellMar>
        </w:tblPrEx>
        <w:trPr>
          <w:cantSplit w:val="0"/>
        </w:trPr>
        <w:tc>
          <w:tcPr>
            <w:tcBorders>
              <w:left w:val="nil"/>
              <w:right w:val="nil"/>
            </w:tcBorders>
          </w:tcPr>
          <w:p>
            <w:pPr>
              <w:pStyle w:val="TableBodyText"/>
            </w:pPr>
            <w:r>
              <w:t>Field operations</w:t>
            </w:r>
          </w:p>
        </w:tc>
      </w:tr>
      <w:tr>
        <w:tblPrEx>
          <w:tblW w:w="5000" w:type="pct"/>
          <w:tblCellMar>
            <w:left w:w="108" w:type="dxa"/>
            <w:right w:w="108" w:type="dxa"/>
          </w:tblCellMar>
        </w:tblPrEx>
        <w:trPr>
          <w:cantSplit w:val="0"/>
        </w:trPr>
        <w:tc>
          <w:tcPr>
            <w:tcBorders>
              <w:left w:val="nil"/>
              <w:right w:val="nil"/>
            </w:tcBorders>
          </w:tcPr>
          <w:p>
            <w:pPr>
              <w:pStyle w:val="TableBodyText"/>
            </w:pPr>
            <w:r>
              <w:t>Aggregations</w:t>
            </w:r>
          </w:p>
        </w:tc>
      </w:tr>
    </w:tbl>
    <w:p>
      <w:pPr>
        <w:pStyle w:val="BodyText"/>
        <w:spacing w:before="240"/>
      </w:pPr>
      <w:r>
        <w:t>VCF Operations</w:t>
      </w:r>
      <w:r>
        <w:t xml:space="preserve"> supports the following types of queries:</w:t>
      </w:r>
    </w:p>
    <w:p>
      <w:pPr>
        <w:pStyle w:val="BodyText"/>
        <w:numPr>
          <w:numId w:val="23"/>
        </w:numPr>
      </w:pPr>
      <w:r>
        <w:t>Message. A query made up of keywords, regular expressions and/or field operations.</w:t>
      </w:r>
    </w:p>
    <w:p>
      <w:pPr>
        <w:pStyle w:val="BodyText"/>
        <w:numPr>
          <w:numId w:val="23"/>
        </w:numPr>
      </w:pPr>
      <w:r>
        <w:t>Regular expression or field. A query made up of keywords and/or regular expressions.</w:t>
      </w:r>
    </w:p>
    <w:p>
      <w:pPr>
        <w:pStyle w:val="BodyText"/>
        <w:numPr>
          <w:numId w:val="23"/>
        </w:numPr>
      </w:pPr>
      <w:r>
        <w:t>Aggregation. A query made up of a function, one or more groupings, and any number of fields.</w:t>
      </w:r>
    </w:p>
    <w:p>
      <w:pPr>
        <w:pStyle w:val="BodyText"/>
      </w:pPr>
      <w:r>
        <w:t xml:space="preserve">You can define custom alerts in </w:t>
      </w:r>
      <w:r>
        <w:t>VCF Operations</w:t>
      </w:r>
      <w:r>
        <w:t xml:space="preserve"> and trigger them from scheduled queries of any type.</w:t>
      </w:r>
    </w:p>
    <w:p>
      <w:pPr>
        <w:pStyle w:val="SectionHeading5"/>
      </w:pPr>
      <w:r>
        <w:t>Best Practices for Creating Search Queries</w:t>
      </w:r>
    </w:p>
    <w:p>
      <w:pPr>
        <w:pStyle w:val="BodyText"/>
      </w:pPr>
      <w:r>
        <w:t>You can enter queries by using the search bar, or by entering filters.</w:t>
      </w:r>
    </w:p>
    <w:p>
      <w:pPr>
        <w:pStyle w:val="BodyText"/>
      </w:pPr>
      <w:r>
        <w:t>Use the search bar to refine the results for events. While you can use a filter instead of the search bar, it is often easier to understand a query that leverages the search bar over an equivalent filter. The best practice is to use the search bar instead of an equivalent filter when possible.</w:t>
      </w:r>
    </w:p>
    <w:p>
      <w:pPr>
        <w:pStyle w:val="BodyText"/>
      </w:pPr>
      <w:r>
        <w:t>A filter allows you to create queries by using a regular expression, a field, Logical OR and AND operations, or a combination of search bar and filter queries.</w:t>
      </w:r>
    </w:p>
    <w:p>
      <w:pPr>
        <w:pStyle w:val="BodyText"/>
      </w:pPr>
      <w:r>
        <w:t>When you create queries by using the search bar and filters, the following best practices apply:</w:t>
      </w:r>
    </w:p>
    <w:p>
      <w:pPr>
        <w:pStyle w:val="BodyText"/>
        <w:numPr>
          <w:numId w:val="24"/>
        </w:numPr>
      </w:pPr>
      <w:r>
        <w:t>Ensure queries are not environment specific.</w:t>
      </w:r>
    </w:p>
    <w:p>
      <w:pPr>
        <w:pStyle w:val="BodyText"/>
        <w:numPr>
          <w:numId w:val="24"/>
        </w:numPr>
      </w:pPr>
      <w:r>
        <w:t>When constructing a query, use keywords when possible, when keywords are not sufficient use globs, and when globs are not sufficient use regular expressions. Keyword queries are the least resource intensive type of query. Globs are a simplified version of regular expression and are the next least resource intensive type of query. Regular expressions are the most expensive type of query.</w:t>
      </w:r>
    </w:p>
    <w:p>
      <w:pPr>
        <w:pStyle w:val="BodyText"/>
        <w:numPr>
          <w:numId w:val="24"/>
        </w:numPr>
      </w:pPr>
      <w:r>
        <w:t xml:space="preserve">Provide as many keywords as possible when using regular expressions or fields. If a regular expression includes a logical OR, for example </w:t>
      </w:r>
      <w:r>
        <w:rPr>
          <w:rStyle w:val="InlineVar"/>
        </w:rPr>
        <w:t>this|that</w:t>
      </w:r>
      <w:r>
        <w:t xml:space="preserve">, do not include keywords. </w:t>
      </w:r>
      <w:r>
        <w:t>VCF Operations</w:t>
      </w:r>
      <w:r>
        <w:t xml:space="preserve"> is optimized to perform keyword queries prior to regular expressions to minimize regular expression overhead.</w:t>
      </w:r>
    </w:p>
    <w:p>
      <w:pPr>
        <w:pStyle w:val="Heading4"/>
      </w:pPr>
      <w:bookmarkStart w:id="13" w:name="B07c26864e0b14886a17d0a25d7573fbd"/>
      <w:r>
        <w:t>Log Fields</w:t>
      </w:r>
      <w:bookmarkEnd w:id="13"/>
    </w:p>
    <w:p>
      <w:pPr>
        <w:pStyle w:val="BodyText"/>
      </w:pPr>
      <w:r>
        <w:t>Fields are a powerful way to add structure to unstructured events and allow the manipulation of both the textual and visual representation of data.</w:t>
      </w:r>
    </w:p>
    <w:p>
      <w:pPr>
        <w:pStyle w:val="BodyText"/>
      </w:pPr>
      <w:r>
        <w:t xml:space="preserve">Saved fields are available in the </w:t>
      </w:r>
      <w:r>
        <w:rPr>
          <w:rStyle w:val="InlineUI"/>
        </w:rPr>
        <w:t>Fields Library</w:t>
      </w:r>
      <w:r>
        <w:t xml:space="preserve"> card in </w:t>
      </w:r>
      <w:r>
        <w:rPr>
          <w:rStyle w:val="InlineUI"/>
        </w:rPr>
        <w:t>Infrastructure Operations</w:t>
      </w:r>
      <w:r>
        <w:rPr>
          <w:rStyle w:val="InlineUI"/>
        </w:rPr>
        <w:t xml:space="preserve"> &gt; </w:t>
      </w:r>
      <w:r>
        <w:rPr>
          <w:rStyle w:val="InlineUI"/>
        </w:rPr>
        <w:t>Configurations</w:t>
      </w:r>
      <w:r>
        <w:t>.</w:t>
      </w:r>
    </w:p>
    <w:p>
      <w:pPr>
        <w:pStyle w:val="BodyText"/>
      </w:pPr>
      <w:r>
        <w:t>Fields can be used in different ways including aggregations and filters. Aggregations allow you to apply functions and groupings to fields. Filters allow you to perform operations over fields.</w:t>
      </w:r>
    </w:p>
    <w:p>
      <w:pPr>
        <w:pStyle w:val="BodyText"/>
      </w:pPr>
      <w:r>
        <w:t xml:space="preserve">You must extract any part of a log message that might be applicable to a query or aggregation by selecting the part of the message and clicking </w:t>
      </w:r>
      <w:r>
        <w:rPr>
          <w:rStyle w:val="InlineUI"/>
        </w:rPr>
        <w:t>Extract Field</w:t>
      </w:r>
      <w:r>
        <w:t>. Fields are a type of regular expression query and are useful for complex pattern matching so you do not need to know, remember, or learn complicated regular expressions.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Log Fields Context Values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8"/>
        <w:gridCol w:w="81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Context Value</w:t>
            </w:r>
          </w:p>
        </w:tc>
        <w:tc>
          <w:tcPr>
            <w:tcBorders>
              <w:left w:val="nil"/>
              <w:right w:val="nil"/>
            </w:tcBorders>
            <w:shd w:val="clear" w:color="auto" w:fill="E1E1E1"/>
            <w:tcMar>
              <w:top w:w="60" w:type="dxa"/>
              <w:bottom w:w="60" w:type="dxa"/>
            </w:tcMar>
          </w:tcPr>
          <w:p>
            <w:pPr>
              <w:pStyle w:val="TableHeaderText"/>
            </w:pPr>
            <w:r>
              <w:t>Definition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Regex before value</w:t>
            </w:r>
          </w:p>
        </w:tc>
        <w:tc>
          <w:tcPr>
            <w:tcBorders>
              <w:left w:val="nil"/>
              <w:right w:val="nil"/>
            </w:tcBorders>
          </w:tcPr>
          <w:p>
            <w:pPr>
              <w:pStyle w:val="TableBodyText"/>
            </w:pPr>
            <w:r>
              <w:t>Include as many keywords as possible. If this field is empty or only contains special characters, then the Regex after value must include keywords.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Regex after value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Only use alphanumeric characters. Ensure all characters are lower case and use underscores instead of spaces as this makes fields easier to view.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Keyword Search Terms</w:t>
            </w:r>
          </w:p>
        </w:tc>
        <w:tc>
          <w:tcPr>
            <w:tcBorders>
              <w:left w:val="nil"/>
              <w:right w:val="nil"/>
            </w:tcBorders>
          </w:tcPr>
          <w:p>
            <w:pPr>
              <w:pStyle w:val="TableBodyText"/>
            </w:pPr>
            <w:r>
              <w:t>One or more keywords, separated by space, that appear within events containing the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Filter</w:t>
            </w:r>
          </w:p>
        </w:tc>
        <w:tc>
          <w:tcPr>
            <w:tcBorders>
              <w:left w:val="nil"/>
              <w:right w:val="nil"/>
            </w:tcBorders>
          </w:tcPr>
          <w:p>
            <w:pPr>
              <w:pStyle w:val="TableBodyText"/>
            </w:pPr>
            <w:r>
              <w:t>A static field, operator, and a potential value that appears within events containing the field.</w:t>
            </w:r>
          </w:p>
          <w:p>
            <w:pPr>
              <w:pStyle w:val="TableBodyText"/>
            </w:pPr>
            <w:r>
              <w:t xml:space="preserve">It is common to use this in conjunction with the </w:t>
            </w:r>
            <w:r>
              <w:t>VCF Operations</w:t>
            </w:r>
            <w:r>
              <w:t xml:space="preserve"> agent and tags for events that do not contain keywords.</w:t>
            </w:r>
          </w:p>
        </w:tc>
      </w:tr>
    </w:tbl>
    <w:p>
      <w:pPr>
        <w:pStyle w:val="SectionHeading5"/>
        <w:spacing w:before="120"/>
      </w:pPr>
      <w:r>
        <w:t>Best Practices for Fields</w:t>
      </w:r>
    </w:p>
    <w:p>
      <w:pPr>
        <w:pStyle w:val="BodyText"/>
      </w:pPr>
      <w:r>
        <w:t>In addition to the various components that make up a field, several best practices apply.</w:t>
      </w:r>
    </w:p>
    <w:p>
      <w:pPr>
        <w:pStyle w:val="BodyText"/>
        <w:numPr>
          <w:numId w:val="25"/>
        </w:numPr>
      </w:pPr>
      <w:r>
        <w:t>Only create fields for regular expression patterns. If a field can be queried using keyword queries, or will only ever return a single value, then use keyword queries instead of a pre-defined field. If a field will only return two values then consider constructing individual queries instead of extracting a field. Fields are meant to add structure to unstructured data as well as provide a way to query over specific parts of an event.</w:t>
      </w:r>
    </w:p>
    <w:p>
      <w:pPr>
        <w:pStyle w:val="BodyText"/>
        <w:numPr>
          <w:numId w:val="25"/>
        </w:numPr>
      </w:pPr>
      <w:r>
        <w:t>Only create fields for regular expression patterns that return a fraction of the total events. Fields that will match most events and/or return a very large number of results are not a good candidate for field extraction. The regular expression will need to be applied to a large quantity of events resulting in a resource intensive operation. If possible add additional keywords to reduce the number of results returned and optimize the query.</w:t>
      </w:r>
    </w:p>
    <w:p>
      <w:pPr>
        <w:pStyle w:val="BodyText"/>
        <w:numPr>
          <w:numId w:val="25"/>
        </w:numPr>
      </w:pPr>
      <w:r>
        <w:t xml:space="preserve">If a field contains keywords within regular expression syntax, then add such keywords as a filter without regular expression syntax. For example, if the value or the context of a field contains keywords within regular expression syntax such as </w:t>
      </w:r>
      <w:r>
        <w:rPr>
          <w:rStyle w:val="InlineVar"/>
        </w:rPr>
        <w:t>this|that</w:t>
      </w:r>
      <w:r>
        <w:t xml:space="preserve">, then add the keywords as a text filter to optimize the query like </w:t>
      </w:r>
      <w:r>
        <w:t>text contains this, that</w:t>
      </w:r>
      <w:r>
        <w:t>.</w:t>
      </w:r>
    </w:p>
    <w:p>
      <w:pPr>
        <w:pStyle w:val="BodyText"/>
        <w:numPr>
          <w:numId w:val="25"/>
        </w:numPr>
      </w:pPr>
      <w:r>
        <w:t>Use of the additional context with one or more keywords is recommended over complex regular expressions in the before or after context.</w:t>
      </w:r>
    </w:p>
    <w:p>
      <w:pPr>
        <w:pStyle w:val="BodyText"/>
        <w:numPr>
          <w:numId w:val="25"/>
        </w:numPr>
      </w:pPr>
      <w:r>
        <w:t>Add additional context to all extracted fields in order to optimize query performance.</w:t>
      </w:r>
    </w:p>
    <w:p>
      <w:pPr>
        <w:pStyle w:val="BodyText"/>
        <w:numPr>
          <w:numId w:val="25"/>
        </w:numPr>
      </w:pPr>
      <w:r>
        <w:t>Extracted fields must be specific because the extraction is executed only on the target logs.</w:t>
      </w:r>
    </w:p>
    <w:p>
      <w:pPr>
        <w:pStyle w:val="Heading4"/>
      </w:pPr>
      <w:r>
        <w:t>Using the Chart to Analyze Logs</w:t>
      </w:r>
    </w:p>
    <w:p>
      <w:pPr>
        <w:pStyle w:val="BodyText"/>
      </w:pPr>
      <w:r>
        <w:t xml:space="preserve">The chart in the </w:t>
      </w:r>
      <w:r>
        <w:rPr>
          <w:rStyle w:val="InlineUI"/>
        </w:rPr>
        <w:t>Analyze</w:t>
      </w:r>
      <w:r>
        <w:t xml:space="preserve"> page lets you perform visual analysis on the results of your query.</w:t>
      </w:r>
    </w:p>
    <w:p>
      <w:pPr>
        <w:pStyle w:val="BodyText"/>
      </w:pPr>
      <w:r>
        <w:t>Charts represent graphical snapshots of log search queries. The chart type can be changed and adjusted to represent the query in different ways, based on user preferences.</w:t>
      </w:r>
    </w:p>
    <w:p>
      <w:pPr>
        <w:pStyle w:val="BodyText"/>
      </w:pPr>
      <w:r>
        <w:t xml:space="preserve">You can control the aggregation level of the chart. The </w:t>
      </w:r>
      <w:r>
        <w:rPr>
          <w:rStyle w:val="InlineUI"/>
        </w:rPr>
        <w:t>COUNT OF EVENTS</w:t>
      </w:r>
      <w:r>
        <w:t xml:space="preserve"> function is selected by default.</w:t>
      </w:r>
    </w:p>
    <w:p>
      <w:pPr>
        <w:pStyle w:val="Heading5"/>
      </w:pPr>
      <w:r>
        <w:t>Changing the Chart Display</w:t>
      </w:r>
    </w:p>
    <w:p>
      <w:pPr>
        <w:pStyle w:val="BodyText"/>
      </w:pPr>
      <w:r>
        <w:t xml:space="preserve">You can change how charts look in the </w:t>
      </w:r>
      <w:r>
        <w:rPr>
          <w:rStyle w:val="InlineUI"/>
        </w:rPr>
        <w:t>Logs</w:t>
      </w:r>
      <w:r>
        <w:t xml:space="preserve"> page.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7"/>
        <w:gridCol w:w="78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Task</w:t>
            </w:r>
          </w:p>
        </w:tc>
        <w:tc>
          <w:tcPr>
            <w:tcBorders>
              <w:left w:val="nil"/>
              <w:right w:val="nil"/>
            </w:tcBorders>
            <w:shd w:val="clear" w:color="auto" w:fill="E1E1E1"/>
            <w:tcMar>
              <w:top w:w="60" w:type="dxa"/>
              <w:bottom w:w="60" w:type="dxa"/>
            </w:tcMar>
          </w:tcPr>
          <w:p>
            <w:pPr>
              <w:pStyle w:val="TableHeaderText"/>
            </w:pPr>
            <w:r>
              <w:t>Procedure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the time range of a chart</w:t>
            </w:r>
          </w:p>
        </w:tc>
        <w:tc>
          <w:tcPr>
            <w:tcBorders>
              <w:left w:val="nil"/>
              <w:right w:val="nil"/>
            </w:tcBorders>
          </w:tcPr>
          <w:p>
            <w:pPr>
              <w:pStyle w:val="TableBodyText"/>
            </w:pPr>
            <w:r>
              <w:t xml:space="preserve">In the </w:t>
            </w:r>
            <w:r>
              <w:rPr>
                <w:rStyle w:val="InlineUI"/>
              </w:rPr>
              <w:t>Logs</w:t>
            </w:r>
            <w:r>
              <w:t xml:space="preserve"> page, you can switch the period displayed in the chart.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the granularity of a chart</w:t>
            </w:r>
          </w:p>
        </w:tc>
        <w:tc>
          <w:tcPr>
            <w:tcBorders>
              <w:left w:val="nil"/>
              <w:right w:val="nil"/>
            </w:tcBorders>
          </w:tcPr>
          <w:p>
            <w:pPr>
              <w:pStyle w:val="TableBodyText"/>
            </w:pPr>
            <w:r>
              <w:t xml:space="preserve">In the </w:t>
            </w:r>
            <w:r>
              <w:rPr>
                <w:rStyle w:val="InlineUI"/>
              </w:rPr>
              <w:t>Logs</w:t>
            </w:r>
            <w:r>
              <w:t xml:space="preserve"> page, you can switch between different time ranges for each point represented on the chart. The available ranges depend on the time range specified for the query.</w:t>
            </w:r>
          </w:p>
        </w:tc>
      </w:tr>
    </w:tbl>
    <w:p>
      <w:pPr>
        <w:pStyle w:val="Heading5"/>
        <w:spacing w:before="120"/>
      </w:pPr>
      <w:r>
        <w:t>Chart Types</w:t>
      </w:r>
    </w:p>
    <w:p>
      <w:pPr>
        <w:pStyle w:val="BodyText"/>
      </w:pPr>
      <w:r>
        <w:t xml:space="preserve">You can select different chart types to change the way data is visualized in the </w:t>
      </w:r>
      <w:r>
        <w:rPr>
          <w:rStyle w:val="InlineUI"/>
        </w:rPr>
        <w:t>Analyze</w:t>
      </w:r>
      <w:r>
        <w:t xml:space="preserve"> page. The options are available above the chart display.</w:t>
      </w:r>
    </w:p>
    <w:p>
      <w:pPr>
        <w:pStyle w:val="BodyText"/>
      </w:pPr>
      <w:r>
        <w:t xml:space="preserve">Different chart types require different aggregation functions, the use of time series, and group-by fields.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29"/>
        <w:gridCol w:w="2513"/>
        <w:gridCol w:w="2852"/>
        <w:gridCol w:w="31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Chart Type</w:t>
            </w:r>
          </w:p>
        </w:tc>
        <w:tc>
          <w:tcPr>
            <w:tcBorders>
              <w:left w:val="nil"/>
              <w:right w:val="nil"/>
            </w:tcBorders>
            <w:shd w:val="clear" w:color="auto" w:fill="E1E1E1"/>
            <w:tcMar>
              <w:top w:w="60" w:type="dxa"/>
              <w:bottom w:w="60" w:type="dxa"/>
            </w:tcMar>
          </w:tcPr>
          <w:p>
            <w:pPr>
              <w:pStyle w:val="TableHeaderText"/>
            </w:pPr>
            <w:r>
              <w:t>Aggregation Function</w:t>
            </w:r>
          </w:p>
        </w:tc>
        <w:tc>
          <w:tcPr>
            <w:tcBorders>
              <w:left w:val="nil"/>
              <w:right w:val="nil"/>
            </w:tcBorders>
            <w:shd w:val="clear" w:color="auto" w:fill="E1E1E1"/>
            <w:tcMar>
              <w:top w:w="60" w:type="dxa"/>
              <w:bottom w:w="60" w:type="dxa"/>
            </w:tcMar>
          </w:tcPr>
          <w:p>
            <w:pPr>
              <w:pStyle w:val="TableHeaderText"/>
            </w:pPr>
            <w:r>
              <w:t>Time Series Requirement</w:t>
            </w:r>
          </w:p>
        </w:tc>
        <w:tc>
          <w:tcPr>
            <w:tcBorders>
              <w:left w:val="nil"/>
              <w:right w:val="nil"/>
            </w:tcBorders>
            <w:shd w:val="clear" w:color="auto" w:fill="E1E1E1"/>
            <w:tcMar>
              <w:top w:w="60" w:type="dxa"/>
              <w:bottom w:w="60" w:type="dxa"/>
            </w:tcMar>
          </w:tcPr>
          <w:p>
            <w:pPr>
              <w:pStyle w:val="TableHeaderText"/>
            </w:pPr>
            <w:r>
              <w:t>Group-by Field Requirement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Column</w:t>
            </w:r>
          </w:p>
        </w:tc>
        <w:tc>
          <w:tcPr>
            <w:tcBorders>
              <w:left w:val="nil"/>
              <w:right w:val="nil"/>
            </w:tcBorders>
          </w:tcPr>
          <w:p>
            <w:pPr>
              <w:pStyle w:val="TableBodyText"/>
            </w:pPr>
            <w:r>
              <w:t>Any</w:t>
            </w:r>
          </w:p>
        </w:tc>
        <w:tc>
          <w:tcPr>
            <w:tcBorders>
              <w:left w:val="nil"/>
              <w:right w:val="nil"/>
            </w:tcBorders>
          </w:tcPr>
          <w:p>
            <w:pPr>
              <w:pStyle w:val="TableBodyText"/>
            </w:pPr>
            <w:r>
              <w:t>Time series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Line</w:t>
            </w:r>
          </w:p>
        </w:tc>
        <w:tc>
          <w:tcPr>
            <w:tcBorders>
              <w:left w:val="nil"/>
              <w:right w:val="nil"/>
            </w:tcBorders>
          </w:tcPr>
          <w:p>
            <w:pPr>
              <w:pStyle w:val="TableBodyText"/>
            </w:pPr>
            <w:r>
              <w:t>Any</w:t>
            </w:r>
          </w:p>
        </w:tc>
        <w:tc>
          <w:tcPr>
            <w:tcBorders>
              <w:left w:val="nil"/>
              <w:right w:val="nil"/>
            </w:tcBorders>
          </w:tcPr>
          <w:p>
            <w:pPr>
              <w:pStyle w:val="TableBodyText"/>
            </w:pPr>
            <w:r>
              <w:t>Time series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Area</w:t>
            </w:r>
          </w:p>
        </w:tc>
        <w:tc>
          <w:tcPr>
            <w:tcBorders>
              <w:left w:val="nil"/>
              <w:right w:val="nil"/>
            </w:tcBorders>
          </w:tcPr>
          <w:p>
            <w:pPr>
              <w:pStyle w:val="TableBodyText"/>
            </w:pPr>
            <w:r>
              <w:t>Any</w:t>
            </w:r>
          </w:p>
        </w:tc>
        <w:tc>
          <w:tcPr>
            <w:tcBorders>
              <w:left w:val="nil"/>
              <w:right w:val="nil"/>
            </w:tcBorders>
          </w:tcPr>
          <w:p>
            <w:pPr>
              <w:pStyle w:val="TableBodyText"/>
            </w:pPr>
            <w:r>
              <w:t>Time series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Bar</w:t>
            </w:r>
          </w:p>
        </w:tc>
        <w:tc>
          <w:tcPr>
            <w:tcBorders>
              <w:left w:val="nil"/>
              <w:right w:val="nil"/>
            </w:tcBorders>
          </w:tcPr>
          <w:p>
            <w:pPr>
              <w:pStyle w:val="TableBodyText"/>
            </w:pPr>
            <w:r>
              <w:t>Any</w:t>
            </w:r>
          </w:p>
        </w:tc>
        <w:tc>
          <w:tcPr>
            <w:tcBorders>
              <w:left w:val="nil"/>
              <w:right w:val="nil"/>
            </w:tcBorders>
          </w:tcPr>
          <w:p>
            <w:pPr>
              <w:pStyle w:val="TableBodyText"/>
            </w:pPr>
            <w:r>
              <w:t>Non-time series</w:t>
            </w:r>
          </w:p>
        </w:tc>
        <w:tc>
          <w:tcPr>
            <w:tcBorders>
              <w:left w:val="nil"/>
              <w:right w:val="nil"/>
            </w:tcBorders>
          </w:tcPr>
          <w:p>
            <w:pPr>
              <w:pStyle w:val="TableBodyText"/>
            </w:pPr>
            <w:r>
              <w:t>At least one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Pie</w:t>
            </w:r>
          </w:p>
        </w:tc>
        <w:tc>
          <w:tcPr>
            <w:tcBorders>
              <w:left w:val="nil"/>
              <w:right w:val="nil"/>
            </w:tcBorders>
          </w:tcPr>
          <w:p>
            <w:pPr>
              <w:pStyle w:val="TableBodyText"/>
            </w:pPr>
            <w:r>
              <w:t>Count or Unique Count</w:t>
            </w:r>
          </w:p>
        </w:tc>
        <w:tc>
          <w:tcPr>
            <w:tcBorders>
              <w:left w:val="nil"/>
              <w:right w:val="nil"/>
            </w:tcBorders>
          </w:tcPr>
          <w:p>
            <w:pPr>
              <w:pStyle w:val="TableBodyText"/>
            </w:pPr>
            <w:r>
              <w:t>Non-time series</w:t>
            </w:r>
          </w:p>
        </w:tc>
        <w:tc>
          <w:tcPr>
            <w:tcBorders>
              <w:left w:val="nil"/>
              <w:right w:val="nil"/>
            </w:tcBorders>
          </w:tcPr>
          <w:p>
            <w:pPr>
              <w:pStyle w:val="TableBodyText"/>
            </w:pPr>
            <w:r>
              <w:t>At least one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Bubble</w:t>
            </w:r>
          </w:p>
        </w:tc>
        <w:tc>
          <w:tcPr>
            <w:tcBorders>
              <w:left w:val="nil"/>
              <w:right w:val="nil"/>
            </w:tcBorders>
          </w:tcPr>
          <w:p>
            <w:pPr>
              <w:pStyle w:val="TableBodyText"/>
            </w:pPr>
            <w:r>
              <w:t>Any</w:t>
            </w:r>
          </w:p>
        </w:tc>
        <w:tc>
          <w:tcPr>
            <w:tcBorders>
              <w:left w:val="nil"/>
              <w:right w:val="nil"/>
            </w:tcBorders>
          </w:tcPr>
          <w:p>
            <w:pPr>
              <w:pStyle w:val="TableBodyText"/>
            </w:pPr>
            <w:r>
              <w:t>Non-time series</w:t>
            </w:r>
          </w:p>
        </w:tc>
        <w:tc>
          <w:tcPr>
            <w:tcBorders>
              <w:left w:val="nil"/>
              <w:right w:val="nil"/>
            </w:tcBorders>
          </w:tcPr>
          <w:p>
            <w:pPr>
              <w:pStyle w:val="TableBodyText"/>
            </w:pPr>
            <w:r>
              <w:t>Two fields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Scalar</w:t>
            </w:r>
          </w:p>
        </w:tc>
        <w:tc>
          <w:tcPr>
            <w:tcBorders>
              <w:left w:val="nil"/>
              <w:right w:val="nil"/>
            </w:tcBorders>
          </w:tcPr>
          <w:p>
            <w:pPr>
              <w:pStyle w:val="TableBodyText"/>
            </w:pPr>
            <w:r>
              <w:t>Any</w:t>
            </w:r>
          </w:p>
        </w:tc>
        <w:tc>
          <w:tcPr>
            <w:tcBorders>
              <w:left w:val="nil"/>
              <w:right w:val="nil"/>
            </w:tcBorders>
          </w:tcPr>
          <w:p>
            <w:pPr>
              <w:pStyle w:val="TableBodyText"/>
            </w:pPr>
            <w:r>
              <w:t>Non-time series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Table</w:t>
            </w:r>
          </w:p>
        </w:tc>
        <w:tc>
          <w:tcPr>
            <w:tcBorders>
              <w:left w:val="nil"/>
              <w:right w:val="nil"/>
            </w:tcBorders>
          </w:tcPr>
          <w:p>
            <w:pPr>
              <w:pStyle w:val="TableBodyText"/>
            </w:pPr>
            <w:r>
              <w:t>Any</w:t>
            </w:r>
          </w:p>
        </w:tc>
        <w:tc>
          <w:tcPr>
            <w:tcBorders>
              <w:left w:val="nil"/>
              <w:right w:val="nil"/>
            </w:tcBorders>
          </w:tcPr>
          <w:p>
            <w:pPr>
              <w:pStyle w:val="TableBodyText"/>
            </w:pPr>
            <w:r>
              <w:t>Any</w:t>
            </w:r>
          </w:p>
        </w:tc>
        <w:tc>
          <w:tcPr>
            <w:tcBorders>
              <w:left w:val="nil"/>
              <w:right w:val="nil"/>
            </w:tcBorders>
          </w:tcPr>
          <w:p>
            <w:pPr>
              <w:pStyle w:val="TableBodyText"/>
            </w:pPr>
            <w:r>
              <w:t>N/A</w:t>
            </w:r>
          </w:p>
        </w:tc>
      </w:tr>
    </w:tbl>
    <w:p>
      <w:pPr>
        <w:pStyle w:val="Heading5"/>
        <w:spacing w:before="120"/>
      </w:pPr>
      <w:r>
        <w:t>Multifunction Charts</w:t>
      </w:r>
    </w:p>
    <w:p>
      <w:pPr>
        <w:pStyle w:val="BodyText"/>
      </w:pPr>
      <w:r>
        <w:t>You can use multi-function charts to compare variables that are not the same scale.</w:t>
      </w:r>
    </w:p>
    <w:p>
      <w:pPr>
        <w:pStyle w:val="BodyText"/>
      </w:pPr>
      <w:r>
        <w:t>With multi-function charts, you can assign a y-axis for each series or an x-axis if you want to compare data sets of different categories. Each axis can be placed to the right or left of the chart. You can swap the functions to swap the y-axis on which they are plotted from right to left.</w:t>
      </w:r>
    </w:p>
    <w:p>
      <w:pPr>
        <w:pStyle w:val="BodyText"/>
      </w:pPr>
      <w:r>
        <w:t>For example, you can chart the count of events grouped by channel and level in addition to the average of tasks grouped by channel and level.</w:t>
      </w:r>
    </w:p>
    <w:p>
      <w:pPr>
        <w:pStyle w:val="Heading5"/>
      </w:pPr>
      <w:r>
        <w:t>Aggregation Function</w:t>
      </w:r>
    </w:p>
    <w:p>
      <w:pPr>
        <w:pStyle w:val="BodyText"/>
      </w:pPr>
      <w:r>
        <w:t>VCF Operations</w:t>
      </w:r>
      <w:r>
        <w:t xml:space="preserve"> provides several aggregation functions.</w:t>
      </w:r>
    </w:p>
    <w:p>
      <w:pPr>
        <w:pStyle w:val="SectionHeading6"/>
      </w:pPr>
      <w:r>
        <w:t>Change the Type</w:t>
      </w:r>
    </w:p>
    <w:p>
      <w:pPr>
        <w:pStyle w:val="BodyText"/>
      </w:pPr>
      <w:r>
        <w:t>You can change the aggregation and grouping of query results displayed in the chart to graphically analyze log events.</w:t>
      </w:r>
    </w:p>
    <w:p>
      <w:pPr>
        <w:pStyle w:val="BodyText"/>
      </w:pPr>
      <w:r>
        <w:t xml:space="preserve">Verify that you are logged in to the </w:t>
      </w:r>
      <w:r>
        <w:t>VCF Operations</w:t>
      </w:r>
      <w:r>
        <w:t xml:space="preserve"> web user interface with a role that has the relevant permissions. The number of drop-down menus that you see under the chart depends on the selected aggregation function.</w:t>
      </w:r>
    </w:p>
    <w:p>
      <w:pPr>
        <w:pStyle w:val="BodyText"/>
        <w:numPr>
          <w:numId w:val="26"/>
        </w:numPr>
      </w:pPr>
      <w:r>
        <w:t>Use the drop-down menus to the top-left of the chart to change the aggregation function and grouping type.</w:t>
      </w:r>
    </w:p>
    <w:p>
      <w:pPr>
        <w:pStyle w:val="BodyText"/>
        <w:numPr>
          <w:ilvl w:val="1"/>
          <w:numId w:val="26"/>
        </w:numPr>
      </w:pPr>
      <w:r>
        <w:t xml:space="preserve">To view the number of events over time, select the </w:t>
      </w:r>
      <w:r>
        <w:rPr>
          <w:rStyle w:val="InlineUI"/>
        </w:rPr>
        <w:t>Time series</w:t>
      </w:r>
      <w:r>
        <w:t xml:space="preserve"> button.</w:t>
      </w:r>
    </w:p>
    <w:p>
      <w:pPr>
        <w:pStyle w:val="BodyText"/>
        <w:numPr>
          <w:ilvl w:val="1"/>
          <w:numId w:val="26"/>
        </w:numPr>
      </w:pPr>
      <w:r>
        <w:t xml:space="preserve">To view only event values, select the </w:t>
      </w:r>
      <w:r>
        <w:rPr>
          <w:rStyle w:val="InlineUI"/>
        </w:rPr>
        <w:t>Non-time series</w:t>
      </w:r>
      <w:r>
        <w:t xml:space="preserve"> button and select at least one field.</w:t>
      </w:r>
    </w:p>
    <w:p>
      <w:pPr>
        <w:pStyle w:val="BodyText"/>
        <w:numPr>
          <w:numId w:val="26"/>
        </w:numPr>
      </w:pPr>
      <w:r>
        <w:t xml:space="preserve">Click </w:t>
      </w:r>
      <w:r>
        <w:rPr>
          <w:rStyle w:val="InlineUI"/>
        </w:rPr>
        <w:t>APPLY</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Change Aggregation and Grouping of Query Results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6"/>
        <w:gridCol w:w="2134"/>
        <w:gridCol w:w="60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w:t>
            </w:r>
          </w:p>
        </w:tc>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Count of events</w:t>
            </w:r>
          </w:p>
        </w:tc>
        <w:tc>
          <w:tcPr>
            <w:tcBorders>
              <w:left w:val="nil"/>
              <w:right w:val="nil"/>
            </w:tcBorders>
          </w:tcPr>
          <w:p>
            <w:pPr>
              <w:pStyle w:val="TableBodyText"/>
            </w:pPr>
            <w:r>
              <w:t>Events only</w:t>
            </w:r>
          </w:p>
        </w:tc>
        <w:tc>
          <w:tcPr>
            <w:tcBorders>
              <w:left w:val="nil"/>
              <w:right w:val="nil"/>
            </w:tcBorders>
          </w:tcPr>
          <w:p>
            <w:pPr>
              <w:pStyle w:val="TableBodyText"/>
            </w:pPr>
            <w:r>
              <w:t>Creates a chart of the number of events for a specific query.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Unique count</w:t>
            </w:r>
          </w:p>
        </w:tc>
        <w:tc>
          <w:tcPr>
            <w:tcBorders>
              <w:left w:val="nil"/>
              <w:right w:val="nil"/>
            </w:tcBorders>
          </w:tcPr>
          <w:p>
            <w:pPr>
              <w:pStyle w:val="TableBodyText"/>
            </w:pPr>
            <w:r>
              <w:t>Any field</w:t>
            </w:r>
          </w:p>
        </w:tc>
        <w:tc>
          <w:tcPr>
            <w:tcBorders>
              <w:left w:val="nil"/>
              <w:right w:val="nil"/>
            </w:tcBorders>
          </w:tcPr>
          <w:p>
            <w:pPr>
              <w:pStyle w:val="TableBodyText"/>
            </w:pPr>
            <w:r>
              <w:t>Creates a chart of the number of unique values for a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w:t>
            </w:r>
          </w:p>
        </w:tc>
        <w:tc>
          <w:tcPr>
            <w:tcBorders>
              <w:left w:val="nil"/>
              <w:right w:val="nil"/>
            </w:tcBorders>
          </w:tcPr>
          <w:p>
            <w:pPr>
              <w:pStyle w:val="TableBodyText"/>
            </w:pPr>
            <w:r>
              <w:t>Numeric fields only</w:t>
            </w:r>
          </w:p>
        </w:tc>
        <w:tc>
          <w:tcPr>
            <w:tcBorders>
              <w:left w:val="nil"/>
              <w:right w:val="nil"/>
            </w:tcBorders>
          </w:tcPr>
          <w:p>
            <w:pPr>
              <w:pStyle w:val="TableBodyText"/>
            </w:pPr>
            <w:r>
              <w:t>Creates a chart of the minimum value for a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Maximum</w:t>
            </w:r>
          </w:p>
        </w:tc>
        <w:tc>
          <w:tcPr>
            <w:tcBorders>
              <w:left w:val="nil"/>
              <w:right w:val="nil"/>
            </w:tcBorders>
          </w:tcPr>
          <w:p>
            <w:pPr>
              <w:pStyle w:val="TableBodyText"/>
            </w:pPr>
            <w:r>
              <w:t>Numeric fields only</w:t>
            </w:r>
          </w:p>
        </w:tc>
        <w:tc>
          <w:tcPr>
            <w:tcBorders>
              <w:left w:val="nil"/>
              <w:right w:val="nil"/>
            </w:tcBorders>
          </w:tcPr>
          <w:p>
            <w:pPr>
              <w:pStyle w:val="TableBodyText"/>
            </w:pPr>
            <w:r>
              <w:t>Creates a chart of the maximum value for a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Average</w:t>
            </w:r>
          </w:p>
        </w:tc>
        <w:tc>
          <w:tcPr>
            <w:tcBorders>
              <w:left w:val="nil"/>
              <w:right w:val="nil"/>
            </w:tcBorders>
          </w:tcPr>
          <w:p>
            <w:pPr>
              <w:pStyle w:val="TableBodyText"/>
            </w:pPr>
            <w:r>
              <w:t>Numeric fields only</w:t>
            </w:r>
          </w:p>
        </w:tc>
        <w:tc>
          <w:tcPr>
            <w:tcBorders>
              <w:left w:val="nil"/>
              <w:right w:val="nil"/>
            </w:tcBorders>
          </w:tcPr>
          <w:p>
            <w:pPr>
              <w:pStyle w:val="TableBodyText"/>
            </w:pPr>
            <w:r>
              <w:t>Creates a chart of the average value for a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Std dev</w:t>
            </w:r>
          </w:p>
        </w:tc>
        <w:tc>
          <w:tcPr>
            <w:tcBorders>
              <w:left w:val="nil"/>
              <w:right w:val="nil"/>
            </w:tcBorders>
          </w:tcPr>
          <w:p>
            <w:pPr>
              <w:pStyle w:val="TableBodyText"/>
            </w:pPr>
            <w:r>
              <w:t>Numeric fields only</w:t>
            </w:r>
          </w:p>
        </w:tc>
        <w:tc>
          <w:tcPr>
            <w:tcBorders>
              <w:left w:val="nil"/>
              <w:right w:val="nil"/>
            </w:tcBorders>
          </w:tcPr>
          <w:p>
            <w:pPr>
              <w:pStyle w:val="TableBodyText"/>
            </w:pPr>
            <w:r>
              <w:t>Creates a chart of the standard deviation for a field’s values.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Sum</w:t>
            </w:r>
          </w:p>
        </w:tc>
        <w:tc>
          <w:tcPr>
            <w:tcBorders>
              <w:left w:val="nil"/>
              <w:right w:val="nil"/>
            </w:tcBorders>
          </w:tcPr>
          <w:p>
            <w:pPr>
              <w:pStyle w:val="TableBodyText"/>
            </w:pPr>
            <w:r>
              <w:t>Numeric fields only</w:t>
            </w:r>
          </w:p>
        </w:tc>
        <w:tc>
          <w:tcPr>
            <w:tcBorders>
              <w:left w:val="nil"/>
              <w:right w:val="nil"/>
            </w:tcBorders>
          </w:tcPr>
          <w:p>
            <w:pPr>
              <w:pStyle w:val="TableBodyText"/>
            </w:pPr>
            <w:r>
              <w:t>Creates a chart of the sum of values for a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Variance</w:t>
            </w:r>
          </w:p>
        </w:tc>
        <w:tc>
          <w:tcPr>
            <w:tcBorders>
              <w:left w:val="nil"/>
              <w:right w:val="nil"/>
            </w:tcBorders>
          </w:tcPr>
          <w:p>
            <w:pPr>
              <w:pStyle w:val="TableBodyText"/>
            </w:pPr>
            <w:r>
              <w:t>Numeric fields only</w:t>
            </w:r>
          </w:p>
        </w:tc>
        <w:tc>
          <w:tcPr>
            <w:tcBorders>
              <w:left w:val="nil"/>
              <w:right w:val="nil"/>
            </w:tcBorders>
          </w:tcPr>
          <w:p>
            <w:pPr>
              <w:pStyle w:val="TableBodyText"/>
            </w:pPr>
            <w:r>
              <w:t>Creates a chart of the variance for the values of a field.</w:t>
            </w:r>
          </w:p>
        </w:tc>
      </w:tr>
    </w:tbl>
    <w:p>
      <w:pPr>
        <w:pStyle w:val="BodyText"/>
        <w:spacing w:before="240"/>
      </w:pPr>
      <w:r>
        <w:t>You can modify the way you view the query results.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52"/>
        <w:gridCol w:w="65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View</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 group query results by specific field values</w:t>
            </w:r>
          </w:p>
        </w:tc>
        <w:tc>
          <w:tcPr>
            <w:tcBorders>
              <w:left w:val="nil"/>
              <w:right w:val="nil"/>
            </w:tcBorders>
          </w:tcPr>
          <w:p>
            <w:pPr>
              <w:pStyle w:val="TableBodyText"/>
            </w:pPr>
            <w:r>
              <w:t xml:space="preserve">From the drop-down menu in the chart, select </w:t>
            </w:r>
            <w:r>
              <w:rPr>
                <w:rStyle w:val="InlineUI"/>
              </w:rPr>
              <w:t>Non-time series</w:t>
            </w:r>
            <w:r>
              <w:t xml:space="preserve"> and a field under </w:t>
            </w:r>
            <w:r>
              <w:rPr>
                <w:rStyle w:val="InlineUI"/>
              </w:rPr>
              <w:t>Group By</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 view the number of events for a field.</w:t>
            </w:r>
          </w:p>
        </w:tc>
        <w:tc>
          <w:tcPr>
            <w:tcBorders>
              <w:left w:val="nil"/>
              <w:right w:val="nil"/>
            </w:tcBorders>
          </w:tcPr>
          <w:p>
            <w:pPr>
              <w:pStyle w:val="TableBodyText"/>
            </w:pPr>
            <w:r>
              <w:t xml:space="preserve">For example, the number of events per host, select select </w:t>
            </w:r>
            <w:r>
              <w:rPr>
                <w:rStyle w:val="InlineUI"/>
              </w:rPr>
              <w:t>Non-time series</w:t>
            </w:r>
            <w:r>
              <w:t xml:space="preserve">, </w:t>
            </w:r>
            <w:r>
              <w:rPr>
                <w:rStyle w:val="InlineUI"/>
              </w:rPr>
              <w:t>Count of Events</w:t>
            </w:r>
            <w:r>
              <w:t xml:space="preserve"> and </w:t>
            </w:r>
            <w:r>
              <w:rPr>
                <w:rStyle w:val="InlineUI"/>
              </w:rPr>
              <w:t>Group By by hostname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 view a stacked bar chart for a field with groupings over time.</w:t>
            </w:r>
          </w:p>
        </w:tc>
        <w:tc>
          <w:tcPr>
            <w:tcBorders>
              <w:left w:val="nil"/>
              <w:right w:val="nil"/>
            </w:tcBorders>
          </w:tcPr>
          <w:p>
            <w:pPr>
              <w:pStyle w:val="TableBodyText"/>
            </w:pPr>
            <w:r>
              <w:t xml:space="preserve">Select both the </w:t>
            </w:r>
            <w:r>
              <w:rPr>
                <w:rStyle w:val="InlineUI"/>
              </w:rPr>
              <w:t>Time series</w:t>
            </w:r>
            <w:r>
              <w:t xml:space="preserve"> check box and the field check box under </w:t>
            </w:r>
            <w:r>
              <w:rPr>
                <w:rStyle w:val="InlineUI"/>
              </w:rPr>
              <w:t>Group By</w:t>
            </w:r>
            <w:r>
              <w:t>.</w:t>
            </w:r>
          </w:p>
        </w:tc>
      </w:tr>
    </w:tbl>
    <w:p>
      <w:pPr>
        <w:pStyle w:val="SectionHeading6"/>
        <w:spacing w:before="120"/>
      </w:pPr>
      <w:r>
        <w:t>Aggregation and Grouping in the Chart</w:t>
      </w:r>
    </w:p>
    <w:p>
      <w:pPr>
        <w:pStyle w:val="BodyText"/>
      </w:pPr>
      <w:r>
        <w:t>The following table contains examples to illustrate aggregation and grouping in charts.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Example Aggregation and Grouping in the Chart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5"/>
        <w:gridCol w:w="4226"/>
        <w:gridCol w:w="1329"/>
        <w:gridCol w:w="285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Selection in the First Drop-Down Menu</w:t>
            </w:r>
          </w:p>
        </w:tc>
        <w:tc>
          <w:tcPr>
            <w:tcBorders>
              <w:left w:val="nil"/>
              <w:right w:val="nil"/>
            </w:tcBorders>
            <w:shd w:val="clear" w:color="auto" w:fill="E1E1E1"/>
            <w:tcMar>
              <w:top w:w="60" w:type="dxa"/>
              <w:bottom w:w="60" w:type="dxa"/>
            </w:tcMar>
          </w:tcPr>
          <w:p>
            <w:pPr>
              <w:pStyle w:val="TableHeaderText"/>
            </w:pPr>
            <w:r>
              <w:t>Selection in the Second Drop-Down Menu</w:t>
            </w:r>
          </w:p>
        </w:tc>
        <w:tc>
          <w:tcPr>
            <w:tcBorders>
              <w:left w:val="nil"/>
              <w:right w:val="nil"/>
            </w:tcBorders>
            <w:shd w:val="clear" w:color="auto" w:fill="E1E1E1"/>
            <w:tcMar>
              <w:top w:w="60" w:type="dxa"/>
              <w:bottom w:w="60" w:type="dxa"/>
            </w:tcMar>
          </w:tcPr>
          <w:p>
            <w:pPr>
              <w:pStyle w:val="TableHeaderText"/>
            </w:pPr>
            <w:r>
              <w:t>Time series selection</w:t>
            </w:r>
          </w:p>
        </w:tc>
        <w:tc>
          <w:tcPr>
            <w:tcBorders>
              <w:left w:val="nil"/>
              <w:right w:val="nil"/>
            </w:tcBorders>
            <w:shd w:val="clear" w:color="auto" w:fill="E1E1E1"/>
            <w:tcMar>
              <w:top w:w="60" w:type="dxa"/>
              <w:bottom w:w="60" w:type="dxa"/>
            </w:tcMar>
          </w:tcPr>
          <w:p>
            <w:pPr>
              <w:pStyle w:val="TableHeaderText"/>
            </w:pPr>
            <w:r>
              <w:t>Result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Count of events</w:t>
            </w:r>
          </w:p>
        </w:tc>
        <w:tc>
          <w:tcPr>
            <w:tcBorders>
              <w:left w:val="nil"/>
              <w:right w:val="nil"/>
            </w:tcBorders>
          </w:tcPr>
          <w:p>
            <w:pPr>
              <w:pStyle w:val="TableBodyText"/>
            </w:pPr>
            <w:r>
              <w:rPr>
                <w:rStyle w:val="InlineUI"/>
              </w:rPr>
              <w:t>Time series</w:t>
            </w:r>
          </w:p>
        </w:tc>
        <w:tc>
          <w:tcPr>
            <w:tcBorders>
              <w:left w:val="nil"/>
              <w:right w:val="nil"/>
            </w:tcBorders>
          </w:tcPr>
          <w:p>
            <w:pPr>
              <w:pStyle w:val="TableBodyText"/>
            </w:pPr>
            <w:r>
              <w:rPr>
                <w:rStyle w:val="InlineUI"/>
              </w:rPr>
              <w:t>Time series</w:t>
            </w:r>
          </w:p>
        </w:tc>
        <w:tc>
          <w:tcPr>
            <w:tcBorders>
              <w:left w:val="nil"/>
              <w:right w:val="nil"/>
            </w:tcBorders>
          </w:tcPr>
          <w:p>
            <w:pPr>
              <w:pStyle w:val="TableBodyText"/>
            </w:pPr>
            <w:r>
              <w:t>The chart displays a bar chart with the number of events for the current query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Average</w:t>
            </w:r>
          </w:p>
        </w:tc>
        <w:tc>
          <w:tcPr>
            <w:tcBorders>
              <w:left w:val="nil"/>
              <w:right w:val="nil"/>
            </w:tcBorders>
          </w:tcPr>
          <w:p>
            <w:pPr>
              <w:pStyle w:val="TableBodyText"/>
            </w:pPr>
            <w:r>
              <w:rPr>
                <w:rStyle w:val="InlineUI"/>
              </w:rPr>
              <w:t>vmw_op_latency (VMware - vSphere)</w:t>
            </w:r>
          </w:p>
        </w:tc>
        <w:tc>
          <w:tcPr>
            <w:tcBorders>
              <w:left w:val="nil"/>
              <w:right w:val="nil"/>
            </w:tcBorders>
          </w:tcPr>
          <w:p>
            <w:pPr>
              <w:pStyle w:val="TableBodyText"/>
            </w:pPr>
            <w:r>
              <w:rPr>
                <w:rStyle w:val="InlineUI"/>
              </w:rPr>
              <w:t>Time series</w:t>
            </w:r>
          </w:p>
        </w:tc>
        <w:tc>
          <w:tcPr>
            <w:tcBorders>
              <w:left w:val="nil"/>
              <w:right w:val="nil"/>
            </w:tcBorders>
          </w:tcPr>
          <w:p>
            <w:pPr>
              <w:pStyle w:val="TableBodyText"/>
            </w:pPr>
            <w:r>
              <w:t>The chart displays a line chart with average value of operations latency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Count</w:t>
            </w:r>
          </w:p>
        </w:tc>
        <w:tc>
          <w:tcPr>
            <w:tcBorders>
              <w:left w:val="nil"/>
              <w:right w:val="nil"/>
            </w:tcBorders>
          </w:tcPr>
          <w:p>
            <w:pPr>
              <w:pStyle w:val="TableBodyText"/>
            </w:pPr>
            <w:r>
              <w:rPr>
                <w:rStyle w:val="InlineUI"/>
              </w:rPr>
              <w:t>vmw_esx_problem</w:t>
            </w:r>
          </w:p>
          <w:p>
            <w:pPr>
              <w:pStyle w:val="TableBodyText"/>
              <w:pBdr>
                <w:top w:val="single" w:sz="8" w:space="2" w:color="D3D3D3"/>
                <w:bottom w:val="single" w:sz="8" w:space="2" w:color="D3D3D3"/>
              </w:pBdr>
            </w:pPr>
            <w:r>
              <w:rPr>
                <w:rStyle w:val="NoteLeadernote"/>
              </w:rPr>
              <w:t>Note</w:t>
              <w:tab/>
            </w:r>
            <w:r>
              <w:t>The vmw_esx_problem field does not appear by default. You must query the vmw_esx_problem field (Add Filter &gt; vmw_esx_problem 'exists') so that vmw_esx_problem appears in the drop-down menu.</w:t>
            </w:r>
          </w:p>
        </w:tc>
        <w:tc>
          <w:tcPr>
            <w:tcBorders>
              <w:left w:val="nil"/>
              <w:right w:val="nil"/>
            </w:tcBorders>
          </w:tcPr>
          <w:p>
            <w:pPr>
              <w:pStyle w:val="TableBodyText"/>
            </w:pPr>
            <w:r>
              <w:rPr>
                <w:rStyle w:val="InlineUI"/>
              </w:rPr>
              <w:t>Non-time series</w:t>
            </w:r>
          </w:p>
        </w:tc>
        <w:tc>
          <w:tcPr>
            <w:tcBorders>
              <w:left w:val="nil"/>
              <w:right w:val="nil"/>
            </w:tcBorders>
          </w:tcPr>
          <w:p>
            <w:pPr>
              <w:pStyle w:val="TableBodyText"/>
            </w:pPr>
            <w:r>
              <w:t>The chart displays a bar chart of the number of events for containing the vmw_esx_problem field.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Count</w:t>
            </w:r>
          </w:p>
        </w:tc>
        <w:tc>
          <w:tcPr>
            <w:tcBorders>
              <w:left w:val="nil"/>
              <w:right w:val="nil"/>
            </w:tcBorders>
          </w:tcPr>
          <w:p>
            <w:pPr>
              <w:pStyle w:val="TableBodyText"/>
            </w:pPr>
            <w:r>
              <w:rPr>
                <w:rStyle w:val="InlineUI"/>
              </w:rPr>
              <w:t>Time series</w:t>
            </w:r>
            <w:r>
              <w:t xml:space="preserve">, </w:t>
            </w:r>
            <w:r>
              <w:rPr>
                <w:rStyle w:val="InlineUI"/>
              </w:rPr>
              <w:t>vmw_esx_problem</w:t>
            </w:r>
          </w:p>
        </w:tc>
        <w:tc>
          <w:tcPr>
            <w:tcBorders>
              <w:left w:val="nil"/>
              <w:right w:val="nil"/>
            </w:tcBorders>
          </w:tcPr>
          <w:p>
            <w:pPr>
              <w:pStyle w:val="TableBodyText"/>
            </w:pPr>
            <w:r>
              <w:rPr>
                <w:rStyle w:val="InlineUI"/>
              </w:rPr>
              <w:t>Time series</w:t>
            </w:r>
          </w:p>
        </w:tc>
        <w:tc>
          <w:tcPr>
            <w:tcBorders>
              <w:left w:val="nil"/>
              <w:right w:val="nil"/>
            </w:tcBorders>
          </w:tcPr>
          <w:p>
            <w:pPr>
              <w:pStyle w:val="TableBodyText"/>
            </w:pPr>
            <w:r>
              <w:t>The chart displays a bar chart grouped by vmw_esx_problem over time.</w:t>
            </w:r>
          </w:p>
        </w:tc>
      </w:tr>
    </w:tbl>
    <w:p>
      <w:pPr>
        <w:pStyle w:val="Heading4"/>
        <w:spacing w:before="120"/>
      </w:pPr>
      <w:r>
        <w:t>Searching and Filtering Log Events</w:t>
      </w:r>
    </w:p>
    <w:p>
      <w:pPr>
        <w:pStyle w:val="BodyText"/>
      </w:pPr>
      <w:r>
        <w:t xml:space="preserve">You can perform search and filter operations under </w:t>
      </w:r>
      <w:r>
        <w:rPr>
          <w:rStyle w:val="InlineUI"/>
        </w:rPr>
        <w:t>ANALYSE LOGS</w:t>
      </w:r>
      <w:r>
        <w:t xml:space="preserve"> in the </w:t>
      </w:r>
      <w:r>
        <w:rPr>
          <w:rStyle w:val="InlineUI"/>
        </w:rPr>
        <w:t>Logs</w:t>
      </w:r>
      <w:r>
        <w:t xml:space="preserve"> tab in the </w:t>
      </w:r>
      <w:r>
        <w:rPr>
          <w:rStyle w:val="InlineUI"/>
        </w:rPr>
        <w:t>Infrastructure Operations</w:t>
      </w:r>
      <w:r>
        <w:rPr>
          <w:rStyle w:val="InlineUI"/>
        </w:rPr>
        <w:t xml:space="preserve"> &gt; </w:t>
      </w:r>
      <w:r>
        <w:rPr>
          <w:rStyle w:val="InlineUI"/>
        </w:rPr>
        <w:t>Analyze</w:t>
      </w:r>
      <w:r>
        <w:t xml:space="preserve"> page of </w:t>
      </w:r>
      <w:r>
        <w:t>VCF Operations</w:t>
      </w:r>
      <w:r>
        <w:t>.</w:t>
      </w:r>
    </w:p>
    <w:p>
      <w:pPr>
        <w:pStyle w:val="SectionHeading5"/>
      </w:pPr>
      <w:r>
        <w:t>Performing a Search</w:t>
      </w:r>
    </w:p>
    <w:p>
      <w:pPr>
        <w:pStyle w:val="BodyText"/>
      </w:pPr>
      <w:r>
        <w:t>To find only events that contain the specified keywords, enter any complete keywords, globs, or phrases in the search text box.</w:t>
      </w:r>
    </w:p>
    <w:p>
      <w:pPr>
        <w:pStyle w:val="BodyText"/>
      </w:pPr>
      <w:r>
        <w:t>You can search for log events that match certain values of specific fields. Using quoted text in the main search field matches exact phrases. Entering a space in the main search field is a logical AND operator. Search uses only full tokens. For example, searching for "err" does not find "error" as a match.</w:t>
      </w:r>
    </w:p>
    <w:p>
      <w:pPr>
        <w:pStyle w:val="BodyText"/>
        <w:pBdr>
          <w:top w:val="single" w:sz="8" w:space="2" w:color="D3D3D3"/>
          <w:bottom w:val="single" w:sz="8" w:space="2" w:color="D3D3D3"/>
        </w:pBdr>
      </w:pPr>
      <w:r>
        <w:rPr>
          <w:rStyle w:val="NoteLeadernote"/>
        </w:rPr>
        <w:t>Note</w:t>
        <w:tab/>
      </w:r>
      <w:r>
        <w:t>The field name for an ingested event must begin only with a letter or an underscore character and contain only letters, digits, or the underscore character.</w:t>
      </w:r>
    </w:p>
    <w:p>
      <w:pPr>
        <w:pStyle w:val="BodyText"/>
      </w:pPr>
      <w:r>
        <w:t xml:space="preserve">Within a single-row filter, add multiple search queries by typing each query and hitting the Enter key. This behaves like OR filters. For example, select </w:t>
      </w:r>
      <w:r>
        <w:rPr>
          <w:rStyle w:val="InlineUI"/>
        </w:rPr>
        <w:t>hostname</w:t>
      </w:r>
      <w:r>
        <w:rPr>
          <w:rStyle w:val="InlineUI"/>
        </w:rPr>
        <w:t>contains</w:t>
      </w:r>
      <w:r>
        <w:t xml:space="preserve"> and type </w:t>
      </w:r>
      <w:r>
        <w:t>127.0.0.1</w:t>
      </w:r>
      <w:r>
        <w:t xml:space="preserve"> hit enter and then type </w:t>
      </w:r>
      <w:r>
        <w:t>127.0.0.2</w:t>
      </w:r>
      <w:r>
        <w:t xml:space="preserve"> and hit enter again. The search returns events with the host name 127.0.0.1 or 127.0.0.2.</w:t>
      </w:r>
    </w:p>
    <w:p>
      <w:pPr>
        <w:pStyle w:val="BodyText"/>
        <w:pBdr>
          <w:top w:val="single" w:sz="8" w:space="2" w:color="D3D3D3"/>
        </w:pBdr>
      </w:pPr>
      <w:r>
        <w:rPr>
          <w:rStyle w:val="NoteLeadernote"/>
        </w:rPr>
        <w:t>Note</w:t>
        <w:tab/>
      </w:r>
      <w:r>
        <w:t xml:space="preserve">The </w:t>
      </w:r>
      <w:r>
        <w:rPr>
          <w:rStyle w:val="InlineUI"/>
        </w:rPr>
        <w:t>text contains</w:t>
      </w:r>
      <w:r>
        <w:t xml:space="preserve"> filter treats each word or phrase that you type before hitting enter as a complete keyword.</w:t>
      </w:r>
    </w:p>
    <w:p>
      <w:pPr>
        <w:pStyle w:val="BodyText"/>
        <w:pBdr>
          <w:bottom w:val="single" w:sz="8" w:space="2" w:color="D3D3D3"/>
        </w:pBdr>
      </w:pPr>
      <w:r>
        <w:t xml:space="preserve">Queries with fields using the internal query language syntax names, for example, </w:t>
      </w:r>
      <w:r>
        <w:rPr>
          <w:rStyle w:val="InlineCode"/>
        </w:rPr>
        <w:t>from</w:t>
      </w:r>
      <w:r>
        <w:t xml:space="preserve"> or </w:t>
      </w:r>
      <w:r>
        <w:rPr>
          <w:rStyle w:val="InlineCode"/>
        </w:rPr>
        <w:t>in</w:t>
      </w:r>
      <w:r>
        <w:t>, are not able to be processed and should not be used.</w:t>
      </w:r>
    </w:p>
    <w:p>
      <w:pPr>
        <w:pStyle w:val="BodyText"/>
      </w:pPr>
      <w:r>
        <w:t>You can combine multiple field filters by creating a filter row for each field. You can toggle the operator that is applied to multiple-row filters.</w:t>
      </w:r>
    </w:p>
    <w:p>
      <w:pPr>
        <w:pStyle w:val="BodyText"/>
        <w:numPr>
          <w:numId w:val="27"/>
        </w:numPr>
      </w:pPr>
      <w:r>
        <w:t xml:space="preserve">To apply the AND operator, select </w:t>
      </w:r>
      <w:r>
        <w:rPr>
          <w:rStyle w:val="InlineUI"/>
        </w:rPr>
        <w:t>All</w:t>
      </w:r>
      <w:r>
        <w:t>.</w:t>
      </w:r>
    </w:p>
    <w:p>
      <w:pPr>
        <w:pStyle w:val="BodyText"/>
        <w:numPr>
          <w:numId w:val="27"/>
        </w:numPr>
      </w:pPr>
      <w:r>
        <w:t xml:space="preserve">To apply the OR operator, select </w:t>
      </w:r>
      <w:r>
        <w:rPr>
          <w:rStyle w:val="InlineUI"/>
        </w:rPr>
        <w:t>Any</w:t>
      </w:r>
      <w:r>
        <w:t>.</w:t>
      </w:r>
    </w:p>
    <w:p>
      <w:pPr>
        <w:pStyle w:val="BodyText"/>
        <w:pBdr>
          <w:top w:val="single" w:sz="8" w:space="2" w:color="D3D3D3"/>
          <w:bottom w:val="single" w:sz="8" w:space="2" w:color="D3D3D3"/>
        </w:pBdr>
      </w:pPr>
      <w:r>
        <w:rPr>
          <w:rStyle w:val="NoteLeadernote"/>
        </w:rPr>
        <w:t>Note</w:t>
        <w:tab/>
      </w:r>
      <w:r>
        <w:t>Regardless of the toggle value, the operator for comma-separated values within a single filter row is OR.</w:t>
      </w:r>
    </w:p>
    <w:p>
      <w:pPr>
        <w:pStyle w:val="BodyText"/>
      </w:pPr>
      <w:r>
        <w:t xml:space="preserve">You can use globs in search terms. For example, </w:t>
      </w:r>
      <w:r>
        <w:t>vm*</w:t>
      </w:r>
      <w:r>
        <w:t xml:space="preserve"> or </w:t>
      </w:r>
      <w:r>
        <w:t>vmw?re</w:t>
      </w:r>
      <w:r>
        <w:t>.</w:t>
      </w:r>
    </w:p>
    <w:p>
      <w:pPr>
        <w:pStyle w:val="BodyText"/>
        <w:numPr>
          <w:numId w:val="28"/>
        </w:numPr>
      </w:pPr>
      <w:r>
        <w:t>For 0 or more characters, use *.</w:t>
      </w:r>
    </w:p>
    <w:p>
      <w:pPr>
        <w:pStyle w:val="BodyText"/>
        <w:numPr>
          <w:numId w:val="28"/>
        </w:numPr>
      </w:pPr>
      <w:r>
        <w:t>For only one character, use ?.</w:t>
      </w:r>
    </w:p>
    <w:p>
      <w:pPr>
        <w:pStyle w:val="BodyText"/>
        <w:pBdr>
          <w:top w:val="single" w:sz="8" w:space="2" w:color="D3D3D3"/>
          <w:bottom w:val="single" w:sz="8" w:space="2" w:color="D3D3D3"/>
        </w:pBdr>
      </w:pPr>
      <w:r>
        <w:rPr>
          <w:rStyle w:val="NoteLeadernote"/>
        </w:rPr>
        <w:t>Note</w:t>
        <w:tab/>
      </w:r>
      <w:r>
        <w:t>Globs can be used as the first character of a search term. For example, you can use *.10.11.12. However, using *10.11.12 does not work.</w:t>
      </w:r>
    </w:p>
    <w:p>
      <w:pPr>
        <w:pStyle w:val="BodyText"/>
      </w:pPr>
      <w:r>
        <w:t>You can save the current query to load it at a later stage.</w:t>
      </w:r>
    </w:p>
    <w:p>
      <w:pPr>
        <w:pStyle w:val="SectionHeading5"/>
      </w:pPr>
      <w:r>
        <w:t>Filter Log Events by Time Range</w:t>
      </w:r>
    </w:p>
    <w:p>
      <w:pPr>
        <w:pStyle w:val="BodyText"/>
      </w:pPr>
      <w:r>
        <w:t xml:space="preserve">You can filter log events to view only the events for a certain period. You do that by selecting one of the predefined periods. To set the initial and final point of the time range, select </w:t>
      </w:r>
      <w:r>
        <w:rPr>
          <w:rStyle w:val="InlineUI"/>
        </w:rPr>
        <w:t>CUSTOM</w:t>
      </w:r>
      <w:r>
        <w:t>.</w:t>
      </w:r>
    </w:p>
    <w:p>
      <w:pPr>
        <w:pStyle w:val="Heading5"/>
      </w:pPr>
      <w:r>
        <w:t>Search Log Events by Field Operations</w:t>
      </w:r>
    </w:p>
    <w:p>
      <w:pPr>
        <w:pStyle w:val="BodyText"/>
      </w:pPr>
      <w:r>
        <w:t>You can use the list of existing fields to search log events with specific values for a field.</w:t>
      </w:r>
    </w:p>
    <w:p>
      <w:pPr>
        <w:pStyle w:val="BodyText"/>
        <w:pBdr>
          <w:top w:val="single" w:sz="8" w:space="2" w:color="D3D3D3"/>
          <w:bottom w:val="single" w:sz="8" w:space="2" w:color="D3D3D3"/>
        </w:pBdr>
      </w:pPr>
      <w:r>
        <w:rPr>
          <w:rStyle w:val="NoteLeadernote"/>
        </w:rPr>
        <w:t>Note</w:t>
        <w:tab/>
      </w:r>
      <w:r>
        <w:t>VCF Operations</w:t>
      </w:r>
      <w:r>
        <w:t xml:space="preserve"> indexes complete alphanumeric, hyphenated, and underscore characters.</w:t>
      </w:r>
    </w:p>
    <w:p>
      <w:pPr>
        <w:pStyle w:val="BodyText"/>
      </w:pPr>
      <w:r>
        <w:rPr>
          <w:rStyle w:val="Strong"/>
        </w:rPr>
        <w:t>Prerequisites</w:t>
      </w:r>
    </w:p>
    <w:p>
      <w:pPr>
        <w:pStyle w:val="BodyText"/>
      </w:pPr>
      <w:r>
        <w:t>Verify that you are logged in to the web user interface as a user associated with a role that has the relevant permissions.</w:t>
      </w:r>
    </w:p>
    <w:p>
      <w:pPr>
        <w:pStyle w:val="BodyText"/>
      </w:pPr>
      <w:r>
        <w:rPr>
          <w:rStyle w:val="Strong"/>
        </w:rPr>
        <w:t>Procedure</w:t>
      </w:r>
    </w:p>
    <w:p>
      <w:pPr>
        <w:pStyle w:val="BodyText"/>
        <w:numPr>
          <w:numId w:val="29"/>
        </w:numPr>
      </w:pPr>
      <w:r>
        <w:t xml:space="preserve">Click </w:t>
      </w:r>
      <w:r>
        <w:rPr>
          <w:rStyle w:val="InlineUI"/>
        </w:rPr>
        <w:t>Infrastructure Operations</w:t>
      </w:r>
      <w:r>
        <w:rPr>
          <w:rStyle w:val="InlineUI"/>
        </w:rPr>
        <w:t xml:space="preserve"> &gt; </w:t>
      </w:r>
      <w:r>
        <w:rPr>
          <w:rStyle w:val="InlineUI"/>
        </w:rPr>
        <w:t>Analyze</w:t>
      </w:r>
      <w:r>
        <w:t>.</w:t>
      </w:r>
    </w:p>
    <w:p>
      <w:pPr>
        <w:pStyle w:val="BodyText"/>
        <w:numPr>
          <w:numId w:val="29"/>
        </w:numPr>
      </w:pPr>
      <w:r>
        <w:t xml:space="preserve">Click </w:t>
      </w:r>
      <w:r>
        <w:rPr>
          <w:rStyle w:val="InlineUI"/>
        </w:rPr>
        <w:t>Add Filter</w:t>
      </w:r>
      <w:r>
        <w:t>.</w:t>
      </w:r>
    </w:p>
    <w:p>
      <w:pPr>
        <w:pStyle w:val="BodyText"/>
        <w:numPr>
          <w:numId w:val="29"/>
        </w:numPr>
      </w:pPr>
      <w:r>
        <w:t xml:space="preserve">In the filter row under the search text box, use the first drop-down menu to select any field defined within </w:t>
      </w:r>
      <w:r>
        <w:t>VCF Operations</w:t>
      </w:r>
      <w:r>
        <w:t xml:space="preserve"> .</w:t>
      </w:r>
    </w:p>
    <w:p>
      <w:pPr>
        <w:pStyle w:val="BodyText"/>
        <w:ind w:left="480"/>
      </w:pPr>
      <w:r>
        <w:t xml:space="preserve">For example, </w:t>
      </w:r>
      <w:r>
        <w:rPr>
          <w:rStyle w:val="InlineUI"/>
        </w:rPr>
        <w:t>hostname</w:t>
      </w:r>
      <w:r>
        <w:t xml:space="preserve">, </w:t>
      </w:r>
      <w:r>
        <w:rPr>
          <w:rStyle w:val="InlineUI"/>
        </w:rPr>
        <w:t>text</w:t>
      </w:r>
      <w:r>
        <w:t xml:space="preserve">, </w:t>
      </w:r>
      <w:r>
        <w:rPr>
          <w:rStyle w:val="InlineUI"/>
        </w:rPr>
        <w:t>source</w:t>
      </w:r>
      <w:r>
        <w:t xml:space="preserve">, and so on. To query logs from an existing index partition, select the partition from the </w:t>
      </w:r>
      <w:r>
        <w:rPr>
          <w:rStyle w:val="InlineUI"/>
        </w:rPr>
        <w:t>PARTITION</w:t>
      </w:r>
      <w:r>
        <w:t xml:space="preserve"> drop-down list on the top right. Selecting a partition lists a specific subset of events based on the partition filter and renders quick results.</w:t>
      </w:r>
    </w:p>
    <w:p>
      <w:pPr>
        <w:pStyle w:val="BodyText"/>
        <w:ind w:left="480"/>
      </w:pPr>
      <w:r>
        <w:t>The list contains all defined fields that are available statically, in content packs, and in custom content.</w:t>
      </w:r>
    </w:p>
    <w:p>
      <w:pPr>
        <w:pStyle w:val="BodyText"/>
        <w:ind w:left="480"/>
      </w:pPr>
      <w:r>
        <w:t xml:space="preserve">Fields are sorted by name, except for the </w:t>
      </w:r>
      <w:r>
        <w:rPr>
          <w:rStyle w:val="InlineUI"/>
        </w:rPr>
        <w:t>text</w:t>
      </w:r>
      <w:r>
        <w:t xml:space="preserve"> and </w:t>
      </w:r>
      <w:r>
        <w:rPr>
          <w:rStyle w:val="InlineUI"/>
        </w:rPr>
        <w:t>partition</w:t>
      </w:r>
      <w:r>
        <w:t xml:space="preserve"> fields. Because </w:t>
      </w:r>
      <w:r>
        <w:rPr>
          <w:rStyle w:val="InlineUI"/>
        </w:rPr>
        <w:t>text</w:t>
      </w:r>
      <w:r>
        <w:t xml:space="preserve"> is a special field that refers to the message text, </w:t>
      </w:r>
      <w:r>
        <w:rPr>
          <w:rStyle w:val="InlineUI"/>
        </w:rPr>
        <w:t>text</w:t>
      </w:r>
      <w:r>
        <w:t xml:space="preserve"> appears at the top of the list, and is selected by default. Because </w:t>
      </w:r>
      <w:r>
        <w:rPr>
          <w:rStyle w:val="InlineUI"/>
        </w:rPr>
        <w:t>partition</w:t>
      </w:r>
      <w:r>
        <w:t xml:space="preserve"> is also a special field that refers to index partitions, </w:t>
      </w:r>
      <w:r>
        <w:rPr>
          <w:rStyle w:val="InlineUI"/>
        </w:rPr>
        <w:t>partition</w:t>
      </w:r>
      <w:r>
        <w:t xml:space="preserve"> appears after the </w:t>
      </w:r>
      <w:r>
        <w:rPr>
          <w:rStyle w:val="InlineUI"/>
        </w:rPr>
        <w:t>text</w:t>
      </w:r>
      <w:r>
        <w:t xml:space="preserve"> field in the list.</w:t>
      </w:r>
    </w:p>
    <w:p>
      <w:pPr>
        <w:pStyle w:val="BodyText"/>
        <w:pBdr>
          <w:top w:val="single" w:sz="8" w:space="2" w:color="D3D3D3"/>
          <w:bottom w:val="single" w:sz="8" w:space="2" w:color="D3D3D3"/>
        </w:pBdr>
        <w:ind w:left="480"/>
      </w:pPr>
      <w:r>
        <w:rPr>
          <w:rStyle w:val="NoteLeadernote"/>
        </w:rPr>
        <w:t>Note</w:t>
        <w:tab/>
      </w:r>
      <w:r>
        <w:t xml:space="preserve">Numeric fields contain additional operators that string fields do not: </w:t>
      </w:r>
      <w:r>
        <w:rPr>
          <w:rStyle w:val="InlineUI"/>
        </w:rPr>
        <w:t>=</w:t>
      </w:r>
      <w:r>
        <w:t xml:space="preserve">, </w:t>
      </w:r>
      <w:r>
        <w:rPr>
          <w:rStyle w:val="InlineUI"/>
        </w:rPr>
        <w:t>&gt;</w:t>
      </w:r>
      <w:r>
        <w:t xml:space="preserve">, </w:t>
      </w:r>
      <w:r>
        <w:rPr>
          <w:rStyle w:val="InlineUI"/>
        </w:rPr>
        <w:t>&lt;</w:t>
      </w:r>
      <w:r>
        <w:t xml:space="preserve">, </w:t>
      </w:r>
      <w:r>
        <w:rPr>
          <w:rStyle w:val="InlineUI"/>
        </w:rPr>
        <w:t>&gt;=</w:t>
      </w:r>
      <w:r>
        <w:t xml:space="preserve">, </w:t>
      </w:r>
      <w:r>
        <w:rPr>
          <w:rStyle w:val="InlineUI"/>
        </w:rPr>
        <w:t>&lt;=</w:t>
      </w:r>
      <w:r>
        <w:t>.</w:t>
      </w:r>
    </w:p>
    <w:p>
      <w:pPr>
        <w:pStyle w:val="BodyText"/>
        <w:numPr>
          <w:numId w:val="29"/>
        </w:numPr>
      </w:pPr>
      <w:r>
        <w:t>In the filter row under the search text box, use the second drop-down menu to select the operation to apply to the field selected in the first drop-down menu.</w:t>
      </w:r>
    </w:p>
    <w:p>
      <w:pPr>
        <w:pStyle w:val="BodyText"/>
        <w:ind w:left="480"/>
      </w:pPr>
      <w:r>
        <w:t>For example:</w:t>
      </w:r>
    </w:p>
    <w:p>
      <w:pPr>
        <w:pStyle w:val="BodyText"/>
        <w:numPr>
          <w:ilvl w:val="1"/>
          <w:numId w:val="29"/>
        </w:numPr>
      </w:pPr>
      <w:r>
        <w:t xml:space="preserve">Select </w:t>
      </w:r>
      <w:r>
        <w:rPr>
          <w:rStyle w:val="InlineUI"/>
        </w:rPr>
        <w:t>is</w:t>
      </w:r>
      <w:r>
        <w:t xml:space="preserve"> or </w:t>
      </w:r>
      <w:r>
        <w:rPr>
          <w:rStyle w:val="InlineUI"/>
        </w:rPr>
        <w:t>is not</w:t>
      </w:r>
      <w:r>
        <w:t xml:space="preserve">. These filters match the full name. Select the partition from the drop-down menu. Using </w:t>
      </w:r>
      <w:r>
        <w:rPr>
          <w:rStyle w:val="InlineUI"/>
        </w:rPr>
        <w:t>is</w:t>
      </w:r>
      <w:r>
        <w:t xml:space="preserve"> for a partition matches all the events stored in the specified index partition. Using </w:t>
      </w:r>
      <w:r>
        <w:rPr>
          <w:rStyle w:val="InlineUI"/>
        </w:rPr>
        <w:t>is not</w:t>
      </w:r>
      <w:r>
        <w:t xml:space="preserve"> for the partition matches all the events that are not stored in the specified index partition.</w:t>
      </w:r>
    </w:p>
    <w:p>
      <w:pPr>
        <w:pStyle w:val="BodyText"/>
        <w:numPr>
          <w:ilvl w:val="1"/>
          <w:numId w:val="29"/>
        </w:numPr>
      </w:pPr>
      <w:r>
        <w:t xml:space="preserve">Select </w:t>
      </w:r>
      <w:r>
        <w:rPr>
          <w:rStyle w:val="InlineUI"/>
        </w:rPr>
        <w:t>contains</w:t>
      </w:r>
      <w:r>
        <w:t xml:space="preserve">. The </w:t>
      </w:r>
      <w:r>
        <w:rPr>
          <w:rStyle w:val="InlineUI"/>
        </w:rPr>
        <w:t>contains</w:t>
      </w:r>
      <w:r>
        <w:t xml:space="preserve"> filter matches full tokens: searching for "err" will not find "error" as a match. Using </w:t>
      </w:r>
      <w:r>
        <w:rPr>
          <w:rStyle w:val="InlineUI"/>
        </w:rPr>
        <w:t>contains</w:t>
      </w:r>
      <w:r>
        <w:t xml:space="preserve"> for the partition matches glob patterns in all existing index partitions.</w:t>
      </w:r>
    </w:p>
    <w:p>
      <w:pPr>
        <w:pStyle w:val="BodyText"/>
        <w:numPr>
          <w:numId w:val="29"/>
        </w:numPr>
      </w:pPr>
      <w:r>
        <w:t>In the text box to the right of the filter drop-down menu, type the value that you want to use as a filter.</w:t>
      </w:r>
    </w:p>
    <w:p>
      <w:pPr>
        <w:pStyle w:val="BodyText"/>
        <w:ind w:left="480"/>
      </w:pPr>
      <w:r>
        <w:t xml:space="preserve">You can list multiple values by hitting enter after typing each value. The operator between these values is </w:t>
      </w:r>
      <w:r>
        <w:rPr>
          <w:rStyle w:val="InlineCode"/>
        </w:rPr>
        <w:t>OR</w:t>
      </w:r>
      <w:r>
        <w:t>.</w:t>
      </w:r>
    </w:p>
    <w:p>
      <w:pPr>
        <w:pStyle w:val="BodyText"/>
        <w:pBdr>
          <w:top w:val="single" w:sz="8" w:space="2" w:color="D3D3D3"/>
          <w:bottom w:val="single" w:sz="8" w:space="2" w:color="D3D3D3"/>
        </w:pBdr>
        <w:ind w:left="480"/>
      </w:pPr>
      <w:r>
        <w:rPr>
          <w:rStyle w:val="NoteLeadernote"/>
        </w:rPr>
        <w:t>Note</w:t>
        <w:tab/>
      </w:r>
      <w:r>
        <w:t xml:space="preserve">The text box is not available if you select the </w:t>
      </w:r>
      <w:r>
        <w:rPr>
          <w:rStyle w:val="InlineUI"/>
        </w:rPr>
        <w:t>exists</w:t>
      </w:r>
      <w:r>
        <w:t xml:space="preserve"> operator in the second drop-down menu.</w:t>
      </w:r>
    </w:p>
    <w:p>
      <w:pPr>
        <w:pStyle w:val="BodyText"/>
        <w:numPr>
          <w:numId w:val="29"/>
        </w:numPr>
      </w:pPr>
      <w:r>
        <w:t xml:space="preserve">(Optional) </w:t>
      </w:r>
      <w:r>
        <w:t xml:space="preserve">To add more filters, click </w:t>
      </w:r>
      <w:r>
        <w:rPr>
          <w:rStyle w:val="InlineUI"/>
        </w:rPr>
        <w:t>Add Filter</w:t>
      </w:r>
      <w:r>
        <w:t>.</w:t>
      </w:r>
    </w:p>
    <w:p>
      <w:pPr>
        <w:pStyle w:val="BodyText"/>
        <w:pBdr>
          <w:top w:val="single" w:sz="8" w:space="2" w:color="D3D3D3"/>
          <w:bottom w:val="single" w:sz="8" w:space="2" w:color="D3D3D3"/>
        </w:pBdr>
        <w:ind w:left="480"/>
      </w:pPr>
      <w:r>
        <w:rPr>
          <w:rStyle w:val="NoteLeadernote"/>
        </w:rPr>
        <w:t>Note</w:t>
        <w:tab/>
      </w:r>
      <w:r>
        <w:t>You can add only one filter when you select a partition. However, after adding a field and selecting a partition, you can add more filters using other fields.</w:t>
      </w:r>
    </w:p>
    <w:p>
      <w:pPr>
        <w:pStyle w:val="BodyText"/>
        <w:ind w:left="480"/>
      </w:pPr>
      <w:r>
        <w:t>A toggle button appears with the All/Any option.</w:t>
      </w:r>
    </w:p>
    <w:p>
      <w:pPr>
        <w:pStyle w:val="BodyText"/>
        <w:numPr>
          <w:numId w:val="29"/>
        </w:numPr>
      </w:pPr>
      <w:r>
        <w:t xml:space="preserve">(Optional) </w:t>
      </w:r>
      <w:r>
        <w:t>For multiple filter rows, select the operator between filters.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495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All</w:t>
            </w:r>
          </w:p>
        </w:tc>
        <w:tc>
          <w:tcPr>
            <w:tcBorders>
              <w:left w:val="nil"/>
              <w:right w:val="nil"/>
            </w:tcBorders>
          </w:tcPr>
          <w:p>
            <w:pPr>
              <w:pStyle w:val="TableBodyText"/>
            </w:pPr>
            <w:r>
              <w:t xml:space="preserve">Select to apply the </w:t>
            </w:r>
            <w:r>
              <w:rPr>
                <w:rStyle w:val="InlineCode"/>
              </w:rPr>
              <w:t>AND</w:t>
            </w:r>
            <w:r>
              <w:t xml:space="preserve"> operation between filter rows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Any</w:t>
            </w:r>
          </w:p>
        </w:tc>
        <w:tc>
          <w:tcPr>
            <w:tcBorders>
              <w:left w:val="nil"/>
              <w:right w:val="nil"/>
            </w:tcBorders>
          </w:tcPr>
          <w:p>
            <w:pPr>
              <w:pStyle w:val="TableBodyText"/>
            </w:pPr>
            <w:r>
              <w:t xml:space="preserve">Select to apply the </w:t>
            </w:r>
            <w:r>
              <w:rPr>
                <w:rStyle w:val="InlineCode"/>
              </w:rPr>
              <w:t>OR</w:t>
            </w:r>
            <w:r>
              <w:t xml:space="preserve"> operation between filter rows</w:t>
            </w:r>
          </w:p>
        </w:tc>
      </w:tr>
    </w:tbl>
    <w:p>
      <w:pPr>
        <w:pStyle w:val="BodyText"/>
        <w:spacing w:before="240"/>
      </w:pPr>
      <w:r>
        <w:t xml:space="preserve">By default, </w:t>
      </w:r>
      <w:r>
        <w:rPr>
          <w:rStyle w:val="InlineUI"/>
        </w:rPr>
        <w:t>All</w:t>
      </w:r>
      <w:r>
        <w:t xml:space="preserve"> is selected.</w:t>
      </w:r>
    </w:p>
    <w:p>
      <w:pPr>
        <w:pStyle w:val="BodyText"/>
        <w:pBdr>
          <w:top w:val="single" w:sz="8" w:space="2" w:color="D3D3D3"/>
          <w:bottom w:val="single" w:sz="8" w:space="2" w:color="D3D3D3"/>
        </w:pBdr>
        <w:ind w:left="0"/>
      </w:pPr>
      <w:r>
        <w:rPr>
          <w:rStyle w:val="NoteLeadernote"/>
        </w:rPr>
        <w:t>Note</w:t>
        <w:tab/>
      </w:r>
      <w:r>
        <w:t>The partition filter is considered a supplemental field. The partition filter is combined with filters containing other fields using the AND operator. However, you can select the OR operator to combine filters with non partition fields.</w:t>
      </w:r>
    </w:p>
    <w:p>
      <w:pPr>
        <w:pStyle w:val="BodyText"/>
        <w:numPr>
          <w:numId w:val="29"/>
        </w:numPr>
      </w:pPr>
      <w:r>
        <w:t xml:space="preserve">Click </w:t>
      </w:r>
      <w:r>
        <w:rPr>
          <w:rStyle w:val="InlineUI"/>
        </w:rPr>
        <w:t>SAVE QUERY</w:t>
      </w:r>
      <w:r>
        <w:t xml:space="preserve"> and give a name and description.</w:t>
      </w:r>
    </w:p>
    <w:p>
      <w:pPr>
        <w:pStyle w:val="BodyText"/>
        <w:numPr>
          <w:numId w:val="29"/>
        </w:numPr>
      </w:pPr>
      <w:r>
        <w:t xml:space="preserve">Select the query from the </w:t>
      </w:r>
      <w:r>
        <w:rPr>
          <w:rStyle w:val="InlineUI"/>
        </w:rPr>
        <w:t>Choose Saved Query</w:t>
      </w:r>
      <w:r>
        <w:t xml:space="preserve"> drop-down list to run the query.</w:t>
      </w:r>
    </w:p>
    <w:p>
      <w:pPr>
        <w:pStyle w:val="SectionHeading6"/>
      </w:pPr>
      <w:r>
        <w:t xml:space="preserve">Example: </w:t>
      </w:r>
      <w:r>
        <w:t>Search for a Group of Hosts that Have a Common String in Their Names</w:t>
      </w:r>
    </w:p>
    <w:p>
      <w:pPr>
        <w:pStyle w:val="BodyText"/>
      </w:pPr>
      <w:r>
        <w:t>Assume that you have several hosts that have a host with the following name: w1-stvc-205-prod3, and another host that is called w1-stvc-206-prod5.</w:t>
      </w:r>
    </w:p>
    <w:p>
      <w:pPr>
        <w:pStyle w:val="BodyText"/>
      </w:pPr>
      <w:r>
        <w:t>To find all logs for both hosts, create the following query.</w:t>
      </w:r>
    </w:p>
    <w:p>
      <w:pPr>
        <w:pStyle w:val="BodyText"/>
        <w:numPr>
          <w:numId w:val="30"/>
        </w:numPr>
      </w:pPr>
      <w:r>
        <w:t>Leave the search text box empty.</w:t>
      </w:r>
    </w:p>
    <w:p>
      <w:pPr>
        <w:pStyle w:val="BodyText"/>
        <w:numPr>
          <w:numId w:val="30"/>
        </w:numPr>
      </w:pPr>
      <w:r>
        <w:t>Define the query by performing steps 3 to 6.</w:t>
      </w:r>
    </w:p>
    <w:p>
      <w:pPr>
        <w:pStyle w:val="BodyText"/>
        <w:numPr>
          <w:numId w:val="30"/>
        </w:numPr>
      </w:pPr>
      <w:r>
        <w:t xml:space="preserve">Select </w:t>
      </w:r>
      <w:r>
        <w:rPr>
          <w:rStyle w:val="InlineUI"/>
        </w:rPr>
        <w:t>hostname</w:t>
      </w:r>
      <w:r>
        <w:t xml:space="preserve"> from the field drop-down menu.</w:t>
      </w:r>
    </w:p>
    <w:p>
      <w:pPr>
        <w:pStyle w:val="BodyText"/>
        <w:numPr>
          <w:numId w:val="30"/>
        </w:numPr>
      </w:pPr>
      <w:r>
        <w:t xml:space="preserve">Select </w:t>
      </w:r>
      <w:r>
        <w:rPr>
          <w:rStyle w:val="InlineUI"/>
        </w:rPr>
        <w:t>Starts With</w:t>
      </w:r>
      <w:r>
        <w:t xml:space="preserve"> from the operator drop-down menu.</w:t>
      </w:r>
    </w:p>
    <w:p>
      <w:pPr>
        <w:pStyle w:val="BodyText"/>
        <w:numPr>
          <w:numId w:val="30"/>
        </w:numPr>
      </w:pPr>
      <w:r>
        <w:t xml:space="preserve">Type in the value </w:t>
      </w:r>
      <w:r>
        <w:rPr>
          <w:rStyle w:val="InlineUI"/>
        </w:rPr>
        <w:t>w1-stvc</w:t>
      </w:r>
      <w:r>
        <w:t xml:space="preserve"> text box. Alternatively, you can use the contains operator, but then you must use a glob in the search value. In this example, you must type w1-stvc-* in the value text box.</w:t>
      </w:r>
    </w:p>
    <w:p>
      <w:pPr>
        <w:pStyle w:val="BodyText"/>
        <w:numPr>
          <w:numId w:val="30"/>
        </w:numPr>
      </w:pPr>
      <w:r>
        <w:t xml:space="preserve">Click </w:t>
      </w:r>
      <w:r>
        <w:rPr>
          <w:rStyle w:val="InlineUI"/>
        </w:rPr>
        <w:t>SAVE QUERY</w:t>
      </w:r>
      <w:r>
        <w:t>. Give a name and description.</w:t>
      </w:r>
    </w:p>
    <w:p>
      <w:pPr>
        <w:pStyle w:val="BodyText"/>
        <w:numPr>
          <w:numId w:val="30"/>
        </w:numPr>
      </w:pPr>
      <w:r>
        <w:t xml:space="preserve">Select the saved query from the </w:t>
      </w:r>
      <w:r>
        <w:rPr>
          <w:rStyle w:val="InlineUI"/>
        </w:rPr>
        <w:t>Choose Saved Query</w:t>
      </w:r>
      <w:r>
        <w:t xml:space="preserve"> drop-down list.</w:t>
      </w:r>
    </w:p>
    <w:p>
      <w:pPr>
        <w:pStyle w:val="Heading5"/>
      </w:pPr>
      <w:r>
        <w:t>Examples of Search Queries</w:t>
      </w:r>
    </w:p>
    <w:p>
      <w:pPr>
        <w:pStyle w:val="BodyText"/>
      </w:pPr>
      <w:r>
        <w:t xml:space="preserve">You can use these examples when building your queries in the </w:t>
      </w:r>
      <w:r>
        <w:rPr>
          <w:rStyle w:val="InlineUI"/>
        </w:rPr>
        <w:t>Infrastructure Operations &gt; Analyze</w:t>
      </w:r>
      <w:r>
        <w:t xml:space="preserve"> page of </w:t>
      </w:r>
      <w:r>
        <w:t>VCF Operations</w:t>
      </w:r>
      <w:r>
        <w:t>.</w:t>
      </w:r>
    </w:p>
    <w:p>
      <w:pPr>
        <w:pStyle w:val="BodyText"/>
        <w:pBdr>
          <w:top w:val="single" w:sz="8" w:space="2" w:color="D3D3D3"/>
          <w:bottom w:val="single" w:sz="8" w:space="2" w:color="D3D3D3"/>
        </w:pBdr>
      </w:pPr>
      <w:r>
        <w:rPr>
          <w:rStyle w:val="NoteLeadernote"/>
        </w:rPr>
        <w:t>Note</w:t>
        <w:tab/>
      </w:r>
      <w:r>
        <w:t>VCF Operations</w:t>
      </w:r>
      <w:r>
        <w:t xml:space="preserve"> indexes complete alphanumeric, hyphen, and underscore characters</w:t>
      </w:r>
    </w:p>
    <w:p>
      <w:pPr>
        <w:pStyle w:val="SectionHeading6"/>
      </w:pPr>
      <w:r>
        <w:t xml:space="preserve">Example: </w:t>
      </w:r>
      <w:r>
        <w:t>Query for all heartbeat events reported by the ESX/ESXi hostd process yesterday between 9-10am</w:t>
      </w:r>
    </w:p>
    <w:p>
      <w:pPr>
        <w:pStyle w:val="BodyText"/>
      </w:pPr>
      <w:r>
        <w:t>To query for all heartbeat events reported by the ESX/ESXi hostd process:</w:t>
      </w:r>
    </w:p>
    <w:p>
      <w:pPr>
        <w:pStyle w:val="BodyText"/>
        <w:numPr>
          <w:numId w:val="31"/>
        </w:numPr>
      </w:pPr>
      <w:r>
        <w:t xml:space="preserve">In the search text box, type </w:t>
      </w:r>
      <w:r>
        <w:t>heartbeat*</w:t>
      </w:r>
      <w:r>
        <w:t>.</w:t>
      </w:r>
    </w:p>
    <w:p>
      <w:pPr>
        <w:pStyle w:val="BodyText"/>
        <w:numPr>
          <w:numId w:val="31"/>
        </w:numPr>
      </w:pPr>
      <w:r>
        <w:t>Define a filter.</w:t>
      </w:r>
    </w:p>
    <w:p>
      <w:pPr>
        <w:pStyle w:val="BodyText"/>
        <w:numPr>
          <w:ilvl w:val="1"/>
          <w:numId w:val="31"/>
        </w:numPr>
      </w:pPr>
      <w:r>
        <w:t xml:space="preserve">Select </w:t>
      </w:r>
      <w:r>
        <w:rPr>
          <w:rStyle w:val="InlineUI"/>
        </w:rPr>
        <w:t>appname</w:t>
      </w:r>
      <w:r>
        <w:t xml:space="preserve"> from the first drop-down menu.</w:t>
      </w:r>
    </w:p>
    <w:p>
      <w:pPr>
        <w:pStyle w:val="BodyText"/>
        <w:numPr>
          <w:ilvl w:val="1"/>
          <w:numId w:val="31"/>
        </w:numPr>
      </w:pPr>
      <w:r>
        <w:t xml:space="preserve">Select </w:t>
      </w:r>
      <w:r>
        <w:rPr>
          <w:rStyle w:val="InlineUI"/>
        </w:rPr>
        <w:t>contains</w:t>
      </w:r>
      <w:r>
        <w:t xml:space="preserve"> from the second drop-down menu.</w:t>
      </w:r>
    </w:p>
    <w:p>
      <w:pPr>
        <w:pStyle w:val="BodyText"/>
        <w:numPr>
          <w:ilvl w:val="1"/>
          <w:numId w:val="31"/>
        </w:numPr>
      </w:pPr>
      <w:r>
        <w:t xml:space="preserve">Type </w:t>
      </w:r>
      <w:r>
        <w:t>hostd</w:t>
      </w:r>
      <w:r>
        <w:t xml:space="preserve"> in the value text box.</w:t>
      </w:r>
    </w:p>
    <w:p>
      <w:pPr>
        <w:pStyle w:val="BodyText"/>
        <w:numPr>
          <w:numId w:val="31"/>
        </w:numPr>
      </w:pPr>
      <w:r>
        <w:t>Define the time range.</w:t>
      </w:r>
    </w:p>
    <w:p>
      <w:pPr>
        <w:pStyle w:val="BodyText"/>
        <w:numPr>
          <w:ilvl w:val="1"/>
          <w:numId w:val="31"/>
        </w:numPr>
      </w:pPr>
      <w:r>
        <w:t xml:space="preserve">In the </w:t>
      </w:r>
      <w:r>
        <w:rPr>
          <w:rStyle w:val="InlineUI"/>
        </w:rPr>
        <w:t>Time Range</w:t>
      </w:r>
      <w:r>
        <w:t xml:space="preserve"> drop-down menu select </w:t>
      </w:r>
      <w:r>
        <w:rPr>
          <w:rStyle w:val="InlineUI"/>
        </w:rPr>
        <w:t>Custom</w:t>
      </w:r>
      <w:r>
        <w:t>.</w:t>
      </w:r>
    </w:p>
    <w:p>
      <w:pPr>
        <w:pStyle w:val="BodyText"/>
        <w:numPr>
          <w:ilvl w:val="1"/>
          <w:numId w:val="31"/>
        </w:numPr>
      </w:pPr>
      <w:r>
        <w:t>In the first text box, enter yesterday's date and 9am.</w:t>
      </w:r>
    </w:p>
    <w:p>
      <w:pPr>
        <w:pStyle w:val="BodyText"/>
        <w:numPr>
          <w:ilvl w:val="1"/>
          <w:numId w:val="31"/>
        </w:numPr>
      </w:pPr>
      <w:r>
        <w:t>In the second text box, enter yesterday's date and 10am.</w:t>
      </w:r>
    </w:p>
    <w:p>
      <w:pPr>
        <w:pStyle w:val="BodyText"/>
        <w:numPr>
          <w:numId w:val="31"/>
        </w:numPr>
      </w:pPr>
      <w:r>
        <w:t>Save the query and run it.</w:t>
      </w:r>
    </w:p>
    <w:p>
      <w:pPr>
        <w:pStyle w:val="SectionHeading6"/>
      </w:pPr>
      <w:r>
        <w:t xml:space="preserve">Example: </w:t>
      </w:r>
      <w:r>
        <w:t>Search for a Group of Hosts that Have a Common String in Their Names</w:t>
      </w:r>
    </w:p>
    <w:p>
      <w:pPr>
        <w:pStyle w:val="BodyText"/>
      </w:pPr>
      <w:r>
        <w:t>Assume that you have several ESX hosts with similar hostnames, for example one with the following name: w1-stvc-205-prod3, and another with the following name: w1-stvc-206-prod5.</w:t>
      </w:r>
    </w:p>
    <w:p>
      <w:pPr>
        <w:pStyle w:val="BodyText"/>
      </w:pPr>
      <w:r>
        <w:t>To find all logs for both ESX hosts, create the following query.</w:t>
      </w:r>
    </w:p>
    <w:p>
      <w:pPr>
        <w:pStyle w:val="BodyText"/>
        <w:numPr>
          <w:numId w:val="32"/>
        </w:numPr>
      </w:pPr>
      <w:r>
        <w:t>Leave the search text box empty.</w:t>
      </w:r>
    </w:p>
    <w:p>
      <w:pPr>
        <w:pStyle w:val="BodyText"/>
        <w:numPr>
          <w:numId w:val="32"/>
        </w:numPr>
      </w:pPr>
      <w:r>
        <w:t>Define the filter.</w:t>
      </w:r>
    </w:p>
    <w:p>
      <w:pPr>
        <w:pStyle w:val="BodyText"/>
        <w:numPr>
          <w:ilvl w:val="1"/>
          <w:numId w:val="32"/>
        </w:numPr>
      </w:pPr>
      <w:r>
        <w:t xml:space="preserve">Select </w:t>
      </w:r>
      <w:r>
        <w:rPr>
          <w:rStyle w:val="InlineUI"/>
        </w:rPr>
        <w:t>hostname</w:t>
      </w:r>
      <w:r>
        <w:t xml:space="preserve"> from the field drop-down menu.</w:t>
      </w:r>
    </w:p>
    <w:p>
      <w:pPr>
        <w:pStyle w:val="BodyText"/>
        <w:numPr>
          <w:ilvl w:val="1"/>
          <w:numId w:val="32"/>
        </w:numPr>
      </w:pPr>
      <w:r>
        <w:t xml:space="preserve">Select </w:t>
      </w:r>
      <w:r>
        <w:rPr>
          <w:rStyle w:val="InlineUI"/>
        </w:rPr>
        <w:t>starts with</w:t>
      </w:r>
      <w:r>
        <w:t xml:space="preserve"> from the operator drop-down menu.</w:t>
      </w:r>
    </w:p>
    <w:p>
      <w:pPr>
        <w:pStyle w:val="BodyText"/>
        <w:numPr>
          <w:ilvl w:val="1"/>
          <w:numId w:val="32"/>
        </w:numPr>
      </w:pPr>
      <w:r>
        <w:t>Type</w:t>
      </w:r>
      <w:r>
        <w:t>w1-stvc</w:t>
      </w:r>
      <w:r>
        <w:t xml:space="preserve"> in the value text box.</w:t>
      </w:r>
    </w:p>
    <w:p>
      <w:pPr>
        <w:pStyle w:val="BodyText"/>
        <w:ind w:left="480"/>
      </w:pPr>
      <w:r>
        <w:t xml:space="preserve">Alternatively, you can use the </w:t>
      </w:r>
      <w:r>
        <w:rPr>
          <w:rStyle w:val="InlineUI"/>
        </w:rPr>
        <w:t>contains</w:t>
      </w:r>
      <w:r>
        <w:t xml:space="preserve"> operator, but then you must use a glob in the search value. In this example, you must type </w:t>
      </w:r>
      <w:r>
        <w:t>w1-stvc-*</w:t>
      </w:r>
      <w:r>
        <w:t xml:space="preserve"> in the value text box.</w:t>
      </w:r>
    </w:p>
    <w:p>
      <w:pPr>
        <w:pStyle w:val="BodyText"/>
        <w:numPr>
          <w:numId w:val="32"/>
        </w:numPr>
      </w:pPr>
      <w:r>
        <w:t>Save the query and run it.</w:t>
      </w:r>
    </w:p>
    <w:p>
      <w:pPr>
        <w:pStyle w:val="SectionHeading6"/>
      </w:pPr>
      <w:r>
        <w:t xml:space="preserve">Example: </w:t>
      </w:r>
      <w:r>
        <w:t>Query for all errors reported by vCenter tasks, events, and alarms</w:t>
      </w:r>
    </w:p>
    <w:p>
      <w:pPr>
        <w:pStyle w:val="BodyText"/>
      </w:pPr>
      <w:r>
        <w:t>To query for all errors reported by vCenter tasks, events, and alarms:</w:t>
      </w:r>
    </w:p>
    <w:p>
      <w:pPr>
        <w:pStyle w:val="BodyText"/>
        <w:numPr>
          <w:numId w:val="33"/>
        </w:numPr>
      </w:pPr>
      <w:r>
        <w:t xml:space="preserve">In the search text box, type </w:t>
      </w:r>
      <w:r>
        <w:t>error</w:t>
      </w:r>
      <w:r>
        <w:t>.</w:t>
      </w:r>
    </w:p>
    <w:p>
      <w:pPr>
        <w:pStyle w:val="BodyText"/>
        <w:numPr>
          <w:numId w:val="33"/>
        </w:numPr>
      </w:pPr>
      <w:r>
        <w:t>Define a filter.</w:t>
      </w:r>
    </w:p>
    <w:p>
      <w:pPr>
        <w:pStyle w:val="BodyText"/>
        <w:numPr>
          <w:ilvl w:val="1"/>
          <w:numId w:val="33"/>
        </w:numPr>
      </w:pPr>
      <w:r>
        <w:t xml:space="preserve">Select </w:t>
      </w:r>
      <w:r>
        <w:rPr>
          <w:rStyle w:val="InlineUI"/>
        </w:rPr>
        <w:t>vc_event_type</w:t>
      </w:r>
      <w:r>
        <w:t xml:space="preserve"> from the first drop-down menu.</w:t>
      </w:r>
    </w:p>
    <w:p>
      <w:pPr>
        <w:pStyle w:val="BodyText"/>
        <w:numPr>
          <w:ilvl w:val="1"/>
          <w:numId w:val="33"/>
        </w:numPr>
      </w:pPr>
      <w:r>
        <w:t xml:space="preserve">Select the </w:t>
      </w:r>
      <w:r>
        <w:rPr>
          <w:rStyle w:val="InlineUI"/>
        </w:rPr>
        <w:t>exists</w:t>
      </w:r>
      <w:r>
        <w:t xml:space="preserve"> operator from the second drop-down menu.</w:t>
      </w:r>
    </w:p>
    <w:p>
      <w:pPr>
        <w:pStyle w:val="BodyText"/>
        <w:numPr>
          <w:numId w:val="33"/>
        </w:numPr>
      </w:pPr>
      <w:r>
        <w:t>Save the query and run it.</w:t>
      </w:r>
    </w:p>
    <w:p>
      <w:pPr>
        <w:pStyle w:val="Heading5"/>
      </w:pPr>
      <w:r>
        <w:t>Examples of Regular Expressions</w:t>
      </w:r>
    </w:p>
    <w:p>
      <w:pPr>
        <w:pStyle w:val="BodyText"/>
      </w:pPr>
      <w:r>
        <w:t>You can type regular expressions in text boxes for field values to extract fields from log events.</w:t>
      </w:r>
    </w:p>
    <w:p>
      <w:pPr>
        <w:pStyle w:val="BodyText"/>
      </w:pPr>
      <w:r>
        <w:t>The expressions you type must use the Java regular expressions syntax.</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Additional Examples of Regular Expressions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26"/>
        <w:gridCol w:w="69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Regular Expression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[xyz]</w:t>
            </w:r>
          </w:p>
        </w:tc>
        <w:tc>
          <w:tcPr>
            <w:tcBorders>
              <w:left w:val="nil"/>
              <w:right w:val="nil"/>
            </w:tcBorders>
          </w:tcPr>
          <w:p>
            <w:pPr>
              <w:pStyle w:val="TableBodyText"/>
            </w:pPr>
            <w:r>
              <w:t>x, y, or z</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(info|warn|error)</w:t>
            </w:r>
          </w:p>
        </w:tc>
        <w:tc>
          <w:tcPr>
            <w:tcBorders>
              <w:left w:val="nil"/>
              <w:right w:val="nil"/>
            </w:tcBorders>
          </w:tcPr>
          <w:p>
            <w:pPr>
              <w:pStyle w:val="TableBodyText"/>
            </w:pPr>
            <w:r>
              <w:t>info, warn, or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w:t>
            </w:r>
          </w:p>
        </w:tc>
        <w:tc>
          <w:tcPr>
            <w:tcBorders>
              <w:left w:val="nil"/>
              <w:right w:val="nil"/>
            </w:tcBorders>
          </w:tcPr>
          <w:p>
            <w:pPr>
              <w:pStyle w:val="TableBodyText"/>
            </w:pPr>
            <w:r>
              <w:t>A lowercase letter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w:t>
            </w:r>
          </w:p>
        </w:tc>
        <w:tc>
          <w:tcPr>
            <w:tcBorders>
              <w:left w:val="nil"/>
              <w:right w:val="nil"/>
            </w:tcBorders>
          </w:tcPr>
          <w:p>
            <w:pPr>
              <w:pStyle w:val="TableBodyText"/>
            </w:pPr>
            <w:r>
              <w:t>Not a lowercase letter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w:t>
            </w:r>
          </w:p>
        </w:tc>
        <w:tc>
          <w:tcPr>
            <w:tcBorders>
              <w:left w:val="nil"/>
              <w:right w:val="nil"/>
            </w:tcBorders>
          </w:tcPr>
          <w:p>
            <w:pPr>
              <w:pStyle w:val="TableBodyText"/>
            </w:pPr>
            <w:r>
              <w:t>One or more lowercase letters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w:t>
            </w:r>
          </w:p>
        </w:tc>
        <w:tc>
          <w:tcPr>
            <w:tcBorders>
              <w:left w:val="nil"/>
              <w:right w:val="nil"/>
            </w:tcBorders>
          </w:tcPr>
          <w:p>
            <w:pPr>
              <w:pStyle w:val="TableBodyText"/>
            </w:pPr>
            <w:r>
              <w:t>Zero or more lowercase letters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w:t>
            </w:r>
          </w:p>
        </w:tc>
        <w:tc>
          <w:tcPr>
            <w:tcBorders>
              <w:left w:val="nil"/>
              <w:right w:val="nil"/>
            </w:tcBorders>
          </w:tcPr>
          <w:p>
            <w:pPr>
              <w:pStyle w:val="TableBodyText"/>
            </w:pPr>
            <w:r>
              <w:t>Zero or one lowercase letter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 {3}</w:t>
            </w:r>
          </w:p>
        </w:tc>
        <w:tc>
          <w:tcPr>
            <w:tcBorders>
              <w:left w:val="nil"/>
              <w:right w:val="nil"/>
            </w:tcBorders>
          </w:tcPr>
          <w:p>
            <w:pPr>
              <w:pStyle w:val="TableBodyText"/>
            </w:pPr>
            <w:r>
              <w:t>Exactly three lowercase letters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w:t>
            </w:r>
          </w:p>
        </w:tc>
        <w:tc>
          <w:tcPr>
            <w:tcBorders>
              <w:left w:val="nil"/>
              <w:right w:val="nil"/>
            </w:tcBorders>
          </w:tcPr>
          <w:p>
            <w:pPr>
              <w:pStyle w:val="TableBodyText"/>
            </w:pPr>
            <w:r>
              <w:t>A digit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w:t>
            </w:r>
          </w:p>
        </w:tc>
        <w:tc>
          <w:tcPr>
            <w:tcBorders>
              <w:left w:val="nil"/>
              <w:right w:val="nil"/>
            </w:tcBorders>
          </w:tcPr>
          <w:p>
            <w:pPr>
              <w:pStyle w:val="TableBodyText"/>
            </w:pPr>
            <w:r>
              <w:t>One or more digits followed by end of message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[0-5]</w:t>
            </w:r>
          </w:p>
        </w:tc>
        <w:tc>
          <w:tcPr>
            <w:tcBorders>
              <w:left w:val="nil"/>
              <w:right w:val="nil"/>
            </w:tcBorders>
          </w:tcPr>
          <w:p>
            <w:pPr>
              <w:pStyle w:val="TableBodyText"/>
            </w:pPr>
            <w:r>
              <w:t>A number from 0 to 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w:t>
            </w:r>
          </w:p>
        </w:tc>
        <w:tc>
          <w:tcPr>
            <w:tcBorders>
              <w:left w:val="nil"/>
              <w:right w:val="nil"/>
            </w:tcBorders>
          </w:tcPr>
          <w:p>
            <w:pPr>
              <w:pStyle w:val="TableBodyText"/>
            </w:pPr>
            <w:r>
              <w:t>A word character (letter, digit, or underscore)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t>
            </w:r>
          </w:p>
        </w:tc>
        <w:tc>
          <w:tcPr>
            <w:tcBorders>
              <w:left w:val="nil"/>
              <w:right w:val="nil"/>
            </w:tcBorders>
          </w:tcPr>
          <w:p>
            <w:pPr>
              <w:pStyle w:val="TableBodyText"/>
            </w:pPr>
            <w:r>
              <w:t>White 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t>
            </w:r>
          </w:p>
        </w:tc>
        <w:tc>
          <w:tcPr>
            <w:tcBorders>
              <w:left w:val="nil"/>
              <w:right w:val="nil"/>
            </w:tcBorders>
          </w:tcPr>
          <w:p>
            <w:pPr>
              <w:pStyle w:val="TableBodyText"/>
            </w:pPr>
            <w:r>
              <w:t>Any character except white 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[a-zA-Z0-9]+</w:t>
            </w:r>
          </w:p>
        </w:tc>
        <w:tc>
          <w:tcPr>
            <w:tcBorders>
              <w:left w:val="nil"/>
              <w:right w:val="nil"/>
            </w:tcBorders>
          </w:tcPr>
          <w:p>
            <w:pPr>
              <w:pStyle w:val="TableBodyText"/>
            </w:pPr>
            <w:r>
              <w:t>One or more alphanumeric characters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 {2,} [0-9] {3,5})</w:t>
            </w:r>
          </w:p>
        </w:tc>
        <w:tc>
          <w:tcPr>
            <w:tcBorders>
              <w:left w:val="nil"/>
              <w:right w:val="nil"/>
            </w:tcBorders>
          </w:tcPr>
          <w:p>
            <w:pPr>
              <w:pStyle w:val="TableBodyText"/>
            </w:pPr>
            <w:r>
              <w:t>Two or more letters followed by three to five numbers</w:t>
            </w:r>
          </w:p>
        </w:tc>
      </w:tr>
    </w:tbl>
    <w:p>
      <w:pPr>
        <w:pStyle w:val="Heading5"/>
        <w:spacing w:before="120"/>
      </w:pPr>
      <w:r>
        <w:t>Compare Logs</w:t>
      </w:r>
    </w:p>
    <w:p>
      <w:pPr>
        <w:pStyle w:val="BodyText"/>
      </w:pPr>
      <w:r>
        <w:t>While troubleshooting, you might have to analyze logs from multiple systems that interact with each other. For a specific time interval, you can run multiple queries with different query criteria to search for logs from various systems, and compare the logs. You can also compare logs that are based on the same query criteria but ingested at different times.</w:t>
      </w:r>
    </w:p>
    <w:p>
      <w:pPr>
        <w:pStyle w:val="BodyText"/>
      </w:pPr>
      <w:r>
        <w:rPr>
          <w:rStyle w:val="Strong"/>
        </w:rPr>
        <w:t>Procedure</w:t>
      </w:r>
    </w:p>
    <w:p>
      <w:pPr>
        <w:pStyle w:val="BodyText"/>
        <w:numPr>
          <w:numId w:val="34"/>
        </w:numPr>
      </w:pPr>
      <w:r>
        <w:t xml:space="preserve">Go to </w:t>
      </w:r>
      <w:r>
        <w:rPr>
          <w:rStyle w:val="InlineUI"/>
        </w:rPr>
        <w:t>COMPARE LOGS</w:t>
      </w:r>
      <w:r>
        <w:t xml:space="preserve"> in the </w:t>
      </w:r>
      <w:r>
        <w:rPr>
          <w:rStyle w:val="InlineUI"/>
        </w:rPr>
        <w:t>Logs</w:t>
      </w:r>
      <w:r>
        <w:t xml:space="preserve"> tab in the </w:t>
      </w:r>
      <w:r>
        <w:rPr>
          <w:rStyle w:val="InlineUI"/>
        </w:rPr>
        <w:t>Infrastructure Operations</w:t>
      </w:r>
      <w:r>
        <w:rPr>
          <w:rStyle w:val="InlineUI"/>
        </w:rPr>
        <w:t xml:space="preserve"> &gt; </w:t>
      </w:r>
      <w:r>
        <w:rPr>
          <w:rStyle w:val="InlineUI"/>
        </w:rPr>
        <w:t>Analyze</w:t>
      </w:r>
      <w:r>
        <w:t xml:space="preserve"> page of </w:t>
      </w:r>
      <w:r>
        <w:t>VCF Operations</w:t>
      </w:r>
      <w:r>
        <w:t>.</w:t>
      </w:r>
    </w:p>
    <w:p>
      <w:pPr>
        <w:pStyle w:val="BodyText"/>
        <w:pBdr>
          <w:top w:val="single" w:sz="8" w:space="2" w:color="D3D3D3"/>
        </w:pBdr>
        <w:ind w:left="480"/>
      </w:pPr>
      <w:r>
        <w:t>Tip</w:t>
        <w:tab/>
      </w:r>
      <w:r>
        <w:t xml:space="preserve">You can also compare logs from the </w:t>
      </w:r>
      <w:r>
        <w:rPr>
          <w:rStyle w:val="InlineUI"/>
        </w:rPr>
        <w:t>Analyze Logs</w:t>
      </w:r>
      <w:r>
        <w:t xml:space="preserve"> tab:</w:t>
      </w:r>
    </w:p>
    <w:p>
      <w:pPr>
        <w:pStyle w:val="BodyText"/>
        <w:numPr>
          <w:ilvl w:val="1"/>
          <w:numId w:val="34"/>
        </w:numPr>
        <w:pBdr>
          <w:bottom w:val="single" w:sz="8" w:space="2" w:color="D3D3D3"/>
        </w:pBdr>
      </w:pPr>
      <w:r>
        <w:t>Do either of the following:</w:t>
      </w:r>
    </w:p>
    <w:p>
      <w:pPr>
        <w:pStyle w:val="BodyText"/>
        <w:numPr>
          <w:ilvl w:val="2"/>
          <w:numId w:val="34"/>
        </w:numPr>
      </w:pPr>
      <w:r>
        <w:t>Enter a query and in the corner of the page, and click the compare icon. Add more queries to compare logs.</w:t>
      </w:r>
    </w:p>
    <w:p>
      <w:pPr>
        <w:pStyle w:val="BodyText"/>
        <w:numPr>
          <w:ilvl w:val="2"/>
          <w:numId w:val="34"/>
        </w:numPr>
      </w:pPr>
      <w:r>
        <w:t xml:space="preserve">Enter a query and in the upper-right corner of the page, click the pin icon. Pin multiple queries to the pinboard and then click </w:t>
      </w:r>
      <w:r>
        <w:rPr>
          <w:rStyle w:val="InlineUI"/>
        </w:rPr>
        <w:t>Compare Logs</w:t>
      </w:r>
      <w:r>
        <w:t>.</w:t>
      </w:r>
    </w:p>
    <w:p>
      <w:pPr>
        <w:pStyle w:val="BodyText"/>
        <w:numPr>
          <w:numId w:val="34"/>
        </w:numPr>
      </w:pPr>
      <w:r>
        <w:t xml:space="preserve">In the </w:t>
      </w:r>
      <w:r>
        <w:rPr>
          <w:rStyle w:val="InlineUI"/>
        </w:rPr>
        <w:t>COMPARE LOGS</w:t>
      </w:r>
      <w:r>
        <w:t xml:space="preserve"> tab, enter details for the first query.</w:t>
      </w:r>
    </w:p>
    <w:p>
      <w:pPr>
        <w:pStyle w:val="BodyText"/>
        <w:numPr>
          <w:ilvl w:val="1"/>
          <w:numId w:val="34"/>
        </w:numPr>
      </w:pPr>
      <w:r>
        <w:t>Enter a name for the query.</w:t>
      </w:r>
    </w:p>
    <w:p>
      <w:pPr>
        <w:pStyle w:val="BodyText"/>
        <w:numPr>
          <w:ilvl w:val="1"/>
          <w:numId w:val="34"/>
        </w:numPr>
      </w:pPr>
      <w:r>
        <w:t xml:space="preserve">Select the indexed partition on which you want to run the query and click </w:t>
      </w:r>
      <w:r>
        <w:rPr>
          <w:rStyle w:val="InlineUI"/>
        </w:rPr>
        <w:t>Apply</w:t>
      </w:r>
      <w:r>
        <w:t xml:space="preserve">. If you do not select an indexed partition, </w:t>
      </w:r>
      <w:r>
        <w:t>VCF Operations</w:t>
      </w:r>
      <w:r>
        <w:t xml:space="preserve"> searches for logs in all the indexed partitions.</w:t>
      </w:r>
    </w:p>
    <w:p>
      <w:pPr>
        <w:pStyle w:val="BodyText"/>
        <w:numPr>
          <w:ilvl w:val="1"/>
          <w:numId w:val="34"/>
        </w:numPr>
      </w:pPr>
      <w:r>
        <w:t xml:space="preserve">Enter a start date and time for querying the logs. </w:t>
      </w:r>
      <w:r>
        <w:t>VCF Operations</w:t>
      </w:r>
      <w:r>
        <w:t xml:space="preserve"> uses the start date and time and the duration in the upper-right corner of the page to calculate the time range for the query. When the query runs, it searches for logs within the time range.</w:t>
      </w:r>
    </w:p>
    <w:p>
      <w:pPr>
        <w:pStyle w:val="BodyText"/>
        <w:numPr>
          <w:ilvl w:val="1"/>
          <w:numId w:val="34"/>
        </w:numPr>
      </w:pPr>
      <w:r>
        <w:t>Add one or more filters for more specific query results.</w:t>
      </w:r>
    </w:p>
    <w:p>
      <w:pPr>
        <w:pStyle w:val="BodyText"/>
        <w:numPr>
          <w:numId w:val="34"/>
        </w:numPr>
      </w:pPr>
      <w:r>
        <w:t xml:space="preserve">Click </w:t>
      </w:r>
      <w:r>
        <w:rPr>
          <w:rStyle w:val="InlineUI"/>
        </w:rPr>
        <w:t>Add Query</w:t>
      </w:r>
      <w:r>
        <w:t xml:space="preserve"> to add another query and enter the details described in step 2. You can compare logs for up to four queries.</w:t>
      </w:r>
    </w:p>
    <w:p>
      <w:pPr>
        <w:pStyle w:val="BodyText"/>
        <w:pBdr>
          <w:top w:val="single" w:sz="8" w:space="2" w:color="D3D3D3"/>
          <w:bottom w:val="single" w:sz="8" w:space="2" w:color="D3D3D3"/>
        </w:pBdr>
        <w:ind w:left="480"/>
      </w:pPr>
      <w:r>
        <w:t>Tip</w:t>
        <w:tab/>
      </w:r>
      <w:r>
        <w:t>You can copy an existing query by clicking the copy icon next to the query name.</w:t>
      </w:r>
    </w:p>
    <w:p>
      <w:pPr>
        <w:pStyle w:val="BodyText"/>
        <w:numPr>
          <w:numId w:val="34"/>
        </w:numPr>
      </w:pPr>
      <w:r>
        <w:t xml:space="preserve">In the upper-right corner of the page, enter the common duration for the added queries. </w:t>
      </w:r>
      <w:r>
        <w:t>VCF Operations</w:t>
      </w:r>
      <w:r>
        <w:t xml:space="preserve"> uses the start date and time in a query and the common duration to calculate the time range for the query. When a query runs, it searches for logs within the time range.</w:t>
      </w:r>
    </w:p>
    <w:p>
      <w:pPr>
        <w:pStyle w:val="BodyText"/>
        <w:pBdr>
          <w:top w:val="single" w:sz="8" w:space="2" w:color="D3D3D3"/>
          <w:bottom w:val="single" w:sz="8" w:space="2" w:color="D3D3D3"/>
        </w:pBdr>
        <w:ind w:left="480"/>
      </w:pPr>
      <w:r>
        <w:rPr>
          <w:rStyle w:val="NoteLeadernote"/>
        </w:rPr>
        <w:t>Note</w:t>
        <w:tab/>
      </w:r>
      <w:r>
        <w:t>You can enter a maximum duration of 29 days, 23 hours, and 59 minutes.</w:t>
      </w:r>
    </w:p>
    <w:p>
      <w:pPr>
        <w:pStyle w:val="BodyText"/>
        <w:numPr>
          <w:numId w:val="34"/>
        </w:numPr>
      </w:pPr>
      <w:r>
        <w:t xml:space="preserve">Click </w:t>
      </w:r>
      <w:r>
        <w:rPr>
          <w:rStyle w:val="InlineUI"/>
        </w:rPr>
        <w:t>Compare</w:t>
      </w:r>
      <w:r>
        <w:t>.</w:t>
      </w:r>
    </w:p>
    <w:p>
      <w:pPr>
        <w:pStyle w:val="BodyText"/>
      </w:pPr>
      <w:r>
        <w:rPr>
          <w:rStyle w:val="Strong"/>
        </w:rPr>
        <w:t>Results</w:t>
      </w:r>
    </w:p>
    <w:p>
      <w:pPr>
        <w:pStyle w:val="BodyText"/>
      </w:pPr>
      <w:r>
        <w:t>The log comparison is displayed as a stacked line chart and the log results appear side by side in query tabs under the chart. You can select a query tab on the left side and a query tab on the right side to compare the log results.</w:t>
      </w:r>
    </w:p>
    <w:p>
      <w:pPr>
        <w:pStyle w:val="BodyText"/>
      </w:pPr>
      <w:r>
        <w:t xml:space="preserve">By default, the chart is based on the logs corresponding to the selected query tabs. However, to view the chart for all the queries, in the upper-right corner of the chart, click </w:t>
      </w:r>
      <w:r>
        <w:rPr>
          <w:rStyle w:val="InlineUI"/>
        </w:rPr>
        <w:t>Show All</w:t>
      </w:r>
      <w:r>
        <w:t>.</w:t>
      </w:r>
    </w:p>
    <w:p>
      <w:pPr>
        <w:pStyle w:val="BodyText"/>
      </w:pPr>
      <w:r>
        <w:t>The chart is plotted based on the common time range for the queries. To view the specific time at which a log was ingested, you can hover over the data point in the chart.</w:t>
      </w:r>
    </w:p>
    <w:p>
      <w:pPr>
        <w:pStyle w:val="Heading4"/>
      </w:pPr>
      <w:r>
        <w:t>Information in Log Events</w:t>
      </w:r>
    </w:p>
    <w:p>
      <w:pPr>
        <w:pStyle w:val="BodyText"/>
      </w:pPr>
      <w:r>
        <w:t>VCF Operations</w:t>
      </w:r>
      <w:r>
        <w:t xml:space="preserve"> collects and analyzes all types of machine-generated log data, including application logs, configuration files, messages, performance data and system state dumps.</w:t>
      </w:r>
    </w:p>
    <w:p>
      <w:pPr>
        <w:pStyle w:val="BodyText"/>
      </w:pPr>
      <w:r>
        <w:t xml:space="preserve">You can connect </w:t>
      </w:r>
      <w:r>
        <w:t>VCF Operations</w:t>
      </w:r>
      <w:r>
        <w:t xml:space="preserve"> to everything in your environment, including operating systems, applications, storage, firewalls, network devices for enterprise-wide visibility using log analytics.</w:t>
      </w:r>
    </w:p>
    <w:p>
      <w:pPr>
        <w:pStyle w:val="BodyText"/>
      </w:pPr>
      <w:r>
        <w:t xml:space="preserve">When </w:t>
      </w:r>
      <w:r>
        <w:t>VCF Operations</w:t>
      </w:r>
      <w:r>
        <w:t xml:space="preserve"> is configured and ready to collect logs, there are several ways you can ingest log data including:</w:t>
      </w:r>
    </w:p>
    <w:p>
      <w:pPr>
        <w:pStyle w:val="BodyText"/>
        <w:numPr>
          <w:numId w:val="35"/>
        </w:numPr>
      </w:pPr>
      <w:r>
        <w:t xml:space="preserve">vSphere Integration — </w:t>
      </w:r>
      <w:r>
        <w:t>VCF Operations</w:t>
      </w:r>
      <w:r>
        <w:t xml:space="preserve"> can integrate with vSphere to automatically collect events, tasks and alarms from vCenter and logs from ESX hosts.</w:t>
      </w:r>
    </w:p>
    <w:p>
      <w:pPr>
        <w:pStyle w:val="BodyText"/>
        <w:numPr>
          <w:numId w:val="35"/>
        </w:numPr>
      </w:pPr>
      <w:r>
        <w:t xml:space="preserve">Agents — </w:t>
      </w:r>
      <w:r>
        <w:t>VCF Operations</w:t>
      </w:r>
      <w:r>
        <w:t xml:space="preserve"> has collection agents available to send filelog, windows events and journald generated logs to </w:t>
      </w:r>
      <w:r>
        <w:t>VCF Operations</w:t>
      </w:r>
      <w:r>
        <w:t>.</w:t>
      </w:r>
    </w:p>
    <w:p>
      <w:pPr>
        <w:pStyle w:val="BodyText"/>
        <w:numPr>
          <w:numId w:val="35"/>
        </w:numPr>
      </w:pPr>
      <w:r>
        <w:t xml:space="preserve">Syslog — </w:t>
      </w:r>
      <w:r>
        <w:t>VCF Operations</w:t>
      </w:r>
      <w:r>
        <w:t xml:space="preserve"> can ingest data from any source via syslog. Just set the </w:t>
      </w:r>
      <w:r>
        <w:t>VCF Operations</w:t>
      </w:r>
      <w:r>
        <w:t xml:space="preserve"> server as your syslog destination.</w:t>
      </w:r>
    </w:p>
    <w:p>
      <w:pPr>
        <w:pStyle w:val="BodyText"/>
        <w:numPr>
          <w:numId w:val="35"/>
        </w:numPr>
      </w:pPr>
      <w:r>
        <w:t xml:space="preserve">CFAPI — Events are sent in their original format to </w:t>
      </w:r>
      <w:r>
        <w:t>VCF Operations</w:t>
      </w:r>
      <w:r>
        <w:t xml:space="preserve"> using cfapi. Events sent over cfapi do not have to follow the guidelines of a syslog event and are not modified to comply with the syslog RFC.</w:t>
      </w:r>
    </w:p>
    <w:p>
      <w:pPr>
        <w:pStyle w:val="BodyText"/>
      </w:pPr>
      <w:r>
        <w:t>Each event contains the following information.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07"/>
        <w:gridCol w:w="8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Timestamp</w:t>
            </w:r>
          </w:p>
        </w:tc>
        <w:tc>
          <w:tcPr>
            <w:tcBorders>
              <w:left w:val="nil"/>
              <w:right w:val="nil"/>
            </w:tcBorders>
          </w:tcPr>
          <w:p>
            <w:pPr>
              <w:pStyle w:val="TableBodyText"/>
            </w:pPr>
            <w:r>
              <w:t>The time when the event occurred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Source</w:t>
            </w:r>
          </w:p>
        </w:tc>
        <w:tc>
          <w:tcPr>
            <w:tcBorders>
              <w:left w:val="nil"/>
              <w:right w:val="nil"/>
            </w:tcBorders>
          </w:tcPr>
          <w:p>
            <w:pPr>
              <w:pStyle w:val="TableBodyText"/>
            </w:pPr>
            <w:r>
              <w:t>Where the event originated. This could be the originator of the syslog messages such as an ESX host or a forwarder such as a syslog aggregation.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Text</w:t>
            </w:r>
          </w:p>
        </w:tc>
        <w:tc>
          <w:tcPr>
            <w:tcBorders>
              <w:left w:val="nil"/>
              <w:right w:val="nil"/>
            </w:tcBorders>
          </w:tcPr>
          <w:p>
            <w:pPr>
              <w:pStyle w:val="TableBodyText"/>
            </w:pPr>
            <w:r>
              <w:t>The raw text of the event.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Fields</w:t>
            </w:r>
          </w:p>
        </w:tc>
        <w:tc>
          <w:tcPr>
            <w:tcBorders>
              <w:left w:val="nil"/>
              <w:right w:val="nil"/>
            </w:tcBorders>
          </w:tcPr>
          <w:p>
            <w:pPr>
              <w:pStyle w:val="TableBodyText"/>
            </w:pPr>
            <w:r>
              <w:t>A name-value pair extracted from the event. Fields are delivered to the server as static fields only when an agent uses the CFAPI protocol.</w:t>
            </w:r>
          </w:p>
        </w:tc>
      </w:tr>
    </w:tbl>
    <w:p>
      <w:pPr>
        <w:pStyle w:val="BodyText"/>
        <w:pBdr>
          <w:top w:val="single" w:sz="8" w:space="2" w:color="D3D3D3"/>
          <w:bottom w:val="single" w:sz="8" w:space="2" w:color="D3D3D3"/>
        </w:pBdr>
        <w:spacing w:before="240"/>
      </w:pPr>
      <w:r>
        <w:rPr>
          <w:rStyle w:val="NoteLeadernote"/>
        </w:rPr>
        <w:t>Note</w:t>
        <w:tab/>
      </w:r>
      <w:r>
        <w:t>VCF Operations</w:t>
      </w:r>
      <w:r>
        <w:t xml:space="preserve"> is not responsible for the content of the log messages from the individual component. If you have a question about the log contents, contact the team that generated the log message.</w:t>
      </w:r>
    </w:p>
    <w:p>
      <w:pPr>
        <w:pStyle w:val="Heading5"/>
      </w:pPr>
      <w:r>
        <w:t>Event Types Grouping</w:t>
      </w:r>
    </w:p>
    <w:p>
      <w:pPr>
        <w:pStyle w:val="BodyText"/>
      </w:pPr>
      <w:r>
        <w:t>VCF Operations</w:t>
      </w:r>
      <w:r>
        <w:t xml:space="preserve"> summarizes a large number of individual events into a smaller number of broad event types. </w:t>
      </w:r>
      <w:r>
        <w:t>VCF Operations</w:t>
      </w:r>
      <w:r>
        <w:t xml:space="preserve"> uses machine learning to group similar events together, with each group showing the approximate number of events in the group. Grouping events helps identify the most communicative events and the most quiet ones, both of which are critical for troubleshooting.</w:t>
      </w:r>
    </w:p>
    <w:p>
      <w:pPr>
        <w:pStyle w:val="BodyText"/>
      </w:pPr>
      <w:r>
        <w:t xml:space="preserve">The </w:t>
      </w:r>
      <w:r>
        <w:rPr>
          <w:rStyle w:val="InlineUI"/>
        </w:rPr>
        <w:t>Event Types</w:t>
      </w:r>
      <w:r>
        <w:t xml:space="preserve"> tab in the </w:t>
      </w:r>
      <w:r>
        <w:rPr>
          <w:rStyle w:val="InlineUI"/>
        </w:rPr>
        <w:t>Analyze</w:t>
      </w:r>
      <w:r>
        <w:t xml:space="preserve"> page provides an aggregated view of the events for the given time range of the query. An event in a group is selected as the representative event. You can click the </w:t>
      </w:r>
      <w:r>
        <w:rPr>
          <w:rStyle w:val="InlineUI"/>
        </w:rPr>
        <w:t>Expand</w:t>
      </w:r>
      <w:r>
        <w:t xml:space="preserve"> link under each representative event to view the events in the group.As a result of grouping events, an Event Type is assigned to each event. An appropriate </w:t>
      </w:r>
      <w:r>
        <w:rPr>
          <w:rStyle w:val="InlineVar"/>
        </w:rPr>
        <w:t>event_type</w:t>
      </w:r>
      <w:r>
        <w:t xml:space="preserve"> field is created, which you can further use in regular queries. </w:t>
      </w:r>
      <w:r>
        <w:t>VCF Operations</w:t>
      </w:r>
      <w:r>
        <w:t xml:space="preserve"> does not document the exact mechanism for grouping events. It tries to automatically detect groups of similar events based on the number of common parts that the events have. For example, let us consider the following events:</w:t>
      </w:r>
    </w:p>
    <w:p>
      <w:pPr>
        <w:pStyle w:val="BodyText"/>
        <w:numPr>
          <w:numId w:val="36"/>
        </w:numPr>
      </w:pPr>
      <w:r>
        <w:rPr>
          <w:rStyle w:val="InlineCode"/>
        </w:rPr>
        <w:t>[2019-05-20 06:41:24.291+0000] ["SearchWorker-thread-12999"/10.113.164.150 INFO] [com.company.product.analytics.distributed.LogSearchWorkerService] [Worker fully completed query (token=5f6e5e1faf93e4ce) in 11 msec]</w:t>
      </w:r>
    </w:p>
    <w:p>
      <w:pPr>
        <w:pStyle w:val="BodyText"/>
        <w:numPr>
          <w:numId w:val="36"/>
        </w:numPr>
      </w:pPr>
      <w:r>
        <w:rPr>
          <w:rStyle w:val="InlineCode"/>
        </w:rPr>
        <w:t>[2019-05-20 06:41:24.284+0000] ["SearchWorker-thread-11961"/10.113.164.167 INFO] [com.company.product.analytics.distributed.SearchWorkerService] [Worker fully completed query (token=3b247b2ba6057c47) in 24 msec]</w:t>
      </w:r>
    </w:p>
    <w:p>
      <w:pPr>
        <w:pStyle w:val="BodyText"/>
      </w:pPr>
      <w:r>
        <w:t>These events have eight common parts - timestamp, thread name, host IP, logging level, class name, message text, token number, and duration. Now, let us consider the following events:</w:t>
      </w:r>
    </w:p>
    <w:p>
      <w:pPr>
        <w:pStyle w:val="BodyText"/>
        <w:numPr>
          <w:numId w:val="37"/>
        </w:numPr>
      </w:pPr>
      <w:r>
        <w:rPr>
          <w:rStyle w:val="InlineCode"/>
        </w:rPr>
        <w:t>[2019-05-20 06:41:24.291+0000] ["LogSearchWorker-thread-12999"/10.113.164.150 INFO] [com.vmware.loginsight.analytics.distributed.LogSearchWorkerService] [Worker finished search (wait=59500 token=5f6e5e1faf93e4ce) in 12 msec]</w:t>
      </w:r>
    </w:p>
    <w:p>
      <w:pPr>
        <w:pStyle w:val="BodyText"/>
        <w:numPr>
          <w:numId w:val="37"/>
        </w:numPr>
      </w:pPr>
      <w:r>
        <w:rPr>
          <w:rStyle w:val="InlineCode"/>
        </w:rPr>
        <w:t>[2019-05-20 06:41:20.136+0000] ["AliasStudentStudyPool-thread-1"/192.168.110.24 INFO] [com.vmware.loginsight.analytics.alias.AliasStudent] [looking for alias due to rule DatastoreFromVmFileSystem]</w:t>
      </w:r>
    </w:p>
    <w:p>
      <w:pPr>
        <w:pStyle w:val="BodyText"/>
      </w:pPr>
      <w:r>
        <w:t xml:space="preserve">These events only have three common parts - timestamp, host IP, and logging level.In addition to grouping events together </w:t>
      </w:r>
      <w:r>
        <w:t>VCF Operations</w:t>
      </w:r>
      <w:r>
        <w:t xml:space="preserve"> identifies useful fields in each event of the group, known as smart fields. Each smart field appears within the representative event as a hyperlink with a drop-down menu icon next to it. You can click the icon to view a histogram for the values of the field or to define an extracted field based on the smart field.</w:t>
      </w:r>
    </w:p>
    <w:p>
      <w:pPr>
        <w:pStyle w:val="Heading5"/>
      </w:pPr>
      <w:r>
        <w:t>Analyze Event Trends</w:t>
      </w:r>
    </w:p>
    <w:p>
      <w:pPr>
        <w:pStyle w:val="BodyText"/>
      </w:pPr>
      <w:r>
        <w:t>You can analyze log events for trends and anomalies.</w:t>
      </w:r>
    </w:p>
    <w:p>
      <w:pPr>
        <w:pStyle w:val="BodyText"/>
      </w:pPr>
      <w:r>
        <w:rPr>
          <w:rStyle w:val="Strong"/>
        </w:rPr>
        <w:t>Procedure</w:t>
      </w:r>
    </w:p>
    <w:p>
      <w:pPr>
        <w:pStyle w:val="BodyText"/>
        <w:numPr>
          <w:numId w:val="38"/>
        </w:numPr>
      </w:pPr>
      <w:r>
        <w:t xml:space="preserve">Click </w:t>
      </w:r>
      <w:r>
        <w:rPr>
          <w:rStyle w:val="InlineUI"/>
        </w:rPr>
        <w:t>Infrastructure Operations</w:t>
      </w:r>
      <w:r>
        <w:rPr>
          <w:rStyle w:val="InlineUI"/>
        </w:rPr>
        <w:t xml:space="preserve"> &gt; </w:t>
      </w:r>
      <w:r>
        <w:rPr>
          <w:rStyle w:val="InlineUI"/>
        </w:rPr>
        <w:t>Analyze</w:t>
      </w:r>
      <w:r>
        <w:t>.</w:t>
      </w:r>
    </w:p>
    <w:p>
      <w:pPr>
        <w:pStyle w:val="BodyText"/>
        <w:numPr>
          <w:numId w:val="38"/>
        </w:numPr>
      </w:pPr>
      <w:r>
        <w:t>Construct and run your query by using the search text box and applying filters.</w:t>
      </w:r>
    </w:p>
    <w:p>
      <w:pPr>
        <w:pStyle w:val="BodyText"/>
        <w:numPr>
          <w:numId w:val="38"/>
        </w:numPr>
      </w:pPr>
      <w:r>
        <w:t xml:space="preserve">Click the </w:t>
      </w:r>
      <w:r>
        <w:rPr>
          <w:rStyle w:val="InlineUI"/>
        </w:rPr>
        <w:t>Event Trends</w:t>
      </w:r>
      <w:r>
        <w:t xml:space="preserve"> tab.</w:t>
      </w:r>
    </w:p>
    <w:p>
      <w:pPr>
        <w:pStyle w:val="BodyText"/>
        <w:ind w:left="480"/>
      </w:pPr>
      <w:r>
        <w:t>VCF Operations</w:t>
      </w:r>
      <w:r>
        <w:t xml:space="preserve"> compares your query to the same time period immediately before and displays the results.</w:t>
      </w:r>
    </w:p>
    <w:p>
      <w:pPr>
        <w:pStyle w:val="BodyText"/>
        <w:numPr>
          <w:numId w:val="38"/>
        </w:numPr>
      </w:pPr>
      <w:r>
        <w:t>Select the period and sorting from the drop-down menus.</w:t>
      </w:r>
    </w:p>
    <w:p>
      <w:pPr>
        <w:pStyle w:val="Heading4"/>
      </w:pPr>
      <w:r>
        <w:t>Viewing the Logs for an Object</w:t>
      </w:r>
    </w:p>
    <w:p>
      <w:pPr>
        <w:pStyle w:val="BodyText"/>
      </w:pPr>
      <w:r>
        <w:t xml:space="preserve">When </w:t>
      </w:r>
      <w:r>
        <w:t>VCF Operations</w:t>
      </w:r>
      <w:r>
        <w:t xml:space="preserve"> is integrated with </w:t>
      </w:r>
      <w:r>
        <w:t>VCF Operations for logs</w:t>
      </w:r>
      <w:r>
        <w:t>, you can view the logs for a selected object from the Logs tab. You can troubleshoot a problem in your environment by correlating the information in the logs with the metrics.</w:t>
      </w:r>
    </w:p>
    <w:p>
      <w:pPr>
        <w:pStyle w:val="SectionHeading5"/>
      </w:pPr>
      <w:r>
        <w:t>Where You Find the Logs Tab</w:t>
      </w:r>
    </w:p>
    <w:p>
      <w:pPr>
        <w:pStyle w:val="BodyText"/>
      </w:pPr>
      <w:r>
        <w:t xml:space="preserve">In the left menu, select an object from the </w:t>
      </w:r>
      <w:r>
        <w:rPr>
          <w:rStyle w:val="InlineUI"/>
        </w:rPr>
        <w:t>Inventory</w:t>
      </w:r>
      <w:r>
        <w:t xml:space="preserve"> in the left menu. Click the </w:t>
      </w:r>
      <w:r>
        <w:rPr>
          <w:rStyle w:val="InlineUI"/>
        </w:rPr>
        <w:t>Logs</w:t>
      </w:r>
      <w:r>
        <w:t xml:space="preserve"> tab. To view the </w:t>
      </w:r>
      <w:r>
        <w:rPr>
          <w:rStyle w:val="InlineUI"/>
        </w:rPr>
        <w:t>Logs</w:t>
      </w:r>
      <w:r>
        <w:t xml:space="preserve"> tab, you have to configure </w:t>
      </w:r>
      <w:r>
        <w:t>VCF Operations</w:t>
      </w:r>
      <w:r>
        <w:t xml:space="preserve"> in </w:t>
      </w:r>
      <w:r>
        <w:t>VCF Operations for logs</w:t>
      </w:r>
      <w:r>
        <w:t>.</w:t>
      </w:r>
    </w:p>
    <w:p>
      <w:pPr>
        <w:pStyle w:val="Heading3"/>
      </w:pPr>
      <w:bookmarkStart w:id="14" w:name="B9322bec4d21a463d88d0c5f641de24e2"/>
      <w:bookmarkStart w:id="15" w:name="_Toc256000034"/>
      <w:r>
        <w:t>Log Data Transfer</w:t>
      </w:r>
      <w:bookmarkEnd w:id="15"/>
      <w:bookmarkEnd w:id="14"/>
    </w:p>
    <w:p>
      <w:pPr>
        <w:pStyle w:val="BodyText"/>
      </w:pPr>
      <w:r>
        <w:t xml:space="preserve">You can transfer log data for up to 90 days from Aria Operations for Logs 8.x to </w:t>
      </w:r>
      <w:r>
        <w:t>VMware Cloud Foundation</w:t>
      </w:r>
      <w:r>
        <w:t xml:space="preserve">. The migrated logs are stored in </w:t>
      </w:r>
      <w:r>
        <w:t>VCF Operations for logs</w:t>
      </w:r>
      <w:r>
        <w:t xml:space="preserve">. You must set up the operations-logs appliance in </w:t>
      </w:r>
      <w:r>
        <w:t>VMware Cloud Foundation</w:t>
      </w:r>
      <w:r>
        <w:t xml:space="preserve"> before you can proceed.</w:t>
      </w:r>
    </w:p>
    <w:p>
      <w:pPr>
        <w:pStyle w:val="SectionHeading4"/>
      </w:pPr>
      <w:r>
        <w:t>Why Transfer Log Data</w:t>
      </w:r>
    </w:p>
    <w:p>
      <w:pPr>
        <w:pStyle w:val="BodyText"/>
      </w:pPr>
      <w:r>
        <w:t>VMware Cloud Foundation</w:t>
      </w:r>
      <w:r>
        <w:t xml:space="preserve"> does not permit integration of </w:t>
      </w:r>
      <w:r>
        <w:t>VCF Operations</w:t>
      </w:r>
      <w:r>
        <w:t xml:space="preserve"> with Aria Operations for Logs. If you had previously integrated Aria Operations for Logs and Aria Operations, and you have upgraded to </w:t>
      </w:r>
      <w:r>
        <w:t>VMware Cloud Foundation</w:t>
      </w:r>
      <w:r>
        <w:t xml:space="preserve">, then you must use the Log Data Transfer feature to transfer ingested logs to </w:t>
      </w:r>
      <w:r>
        <w:t>VCF Operations for logs</w:t>
      </w:r>
      <w:r>
        <w:t>.</w:t>
      </w:r>
    </w:p>
    <w:p>
      <w:pPr>
        <w:pStyle w:val="BodyText"/>
      </w:pPr>
      <w:r>
        <w:t xml:space="preserve">When you set up operations-logs as a log forwarding destination in Aria Operations for Logs, logs which are already ingested by Aria Operations for Logs are not forwarded to </w:t>
      </w:r>
      <w:r>
        <w:t>VCF Operations</w:t>
      </w:r>
      <w:r>
        <w:t xml:space="preserve">. To forward already ingested logs, use the Log Data transfer functionality in </w:t>
      </w:r>
      <w:r>
        <w:t>VCF Operations</w:t>
      </w:r>
      <w:r>
        <w:t>.</w:t>
      </w:r>
    </w:p>
    <w:p>
      <w:pPr>
        <w:pStyle w:val="SectionHeading4"/>
      </w:pPr>
      <w:r>
        <w:t>How to Transfer Log Data</w:t>
      </w:r>
    </w:p>
    <w:p>
      <w:pPr>
        <w:pStyle w:val="BodyText"/>
      </w:pPr>
      <w:r>
        <w:t xml:space="preserve">To transfer logs from Aria Operations to </w:t>
      </w:r>
      <w:r>
        <w:t>VCF Operations</w:t>
      </w:r>
      <w:r>
        <w:t xml:space="preserve">, navigate to the </w:t>
      </w:r>
      <w:r>
        <w:rPr>
          <w:rStyle w:val="InlineUI"/>
        </w:rPr>
        <w:t>Logs Data Transfer</w:t>
      </w:r>
      <w:r>
        <w:t xml:space="preserve"> card in </w:t>
      </w:r>
      <w:r>
        <w:rPr>
          <w:rStyle w:val="InlineUI"/>
        </w:rPr>
        <w:t>Administration</w:t>
      </w:r>
      <w:r>
        <w:rPr>
          <w:rStyle w:val="InlineUI"/>
        </w:rPr>
        <w:t xml:space="preserve"> &gt; </w:t>
      </w:r>
      <w:r>
        <w:rPr>
          <w:rStyle w:val="InlineUI"/>
        </w:rPr>
        <w:t>Control Panel</w:t>
      </w:r>
      <w:r>
        <w:t xml:space="preserve">. If you have not set up any transfer, click the </w:t>
      </w:r>
      <w:r>
        <w:rPr>
          <w:rStyle w:val="InlineUI"/>
        </w:rPr>
        <w:t>INITIATE TRANSFER</w:t>
      </w:r>
      <w:r>
        <w:t xml:space="preserve"> button and configure the authentication details about the Aria Operations appliance. You can select the duration of logs to transfer from the drop-down. It is recommended to transfer logs from the last 10 days to start with.</w:t>
      </w:r>
    </w:p>
    <w:p>
      <w:pPr>
        <w:pStyle w:val="BodyText"/>
      </w:pPr>
      <w:r>
        <w:t xml:space="preserve">After you initiate the task, you can check the status of the transfer from the </w:t>
      </w:r>
      <w:r>
        <w:rPr>
          <w:rStyle w:val="InlineUI"/>
        </w:rPr>
        <w:t>Logs Data Transfer</w:t>
      </w:r>
      <w:r>
        <w:t xml:space="preserve"> card at any time.</w:t>
      </w:r>
    </w:p>
    <w:p>
      <w:pPr>
        <w:pStyle w:val="BodyText"/>
        <w:numPr>
          <w:numId w:val="39"/>
        </w:numPr>
        <w:pBdr>
          <w:top w:val="single" w:sz="8" w:space="2" w:color="D3D3D3"/>
        </w:pBdr>
      </w:pPr>
      <w:r>
        <w:t xml:space="preserve">Not all data buckets may be copied unless </w:t>
      </w:r>
      <w:r>
        <w:t>VCF Operations for logs</w:t>
      </w:r>
      <w:r>
        <w:t xml:space="preserve"> has enough free disk space. It is recommended to run this check manually prior to starting the migration to guarantee that all logs from the Aria Operations instance are migrated to </w:t>
      </w:r>
      <w:r>
        <w:t>VCF Operations</w:t>
      </w:r>
      <w:r>
        <w:t xml:space="preserve">. Before starting the migration, know the location of the live storage in </w:t>
      </w:r>
      <w:r>
        <w:t>VCF Operations</w:t>
      </w:r>
      <w:r>
        <w:t>, and the volume of logs stored in the live storage of the old instance.</w:t>
      </w:r>
    </w:p>
    <w:p>
      <w:pPr>
        <w:pStyle w:val="BodyText"/>
        <w:numPr>
          <w:numId w:val="39"/>
        </w:numPr>
        <w:pBdr>
          <w:bottom w:val="single" w:sz="8" w:space="2" w:color="D3D3D3"/>
        </w:pBdr>
      </w:pPr>
      <w:r>
        <w:t xml:space="preserve">All source nodes of the </w:t>
      </w:r>
      <w:r>
        <w:t>VCF Operations for logs</w:t>
      </w:r>
      <w:r>
        <w:t xml:space="preserve"> instance must have the same SSH credentials as each other, otherwise the migration will be unsuccessful</w:t>
      </w:r>
    </w:p>
    <w:p>
      <w:pPr>
        <w:pStyle w:val="Heading3"/>
      </w:pPr>
      <w:bookmarkStart w:id="16" w:name="_Toc256000035"/>
      <w:r>
        <w:t>Troubleshooting Log Analysis and Log Collection</w:t>
      </w:r>
      <w:bookmarkEnd w:id="16"/>
    </w:p>
    <w:p>
      <w:pPr>
        <w:pStyle w:val="BodyText"/>
      </w:pPr>
      <w:r>
        <w:t xml:space="preserve">Perform the troubleshooting steps described in this section if you cannot view logs in </w:t>
      </w:r>
      <w:r>
        <w:t>VCF Operations for logs</w:t>
      </w:r>
      <w:r>
        <w: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 xml:space="preserve">Symptom: Logs are not displayed when you navigate to the </w:t>
            </w:r>
            <w:r>
              <w:rPr>
                <w:rStyle w:val="InlineUI"/>
              </w:rPr>
              <w:t>Infrastructure Operations</w:t>
            </w:r>
            <w:r>
              <w:rPr>
                <w:rStyle w:val="InlineUI"/>
              </w:rPr>
              <w:t xml:space="preserve"> &gt; </w:t>
            </w:r>
            <w:r>
              <w:rPr>
                <w:rStyle w:val="InlineUI"/>
              </w:rPr>
              <w:t>Analyze</w:t>
            </w:r>
          </w:p>
          <w:p>
            <w:pPr>
              <w:pStyle w:val="TableBodyText"/>
            </w:pPr>
            <w:r>
              <w:t xml:space="preserve"> page of </w:t>
            </w:r>
          </w:p>
          <w:p>
            <w:pPr>
              <w:pStyle w:val="TableBodyText"/>
            </w:pPr>
            <w:r>
              <w:t>VCF Operations</w:t>
            </w:r>
          </w:p>
          <w:p>
            <w:pPr>
              <w:pStyle w:val="TableBodyText"/>
            </w:pPr>
            <w:r>
              <w:t>.</w:t>
            </w:r>
          </w:p>
        </w:tc>
      </w:tr>
    </w:tbl>
    <w:p/>
    <w:sectPr w:rsidSect="0078571F">
      <w:headerReference w:type="default" r:id="rId9"/>
      <w:footerReference w:type="default" r:id="rId10"/>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31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Operations for logs Standard Operating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multilevel"/>
    <w:tmpl w:val="7A0F566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multilevel"/>
    <w:tmpl w:val="7A0F56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multilevel"/>
    <w:tmpl w:val="7A0F567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multilevel"/>
    <w:tmpl w:val="7A0F567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A0F567D"/>
    <w:multiLevelType w:val="multilevel"/>
    <w:tmpl w:val="7A0F567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7A0F567E"/>
    <w:multiLevelType w:val="multilevel"/>
    <w:tmpl w:val="7A0F567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A0F567F"/>
    <w:multiLevelType w:val="multilevel"/>
    <w:tmpl w:val="7A0F567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A0F5680"/>
    <w:multiLevelType w:val="multilevel"/>
    <w:tmpl w:val="7A0F568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A0F5681"/>
    <w:multiLevelType w:val="multilevel"/>
    <w:tmpl w:val="7A0F568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multilevel"/>
    <w:tmpl w:val="7A0F56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styles" Target="styles.xml"/><Relationship Id="rId8" Type="http://schemas.openxmlformats.org/officeDocument/2006/relationships/image" Target="media/image3.png"/><Relationship Id="rId3" Type="http://schemas.openxmlformats.org/officeDocument/2006/relationships/fontTable" Target="fontTable.xml"/><Relationship Id="rId12" Type="http://schemas.openxmlformats.org/officeDocument/2006/relationships/numbering" Target="numbering.xml"/><Relationship Id="rId7" Type="http://schemas.openxmlformats.org/officeDocument/2006/relationships/hyperlink" Target="http://www.vmware.com/" TargetMode="External"/><Relationship Id="rId2" Type="http://schemas.openxmlformats.org/officeDocument/2006/relationships/webSettings" Target="webSettings.xml"/><Relationship Id="rId16" Type="http://schemas.openxmlformats.org/officeDocument/2006/relationships/customXml" Target="../customXml/item3.xml"/><Relationship Id="rId1" Type="http://schemas.openxmlformats.org/officeDocument/2006/relationships/settings" Target="settings.xml"/><Relationship Id="rId11" Type="http://schemas.openxmlformats.org/officeDocument/2006/relationships/theme" Target="theme/theme1.xml"/><Relationship Id="rId6" Type="http://schemas.openxmlformats.org/officeDocument/2006/relationships/hyperlink" Target="https://techdocs.broadcom.com/" TargetMode="External"/><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3A72B06B-39B5-4040-9579-576001672348}"/>
</file>

<file path=customXml/itemProps2.xml><?xml version="1.0" encoding="utf-8"?>
<ds:datastoreItem xmlns:ds="http://schemas.openxmlformats.org/officeDocument/2006/customXml" ds:itemID="{5C182ED7-A7FD-45F8-8779-9DAFF969D7C7}"/>
</file>

<file path=customXml/itemProps3.xml><?xml version="1.0" encoding="utf-8"?>
<ds:datastoreItem xmlns:ds="http://schemas.openxmlformats.org/officeDocument/2006/customXml" ds:itemID="{A24E034E-3632-4243-A1DD-F227F0547988}"/>
</file>

<file path=docProps/app.xml><?xml version="1.0" encoding="utf-8"?>
<Properties xmlns="http://schemas.openxmlformats.org/officeDocument/2006/extended-properties" xmlns:vt="http://schemas.openxmlformats.org/officeDocument/2006/docPropsVTypes">
  <Template>Normal.dotm</Template>
  <TotalTime>157</TotalTime>
  <Pages>31</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Operations for logs Standard Operating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