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200"/>
        <w:jc w:val="center"/>
      </w:pPr>
      <w:r>
        <w:rPr>
          <w:rFonts w:ascii="Arial" w:cs="Arial" w:eastAsia="Arial" w:hAnsi="Arial"/>
          <w:b/>
          <w:bCs/>
          <w:color w:val="1F4E79"/>
          <w:sz w:val="40"/>
          <w:szCs w:val="40"/>
        </w:rPr>
        <w:t xml:space="preserve">GESTION DES INCIDENTS ET DES DEMANDES</w:t>
      </w:r>
    </w:p>
    <w:p>
      <w:pPr>
        <w:spacing w:before="100" w:after="100"/>
        <w:jc w:val="center"/>
      </w:pPr>
      <w:r>
        <w:rPr>
          <w:rFonts w:ascii="Arial" w:cs="Arial" w:eastAsia="Arial" w:hAnsi="Arial"/>
          <w:i/>
          <w:iCs/>
          <w:color w:val="2E75B6"/>
          <w:sz w:val="26"/>
          <w:szCs w:val="26"/>
        </w:rPr>
        <w:t xml:space="preserve">Cours ITIL / ITSM — Résumé complet et Exercice ERIS PR1</w:t>
      </w:r>
    </w:p>
    <w:p>
      <w:pPr>
        <w:spacing w:before="100" w:after="600"/>
        <w:jc w:val="center"/>
      </w:pPr>
      <w:r>
        <w:rPr>
          <w:rFonts w:ascii="Arial" w:cs="Arial" w:eastAsia="Arial" w:hAnsi="Arial"/>
          <w:color w:val="888888"/>
          <w:sz w:val="22"/>
          <w:szCs w:val="22"/>
        </w:rPr>
        <w:t xml:space="preserve">The Telephone Girls</w:t>
      </w:r>
    </w:p>
    <w:p>
      <w:pPr>
        <w:pBdr>
          <w:bottom w:val="single" w:color="2E75B6" w:sz="4" w:space="1"/>
        </w:pBdr>
        <w:spacing w:before="200" w:after="200"/>
      </w:pPr>
    </w:p>
    <w:p>
      <w:r>
        <w:br w:type="page"/>
      </w:r>
    </w:p>
    <w:p>
      <w:pPr>
        <w:spacing w:before="200" w:after="300"/>
        <w:jc w:val="center"/>
      </w:pPr>
      <w:r>
        <w:rPr>
          <w:rFonts w:ascii="Arial" w:cs="Arial" w:eastAsia="Arial" w:hAnsi="Arial"/>
          <w:b/>
          <w:bCs/>
          <w:color w:val="FFFFFF"/>
          <w:sz w:val="36"/>
          <w:szCs w:val="36"/>
        </w:rPr>
        <w:t xml:space="preserve">PARTIE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200"/>
              <w:left w:type="dxa" w:w="300"/>
              <w:bottom w:type="dxa" w:w="200"/>
              <w:right w:type="dxa" w:w="300"/>
            </w:tcMar>
          </w:tcPr>
          <w:p>
            <w:pPr>
              <w:jc w:val="center"/>
            </w:pPr>
            <w:r>
              <w:rPr>
                <w:rFonts w:ascii="Arial" w:cs="Arial" w:eastAsia="Arial" w:hAnsi="Arial"/>
                <w:b/>
                <w:bCs/>
                <w:color w:val="FFFFFF"/>
                <w:sz w:val="32"/>
                <w:szCs w:val="32"/>
              </w:rPr>
              <w:t xml:space="preserve">Résumé du cours — Incidents, Demandes &amp; Évènements</w:t>
            </w:r>
          </w:p>
        </w:tc>
      </w:tr>
    </w:tbl>
    <w:p>
      <w:pPr>
        <w:spacing w:before="200" w:after="0"/>
      </w:pPr>
    </w:p>
    <w:p>
      <w:pPr>
        <w:pStyle w:val="Heading1"/>
        <w:spacing w:before="360" w:after="200"/>
      </w:pPr>
      <w:r>
        <w:rPr>
          <w:rFonts w:ascii="Arial" w:cs="Arial" w:eastAsia="Arial" w:hAnsi="Arial"/>
          <w:b/>
          <w:bCs/>
          <w:color w:val="1F4E79"/>
          <w:sz w:val="32"/>
          <w:szCs w:val="32"/>
        </w:rPr>
        <w:t xml:space="preserve">1. Le Centre de Services (Service Desk)</w:t>
      </w:r>
    </w:p>
    <w:p>
      <w:pPr>
        <w:spacing w:before="80" w:after="80"/>
      </w:pPr>
      <w:r>
        <w:rPr>
          <w:rFonts w:ascii="Arial" w:cs="Arial" w:eastAsia="Arial" w:hAnsi="Arial"/>
          <w:sz w:val="22"/>
          <w:szCs w:val="22"/>
        </w:rPr>
        <w:t xml:space="preserve">Le Centre de Services, c’est le point de contact principal entre les utilisateurs et l’équipe informatique. Son rôle, c’est de recevoir et traiter toutes les demandes et tous les problèmes.</w:t>
      </w:r>
    </w:p>
    <w:p>
      <w:pPr>
        <w:pStyle w:val="Heading2"/>
        <w:spacing w:before="280" w:after="160"/>
      </w:pPr>
      <w:r>
        <w:rPr>
          <w:rFonts w:ascii="Arial" w:cs="Arial" w:eastAsia="Arial" w:hAnsi="Arial"/>
          <w:b/>
          <w:bCs/>
          <w:color w:val="2E75B6"/>
          <w:sz w:val="26"/>
          <w:szCs w:val="26"/>
        </w:rPr>
        <w:t xml:space="preserve">1.1 Définition et rôle</w:t>
      </w:r>
    </w:p>
    <w:p>
      <w:pPr>
        <w:spacing w:before="80" w:after="80"/>
      </w:pPr>
      <w:r>
        <w:rPr>
          <w:rFonts w:ascii="Arial" w:cs="Arial" w:eastAsia="Arial" w:hAnsi="Arial"/>
          <w:sz w:val="22"/>
          <w:szCs w:val="22"/>
        </w:rPr>
        <w:t xml:space="preserve">Le but du Centre de Services est simple : capturer les demandes de résolution d’incidents et les demandes de service. Il est le seul point de contact (on dit "omnicanal") entre le fournisseur de services informatiques et ses utilisateurs.</w:t>
      </w:r>
    </w:p>
    <w:p>
      <w:pPr>
        <w:spacing w:before="80" w:after="80"/>
      </w:pPr>
      <w:r>
        <w:rPr>
          <w:rFonts w:ascii="Arial" w:cs="Arial" w:eastAsia="Arial" w:hAnsi="Arial"/>
          <w:sz w:val="22"/>
          <w:szCs w:val="22"/>
        </w:rPr>
        <w:t xml:space="preserve">En pratique, quand un utilisateur a un problème ou une question, c’est le Centre de Services qu’il contacte en premier.</w:t>
      </w:r>
    </w:p>
    <w:p>
      <w:pPr>
        <w:pStyle w:val="Heading2"/>
        <w:spacing w:before="280" w:after="160"/>
      </w:pPr>
      <w:r>
        <w:rPr>
          <w:rFonts w:ascii="Arial" w:cs="Arial" w:eastAsia="Arial" w:hAnsi="Arial"/>
          <w:b/>
          <w:bCs/>
          <w:color w:val="2E75B6"/>
          <w:sz w:val="26"/>
          <w:szCs w:val="26"/>
        </w:rPr>
        <w:t xml:space="preserve">1.2 Ce que reçoit le Centre de Services</w:t>
      </w:r>
    </w:p>
    <w:p>
      <w:pPr>
        <w:pStyle w:val="ListParagraph"/>
        <w:numPr>
          <w:ilvl w:val="0"/>
          <w:numId w:val="2"/>
        </w:numPr>
        <w:spacing w:before="60" w:after="60"/>
      </w:pPr>
      <w:r>
        <w:rPr>
          <w:rFonts w:ascii="Arial" w:cs="Arial" w:eastAsia="Arial" w:hAnsi="Arial"/>
          <w:sz w:val="22"/>
          <w:szCs w:val="22"/>
        </w:rPr>
        <w:t xml:space="preserve">Les incidents (pannes, bugs, problèmes de connexion...)</w:t>
      </w:r>
    </w:p>
    <w:p>
      <w:pPr>
        <w:pStyle w:val="ListParagraph"/>
        <w:numPr>
          <w:ilvl w:val="0"/>
          <w:numId w:val="2"/>
        </w:numPr>
        <w:spacing w:before="60" w:after="60"/>
      </w:pPr>
      <w:r>
        <w:rPr>
          <w:rFonts w:ascii="Arial" w:cs="Arial" w:eastAsia="Arial" w:hAnsi="Arial"/>
          <w:sz w:val="22"/>
          <w:szCs w:val="22"/>
        </w:rPr>
        <w:t xml:space="preserve">Les demandes de services (création de compte, installation de logiciel...)</w:t>
      </w:r>
    </w:p>
    <w:p>
      <w:pPr>
        <w:pStyle w:val="ListParagraph"/>
        <w:numPr>
          <w:ilvl w:val="0"/>
          <w:numId w:val="2"/>
        </w:numPr>
        <w:spacing w:before="60" w:after="60"/>
      </w:pPr>
      <w:r>
        <w:rPr>
          <w:rFonts w:ascii="Arial" w:cs="Arial" w:eastAsia="Arial" w:hAnsi="Arial"/>
          <w:sz w:val="22"/>
          <w:szCs w:val="22"/>
        </w:rPr>
        <w:t xml:space="preserve">Les plaintes et réclamations des utilisateurs</w:t>
      </w:r>
    </w:p>
    <w:p>
      <w:pPr>
        <w:pStyle w:val="ListParagraph"/>
        <w:numPr>
          <w:ilvl w:val="0"/>
          <w:numId w:val="2"/>
        </w:numPr>
        <w:spacing w:before="60" w:after="60"/>
      </w:pPr>
      <w:r>
        <w:rPr>
          <w:rFonts w:ascii="Arial" w:cs="Arial" w:eastAsia="Arial" w:hAnsi="Arial"/>
          <w:sz w:val="22"/>
          <w:szCs w:val="22"/>
        </w:rPr>
        <w:t xml:space="preserve">Les opportunités d’amélioration signalées</w:t>
      </w:r>
    </w:p>
    <w:p>
      <w:pPr>
        <w:pStyle w:val="ListParagraph"/>
        <w:numPr>
          <w:ilvl w:val="0"/>
          <w:numId w:val="2"/>
        </w:numPr>
        <w:spacing w:before="60" w:after="60"/>
      </w:pPr>
      <w:r>
        <w:rPr>
          <w:rFonts w:ascii="Arial" w:cs="Arial" w:eastAsia="Arial" w:hAnsi="Arial"/>
          <w:sz w:val="22"/>
          <w:szCs w:val="22"/>
        </w:rPr>
        <w:t xml:space="preserve">Les suspicions d’incidents de sécurité</w:t>
      </w:r>
    </w:p>
    <w:p>
      <w:pPr>
        <w:pStyle w:val="ListParagraph"/>
        <w:numPr>
          <w:ilvl w:val="0"/>
          <w:numId w:val="2"/>
        </w:numPr>
        <w:spacing w:before="60" w:after="60"/>
      </w:pPr>
      <w:r>
        <w:rPr>
          <w:rFonts w:ascii="Arial" w:cs="Arial" w:eastAsia="Arial" w:hAnsi="Arial"/>
          <w:sz w:val="22"/>
          <w:szCs w:val="22"/>
        </w:rPr>
        <w:t xml:space="preserve">Les évènements liés à la continuité du service</w:t>
      </w:r>
    </w:p>
    <w:p>
      <w:pPr>
        <w:pStyle w:val="Heading2"/>
        <w:spacing w:before="280" w:after="160"/>
      </w:pPr>
      <w:r>
        <w:rPr>
          <w:rFonts w:ascii="Arial" w:cs="Arial" w:eastAsia="Arial" w:hAnsi="Arial"/>
          <w:b/>
          <w:bCs/>
          <w:color w:val="2E75B6"/>
          <w:sz w:val="26"/>
          <w:szCs w:val="26"/>
        </w:rPr>
        <w:t xml:space="preserve">1.3 Comment le Centre de Services traite une demande ?</w:t>
      </w:r>
    </w:p>
    <w:p>
      <w:pPr>
        <w:spacing w:before="80" w:after="80"/>
      </w:pPr>
      <w:r>
        <w:rPr>
          <w:rFonts w:ascii="Arial" w:cs="Arial" w:eastAsia="Arial" w:hAnsi="Arial"/>
          <w:sz w:val="22"/>
          <w:szCs w:val="22"/>
        </w:rPr>
        <w:t xml:space="preserve">Quand une demande arrive, le Centre de Services suit ces étapes :</w:t>
      </w:r>
    </w:p>
    <w:p>
      <w:pPr>
        <w:pStyle w:val="ListParagraph"/>
        <w:numPr>
          <w:ilvl w:val="0"/>
          <w:numId w:val="3"/>
        </w:numPr>
        <w:spacing w:before="60" w:after="60"/>
      </w:pPr>
      <w:r>
        <w:rPr>
          <w:rFonts w:ascii="Arial" w:cs="Arial" w:eastAsia="Arial" w:hAnsi="Arial"/>
          <w:sz w:val="22"/>
          <w:szCs w:val="22"/>
        </w:rPr>
        <w:t xml:space="preserve">Prise en compte : il recueille les informations et pose des questions</w:t>
      </w:r>
    </w:p>
    <w:p>
      <w:pPr>
        <w:pStyle w:val="ListParagraph"/>
        <w:numPr>
          <w:ilvl w:val="0"/>
          <w:numId w:val="3"/>
        </w:numPr>
        <w:spacing w:before="60" w:after="60"/>
      </w:pPr>
      <w:r>
        <w:rPr>
          <w:rFonts w:ascii="Arial" w:cs="Arial" w:eastAsia="Arial" w:hAnsi="Arial"/>
          <w:sz w:val="22"/>
          <w:szCs w:val="22"/>
        </w:rPr>
        <w:t xml:space="preserve">Diagnostic : il analyse les symptômes</w:t>
      </w:r>
    </w:p>
    <w:p>
      <w:pPr>
        <w:pStyle w:val="ListParagraph"/>
        <w:numPr>
          <w:ilvl w:val="0"/>
          <w:numId w:val="3"/>
        </w:numPr>
        <w:spacing w:before="60" w:after="60"/>
      </w:pPr>
      <w:r>
        <w:rPr>
          <w:rFonts w:ascii="Arial" w:cs="Arial" w:eastAsia="Arial" w:hAnsi="Arial"/>
          <w:sz w:val="22"/>
          <w:szCs w:val="22"/>
        </w:rPr>
        <w:t xml:space="preserve">Action : résolution directe ou escalade vers une équipe spécialisée</w:t>
      </w:r>
    </w:p>
    <w:p>
      <w:pPr>
        <w:pStyle w:val="Heading2"/>
        <w:spacing w:before="280" w:after="160"/>
      </w:pPr>
      <w:r>
        <w:rPr>
          <w:rFonts w:ascii="Arial" w:cs="Arial" w:eastAsia="Arial" w:hAnsi="Arial"/>
          <w:b/>
          <w:bCs/>
          <w:color w:val="2E75B6"/>
          <w:sz w:val="26"/>
          <w:szCs w:val="26"/>
        </w:rPr>
        <w:t xml:space="preserve">1.4 Les canaux de communication</w:t>
      </w:r>
    </w:p>
    <w:p>
      <w:pPr>
        <w:spacing w:before="80" w:after="80"/>
      </w:pPr>
      <w:r>
        <w:rPr>
          <w:rFonts w:ascii="Arial" w:cs="Arial" w:eastAsia="Arial" w:hAnsi="Arial"/>
          <w:sz w:val="22"/>
          <w:szCs w:val="22"/>
        </w:rPr>
        <w:t xml:space="preserve">Les utilisateurs peuvent contacter le Centre de Services de plusieurs façons :</w:t>
      </w:r>
    </w:p>
    <w:p>
      <w:pPr>
        <w:pStyle w:val="ListParagraph"/>
        <w:numPr>
          <w:ilvl w:val="0"/>
          <w:numId w:val="2"/>
        </w:numPr>
        <w:spacing w:before="60" w:after="60"/>
      </w:pPr>
      <w:r>
        <w:rPr>
          <w:rFonts w:ascii="Arial" w:cs="Arial" w:eastAsia="Arial" w:hAnsi="Arial"/>
          <w:sz w:val="22"/>
          <w:szCs w:val="22"/>
        </w:rPr>
        <w:t xml:space="preserve">Appel téléphonique (avec serveur vocal interactif, reconnaissance vocale...)</w:t>
      </w:r>
    </w:p>
    <w:p>
      <w:pPr>
        <w:pStyle w:val="ListParagraph"/>
        <w:numPr>
          <w:ilvl w:val="0"/>
          <w:numId w:val="2"/>
        </w:numPr>
        <w:spacing w:before="60" w:after="60"/>
      </w:pPr>
      <w:r>
        <w:rPr>
          <w:rFonts w:ascii="Arial" w:cs="Arial" w:eastAsia="Arial" w:hAnsi="Arial"/>
          <w:sz w:val="22"/>
          <w:szCs w:val="22"/>
        </w:rPr>
        <w:t xml:space="preserve">Portail web ou application mobile</w:t>
      </w:r>
    </w:p>
    <w:p>
      <w:pPr>
        <w:pStyle w:val="ListParagraph"/>
        <w:numPr>
          <w:ilvl w:val="0"/>
          <w:numId w:val="2"/>
        </w:numPr>
        <w:spacing w:before="60" w:after="60"/>
      </w:pPr>
      <w:r>
        <w:rPr>
          <w:rFonts w:ascii="Arial" w:cs="Arial" w:eastAsia="Arial" w:hAnsi="Arial"/>
          <w:sz w:val="22"/>
          <w:szCs w:val="22"/>
        </w:rPr>
        <w:t xml:space="preserve">Chat en direct ou chatbot</w:t>
      </w:r>
    </w:p>
    <w:p>
      <w:pPr>
        <w:pStyle w:val="ListParagraph"/>
        <w:numPr>
          <w:ilvl w:val="0"/>
          <w:numId w:val="2"/>
        </w:numPr>
        <w:spacing w:before="60" w:after="60"/>
      </w:pPr>
      <w:r>
        <w:rPr>
          <w:rFonts w:ascii="Arial" w:cs="Arial" w:eastAsia="Arial" w:hAnsi="Arial"/>
          <w:sz w:val="22"/>
          <w:szCs w:val="22"/>
        </w:rPr>
        <w:t xml:space="preserve">Email</w:t>
      </w:r>
    </w:p>
    <w:p>
      <w:pPr>
        <w:pStyle w:val="ListParagraph"/>
        <w:numPr>
          <w:ilvl w:val="0"/>
          <w:numId w:val="2"/>
        </w:numPr>
        <w:spacing w:before="60" w:after="60"/>
      </w:pPr>
      <w:r>
        <w:rPr>
          <w:rFonts w:ascii="Arial" w:cs="Arial" w:eastAsia="Arial" w:hAnsi="Arial"/>
          <w:sz w:val="22"/>
          <w:szCs w:val="22"/>
        </w:rPr>
        <w:t xml:space="preserve">Comptoir de service (walk-in)</w:t>
      </w:r>
    </w:p>
    <w:p>
      <w:pPr>
        <w:pStyle w:val="ListParagraph"/>
        <w:numPr>
          <w:ilvl w:val="0"/>
          <w:numId w:val="2"/>
        </w:numPr>
        <w:spacing w:before="60" w:after="60"/>
      </w:pPr>
      <w:r>
        <w:rPr>
          <w:rFonts w:ascii="Arial" w:cs="Arial" w:eastAsia="Arial" w:hAnsi="Arial"/>
          <w:sz w:val="22"/>
          <w:szCs w:val="22"/>
        </w:rPr>
        <w:t xml:space="preserve">Réseaux sociaux ou messagerie instantanée</w:t>
      </w:r>
    </w:p>
    <w:p>
      <w:pPr>
        <w:pStyle w:val="Heading2"/>
        <w:spacing w:before="280" w:after="160"/>
      </w:pPr>
      <w:r>
        <w:rPr>
          <w:rFonts w:ascii="Arial" w:cs="Arial" w:eastAsia="Arial" w:hAnsi="Arial"/>
          <w:b/>
          <w:bCs/>
          <w:color w:val="2E75B6"/>
          <w:sz w:val="26"/>
          <w:szCs w:val="26"/>
        </w:rPr>
        <w:t xml:space="preserve">1.5 Compétences nécessaires</w:t>
      </w:r>
    </w:p>
    <w:p>
      <w:pPr>
        <w:spacing w:before="80" w:after="80"/>
      </w:pPr>
      <w:r>
        <w:rPr>
          <w:rFonts w:ascii="Arial" w:cs="Arial" w:eastAsia="Arial" w:hAnsi="Arial"/>
          <w:sz w:val="22"/>
          <w:szCs w:val="22"/>
        </w:rPr>
        <w:t xml:space="preserve">Le Centre de Services n’a pas besoin d’être très technique. Les qualités les plus importantes sont :</w:t>
      </w:r>
    </w:p>
    <w:p>
      <w:pPr>
        <w:pStyle w:val="ListParagraph"/>
        <w:numPr>
          <w:ilvl w:val="0"/>
          <w:numId w:val="2"/>
        </w:numPr>
        <w:spacing w:before="60" w:after="60"/>
      </w:pPr>
      <w:r>
        <w:rPr>
          <w:rFonts w:ascii="Arial" w:cs="Arial" w:eastAsia="Arial" w:hAnsi="Arial"/>
          <w:sz w:val="22"/>
          <w:szCs w:val="22"/>
        </w:rPr>
        <w:t xml:space="preserve">Excellent sens du service client et empathie</w:t>
      </w:r>
    </w:p>
    <w:p>
      <w:pPr>
        <w:pStyle w:val="ListParagraph"/>
        <w:numPr>
          <w:ilvl w:val="0"/>
          <w:numId w:val="2"/>
        </w:numPr>
        <w:spacing w:before="60" w:after="60"/>
      </w:pPr>
      <w:r>
        <w:rPr>
          <w:rFonts w:ascii="Arial" w:cs="Arial" w:eastAsia="Arial" w:hAnsi="Arial"/>
          <w:sz w:val="22"/>
          <w:szCs w:val="22"/>
        </w:rPr>
        <w:t xml:space="preserve">Bonne communication</w:t>
      </w:r>
    </w:p>
    <w:p>
      <w:pPr>
        <w:pStyle w:val="ListParagraph"/>
        <w:numPr>
          <w:ilvl w:val="0"/>
          <w:numId w:val="2"/>
        </w:numPr>
        <w:spacing w:before="60" w:after="60"/>
      </w:pPr>
      <w:r>
        <w:rPr>
          <w:rFonts w:ascii="Arial" w:cs="Arial" w:eastAsia="Arial" w:hAnsi="Arial"/>
          <w:sz w:val="22"/>
          <w:szCs w:val="22"/>
        </w:rPr>
        <w:t xml:space="preserve">Intelligence émotionnelle</w:t>
      </w:r>
    </w:p>
    <w:p>
      <w:pPr>
        <w:pStyle w:val="ListParagraph"/>
        <w:numPr>
          <w:ilvl w:val="0"/>
          <w:numId w:val="2"/>
        </w:numPr>
        <w:spacing w:before="60" w:after="60"/>
      </w:pPr>
      <w:r>
        <w:rPr>
          <w:rFonts w:ascii="Arial" w:cs="Arial" w:eastAsia="Arial" w:hAnsi="Arial"/>
          <w:sz w:val="22"/>
          <w:szCs w:val="22"/>
        </w:rPr>
        <w:t xml:space="preserve">Capacité à analyser et prioriser les demandes</w:t>
      </w:r>
    </w:p>
    <w:p>
      <w:pPr>
        <w:pStyle w:val="ListParagraph"/>
        <w:numPr>
          <w:ilvl w:val="0"/>
          <w:numId w:val="2"/>
        </w:numPr>
        <w:spacing w:before="60" w:after="60"/>
      </w:pPr>
      <w:r>
        <w:rPr>
          <w:rFonts w:ascii="Arial" w:cs="Arial" w:eastAsia="Arial" w:hAnsi="Arial"/>
          <w:sz w:val="22"/>
          <w:szCs w:val="22"/>
        </w:rPr>
        <w:t xml:space="preserve">Bonne compréhension des besoins métier</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pPr>
              <w:spacing w:before="40" w:after="60"/>
            </w:pPr>
            <w:r>
              <w:rPr>
                <w:rFonts w:ascii="Arial" w:cs="Arial" w:eastAsia="Arial" w:hAnsi="Arial"/>
                <w:b/>
                <w:bCs/>
                <w:color w:val="1F4E79"/>
                <w:sz w:val="22"/>
                <w:szCs w:val="22"/>
              </w:rPr>
              <w:t xml:space="preserve">Bon à savoir</w:t>
            </w:r>
          </w:p>
          <w:p>
            <w:pPr>
              <w:spacing w:before="0" w:after="40"/>
            </w:pPr>
            <w:r>
              <w:rPr>
                <w:rFonts w:ascii="Arial" w:cs="Arial" w:eastAsia="Arial" w:hAnsi="Arial"/>
                <w:sz w:val="22"/>
                <w:szCs w:val="22"/>
              </w:rPr>
              <w:t xml:space="preserve">2 à 3% des tickets sont incorrectement traités. Un ticket bien géré èconomise 3 à 5 fois le coût d’un ticket mal traité. Le taux de résolution en première ligne est en moyenne de 70 à 80%.</w:t>
            </w:r>
          </w:p>
        </w:tc>
      </w:tr>
    </w:tbl>
    <w:p>
      <w:pPr>
        <w:spacing w:before="200" w:after="0"/>
      </w:pPr>
    </w:p>
    <w:p>
      <w:pPr>
        <w:pBdr>
          <w:bottom w:val="single" w:color="2E75B6" w:sz="4" w:space="1"/>
        </w:pBdr>
        <w:spacing w:before="200" w:after="200"/>
      </w:pPr>
    </w:p>
    <w:p>
      <w:pPr>
        <w:pStyle w:val="Heading1"/>
        <w:spacing w:before="360" w:after="200"/>
      </w:pPr>
      <w:r>
        <w:rPr>
          <w:rFonts w:ascii="Arial" w:cs="Arial" w:eastAsia="Arial" w:hAnsi="Arial"/>
          <w:b/>
          <w:bCs/>
          <w:color w:val="1F4E79"/>
          <w:sz w:val="32"/>
          <w:szCs w:val="32"/>
        </w:rPr>
        <w:t xml:space="preserve">2. Surveillance et Gestion des Évènements</w:t>
      </w:r>
    </w:p>
    <w:p>
      <w:pPr>
        <w:spacing w:before="80" w:after="80"/>
      </w:pPr>
      <w:r>
        <w:rPr>
          <w:rFonts w:ascii="Arial" w:cs="Arial" w:eastAsia="Arial" w:hAnsi="Arial"/>
          <w:sz w:val="22"/>
          <w:szCs w:val="22"/>
        </w:rPr>
        <w:t xml:space="preserve">Cette pratique consiste à observer en permanence les services informatiques, et à détecter automatiquement les changements importants appelés évènements.</w:t>
      </w:r>
    </w:p>
    <w:p>
      <w:pPr>
        <w:pStyle w:val="Heading2"/>
        <w:spacing w:before="280" w:after="160"/>
      </w:pPr>
      <w:r>
        <w:rPr>
          <w:rFonts w:ascii="Arial" w:cs="Arial" w:eastAsia="Arial" w:hAnsi="Arial"/>
          <w:b/>
          <w:bCs/>
          <w:color w:val="2E75B6"/>
          <w:sz w:val="26"/>
          <w:szCs w:val="26"/>
        </w:rPr>
        <w:t xml:space="preserve">2.1 Pourquoi c’est important ?</w:t>
      </w:r>
    </w:p>
    <w:p>
      <w:pPr>
        <w:spacing w:before="80" w:after="80"/>
      </w:pPr>
      <w:r>
        <w:rPr>
          <w:rFonts w:ascii="Arial" w:cs="Arial" w:eastAsia="Arial" w:hAnsi="Arial"/>
          <w:sz w:val="22"/>
          <w:szCs w:val="22"/>
        </w:rPr>
        <w:t xml:space="preserve">Une infrastructure informatique génère des milliers de messages chaque jour. La plupart ne sont pas importants (on appelle ça des "bavardages"). Mais parfois, un message signale quelque chose qui nécessite une action. La surveillance automatique permet de ne pas rater ces alertes.</w:t>
      </w:r>
    </w:p>
    <w:p>
      <w:pPr>
        <w:pStyle w:val="Heading2"/>
        <w:spacing w:before="280" w:after="160"/>
      </w:pPr>
      <w:r>
        <w:rPr>
          <w:rFonts w:ascii="Arial" w:cs="Arial" w:eastAsia="Arial" w:hAnsi="Arial"/>
          <w:b/>
          <w:bCs/>
          <w:color w:val="2E75B6"/>
          <w:sz w:val="26"/>
          <w:szCs w:val="26"/>
        </w:rPr>
        <w:t xml:space="preserve">2.2 Les 3 types d’évènements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Signification</w:t>
            </w:r>
          </w:p>
        </w:tc>
        <w:tc>
          <w:tcPr>
            <w:tcW w:type="dxa" w:w="3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Exemples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Information</w:t>
            </w:r>
          </w:p>
        </w:tc>
        <w:tc>
          <w:tcPr>
            <w:tcW w:type="dxa" w:w="3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Tâche terminée normalement</w:t>
            </w:r>
          </w:p>
        </w:tc>
        <w:tc>
          <w:tcPr>
            <w:tcW w:type="dxa" w:w="3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Sauvegarde réussie, impression terminée</w:t>
            </w:r>
          </w:p>
        </w:tc>
      </w:tr>
      <w:tr>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20"/>
                <w:szCs w:val="20"/>
              </w:rPr>
              <w:t xml:space="preserve">Avertissement</w:t>
            </w:r>
          </w:p>
        </w:tc>
        <w:tc>
          <w:tcPr>
            <w:tcW w:type="dxa" w:w="3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Seuil dépassé ou erreur détectée</w:t>
            </w:r>
          </w:p>
        </w:tc>
        <w:tc>
          <w:tcPr>
            <w:tcW w:type="dxa" w:w="3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Disque presque plein, mauvais mot de passe</w:t>
            </w:r>
          </w:p>
        </w:tc>
      </w:tr>
      <w:tr>
        <w:tc>
          <w:tcPr>
            <w:tcW w:type="dxa" w:w="2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0392B"/>
                <w:sz w:val="20"/>
                <w:szCs w:val="20"/>
              </w:rPr>
              <w:t xml:space="preserve">Exception</w:t>
            </w:r>
          </w:p>
        </w:tc>
        <w:tc>
          <w:tcPr>
            <w:tcW w:type="dxa" w:w="3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Problème grave nécessitant une intervention immédiate</w:t>
            </w:r>
          </w:p>
        </w:tc>
        <w:tc>
          <w:tcPr>
            <w:tcW w:type="dxa" w:w="3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Processeur saturé, connexion trop lente</w:t>
            </w:r>
          </w:p>
        </w:tc>
      </w:tr>
    </w:tbl>
    <w:p>
      <w:pPr>
        <w:spacing w:before="160" w:after="0"/>
      </w:pPr>
    </w:p>
    <w:p>
      <w:pPr>
        <w:spacing w:before="80" w:after="80"/>
      </w:pPr>
      <w:r>
        <w:rPr>
          <w:rFonts w:ascii="Arial" w:cs="Arial" w:eastAsia="Arial" w:hAnsi="Arial"/>
          <w:sz w:val="22"/>
          <w:szCs w:val="22"/>
        </w:rPr>
        <w:t xml:space="preserve">Les exceptions déclenchent souvent automatiquement la gestion des incidents. Les avertissements alertent la gestion de la capacité. Cette pratique doit être très automatisée car les volumes de messages sont très importants.</w:t>
      </w:r>
    </w:p>
    <w:p>
      <w:pPr>
        <w:pBdr>
          <w:bottom w:val="single" w:color="2E75B6" w:sz="4" w:space="1"/>
        </w:pBdr>
        <w:spacing w:before="200" w:after="200"/>
      </w:pPr>
    </w:p>
    <w:p>
      <w:pPr>
        <w:pStyle w:val="Heading1"/>
        <w:spacing w:before="360" w:after="200"/>
      </w:pPr>
      <w:r>
        <w:rPr>
          <w:rFonts w:ascii="Arial" w:cs="Arial" w:eastAsia="Arial" w:hAnsi="Arial"/>
          <w:b/>
          <w:bCs/>
          <w:color w:val="1F4E79"/>
          <w:sz w:val="32"/>
          <w:szCs w:val="32"/>
        </w:rPr>
        <w:t xml:space="preserve">3. Gestion des Demandes de Service</w:t>
      </w:r>
    </w:p>
    <w:p>
      <w:pPr>
        <w:spacing w:before="80" w:after="80"/>
      </w:pPr>
      <w:r>
        <w:rPr>
          <w:rFonts w:ascii="Arial" w:cs="Arial" w:eastAsia="Arial" w:hAnsi="Arial"/>
          <w:sz w:val="22"/>
          <w:szCs w:val="22"/>
        </w:rPr>
        <w:t xml:space="preserve">Une demande de service, c’est une requête standard d’un utilisateur (par exemple : installer un logiciel, créer un compte, réinitialiser un mot de passe). Ce n’est pas un incident, car le service fonctionne normalement.</w:t>
      </w:r>
    </w:p>
    <w:p>
      <w:pPr>
        <w:pStyle w:val="Heading2"/>
        <w:spacing w:before="280" w:after="160"/>
      </w:pPr>
      <w:r>
        <w:rPr>
          <w:rFonts w:ascii="Arial" w:cs="Arial" w:eastAsia="Arial" w:hAnsi="Arial"/>
          <w:b/>
          <w:bCs/>
          <w:color w:val="2E75B6"/>
          <w:sz w:val="26"/>
          <w:szCs w:val="26"/>
        </w:rPr>
        <w:t xml:space="preserve">3.1 Principe</w:t>
      </w:r>
    </w:p>
    <w:p>
      <w:pPr>
        <w:spacing w:before="80" w:after="80"/>
      </w:pPr>
      <w:r>
        <w:rPr>
          <w:rFonts w:ascii="Arial" w:cs="Arial" w:eastAsia="Arial" w:hAnsi="Arial"/>
          <w:sz w:val="22"/>
          <w:szCs w:val="22"/>
        </w:rPr>
        <w:t xml:space="preserve">Les demandes sont prédéfinies et préautorisées. Cela veut dire qu’on sait à l’avance comment les traiter, grâce à des procédures standardisées.</w:t>
      </w:r>
    </w:p>
    <w:p>
      <w:pPr>
        <w:pStyle w:val="Heading2"/>
        <w:spacing w:before="280" w:after="160"/>
      </w:pPr>
      <w:r>
        <w:rPr>
          <w:rFonts w:ascii="Arial" w:cs="Arial" w:eastAsia="Arial" w:hAnsi="Arial"/>
          <w:b/>
          <w:bCs/>
          <w:color w:val="2E75B6"/>
          <w:sz w:val="26"/>
          <w:szCs w:val="26"/>
        </w:rPr>
        <w:t xml:space="preserve">3.2 Étapes du traitement d’une demande</w:t>
      </w:r>
    </w:p>
    <w:p>
      <w:pPr>
        <w:pStyle w:val="ListParagraph"/>
        <w:numPr>
          <w:ilvl w:val="0"/>
          <w:numId w:val="3"/>
        </w:numPr>
        <w:spacing w:before="60" w:after="60"/>
      </w:pPr>
      <w:r>
        <w:rPr>
          <w:rFonts w:ascii="Arial" w:cs="Arial" w:eastAsia="Arial" w:hAnsi="Arial"/>
          <w:sz w:val="22"/>
          <w:szCs w:val="22"/>
        </w:rPr>
        <w:t xml:space="preserve">Initialisation : l’utilisateur fait sa demande (via portail, email, téléphone...)</w:t>
      </w:r>
    </w:p>
    <w:p>
      <w:pPr>
        <w:pStyle w:val="ListParagraph"/>
        <w:numPr>
          <w:ilvl w:val="0"/>
          <w:numId w:val="3"/>
        </w:numPr>
        <w:spacing w:before="60" w:after="60"/>
      </w:pPr>
      <w:r>
        <w:rPr>
          <w:rFonts w:ascii="Arial" w:cs="Arial" w:eastAsia="Arial" w:hAnsi="Arial"/>
          <w:sz w:val="22"/>
          <w:szCs w:val="22"/>
        </w:rPr>
        <w:t xml:space="preserve">Approbation : vérification que la demande est validée</w:t>
      </w:r>
    </w:p>
    <w:p>
      <w:pPr>
        <w:pStyle w:val="ListParagraph"/>
        <w:numPr>
          <w:ilvl w:val="0"/>
          <w:numId w:val="3"/>
        </w:numPr>
        <w:spacing w:before="60" w:after="60"/>
      </w:pPr>
      <w:r>
        <w:rPr>
          <w:rFonts w:ascii="Arial" w:cs="Arial" w:eastAsia="Arial" w:hAnsi="Arial"/>
          <w:sz w:val="22"/>
          <w:szCs w:val="22"/>
        </w:rPr>
        <w:t xml:space="preserve">Prise en charge : un technicien prend la demande</w:t>
      </w:r>
    </w:p>
    <w:p>
      <w:pPr>
        <w:pStyle w:val="ListParagraph"/>
        <w:numPr>
          <w:ilvl w:val="0"/>
          <w:numId w:val="3"/>
        </w:numPr>
        <w:spacing w:before="60" w:after="60"/>
      </w:pPr>
      <w:r>
        <w:rPr>
          <w:rFonts w:ascii="Arial" w:cs="Arial" w:eastAsia="Arial" w:hAnsi="Arial"/>
          <w:sz w:val="22"/>
          <w:szCs w:val="22"/>
        </w:rPr>
        <w:t xml:space="preserve">Réalisation : exécution de la demande selon un modèle standard</w:t>
      </w:r>
    </w:p>
    <w:p>
      <w:pPr>
        <w:pStyle w:val="ListParagraph"/>
        <w:numPr>
          <w:ilvl w:val="0"/>
          <w:numId w:val="3"/>
        </w:numPr>
        <w:spacing w:before="60" w:after="60"/>
      </w:pPr>
      <w:r>
        <w:rPr>
          <w:rFonts w:ascii="Arial" w:cs="Arial" w:eastAsia="Arial" w:hAnsi="Arial"/>
          <w:sz w:val="22"/>
          <w:szCs w:val="22"/>
        </w:rPr>
        <w:t xml:space="preserve">Clôture : confirmation avec l’utilisateur</w:t>
      </w:r>
    </w:p>
    <w:p>
      <w:pPr>
        <w:pStyle w:val="Heading2"/>
        <w:spacing w:before="280" w:after="160"/>
      </w:pPr>
      <w:r>
        <w:rPr>
          <w:rFonts w:ascii="Arial" w:cs="Arial" w:eastAsia="Arial" w:hAnsi="Arial"/>
          <w:b/>
          <w:bCs/>
          <w:color w:val="2E75B6"/>
          <w:sz w:val="26"/>
          <w:szCs w:val="26"/>
        </w:rPr>
        <w:t xml:space="preserve">3.3 Le catalogue de services</w:t>
      </w:r>
    </w:p>
    <w:p>
      <w:pPr>
        <w:spacing w:before="80" w:after="80"/>
      </w:pPr>
      <w:r>
        <w:rPr>
          <w:rFonts w:ascii="Arial" w:cs="Arial" w:eastAsia="Arial" w:hAnsi="Arial"/>
          <w:sz w:val="22"/>
          <w:szCs w:val="22"/>
        </w:rPr>
        <w:t xml:space="preserve">L’utilisateur peut choisir sa demande dans un catalogue (comme un menu). Chaque élément du catalogue a un modèle de traitement avec un délai cible. Cela permet de gagner du temps et d’assurer un traitement fiable.</w:t>
      </w:r>
    </w:p>
    <w:p>
      <w:pPr>
        <w:pStyle w:val="Heading2"/>
        <w:spacing w:before="280" w:after="160"/>
      </w:pPr>
      <w:r>
        <w:rPr>
          <w:rFonts w:ascii="Arial" w:cs="Arial" w:eastAsia="Arial" w:hAnsi="Arial"/>
          <w:b/>
          <w:bCs/>
          <w:color w:val="2E75B6"/>
          <w:sz w:val="26"/>
          <w:szCs w:val="26"/>
        </w:rPr>
        <w:t xml:space="preserve">3.4 Différence entre demande et incident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180"/>
              <w:bottom w:type="dxa" w:w="120"/>
              <w:right w:type="dxa" w:w="180"/>
            </w:tcMar>
          </w:tcPr>
          <w:p>
            <w:pPr>
              <w:spacing w:before="40" w:after="60"/>
            </w:pPr>
            <w:r>
              <w:rPr>
                <w:rFonts w:ascii="Arial" w:cs="Arial" w:eastAsia="Arial" w:hAnsi="Arial"/>
                <w:b/>
                <w:bCs/>
                <w:color w:val="1F4E79"/>
                <w:sz w:val="22"/>
                <w:szCs w:val="22"/>
              </w:rPr>
              <w:t xml:space="preserve">Demande de service</w:t>
            </w:r>
          </w:p>
          <w:p>
            <w:pPr>
              <w:spacing w:before="0" w:after="40"/>
            </w:pPr>
            <w:r>
              <w:rPr>
                <w:rFonts w:ascii="Arial" w:cs="Arial" w:eastAsia="Arial" w:hAnsi="Arial"/>
                <w:sz w:val="22"/>
                <w:szCs w:val="22"/>
              </w:rPr>
              <w:t xml:space="preserve">L’utilisateur veut quelque chose de nouveau ou de prévu (ex : création de compte, ajout de droits). Le service fonctionne normalement.</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120"/>
              <w:left w:type="dxa" w:w="180"/>
              <w:bottom w:type="dxa" w:w="120"/>
              <w:right w:type="dxa" w:w="180"/>
            </w:tcMar>
          </w:tcPr>
          <w:p>
            <w:pPr>
              <w:spacing w:before="40" w:after="60"/>
            </w:pPr>
            <w:r>
              <w:rPr>
                <w:rFonts w:ascii="Arial" w:cs="Arial" w:eastAsia="Arial" w:hAnsi="Arial"/>
                <w:b/>
                <w:bCs/>
                <w:color w:val="1F4E79"/>
                <w:sz w:val="22"/>
                <w:szCs w:val="22"/>
              </w:rPr>
              <w:t xml:space="preserve">Incident</w:t>
            </w:r>
          </w:p>
          <w:p>
            <w:pPr>
              <w:spacing w:before="0" w:after="40"/>
            </w:pPr>
            <w:r>
              <w:rPr>
                <w:rFonts w:ascii="Arial" w:cs="Arial" w:eastAsia="Arial" w:hAnsi="Arial"/>
                <w:sz w:val="22"/>
                <w:szCs w:val="22"/>
              </w:rPr>
              <w:t xml:space="preserve">Quelque chose ne fonctionne plus ou fonctionne mal (ex : impossible de se connecter, application plantée). Il faut rétablir le service le plus vite possible.</w:t>
            </w:r>
          </w:p>
        </w:tc>
      </w:tr>
    </w:tbl>
    <w:p>
      <w:pPr>
        <w:spacing w:before="200" w:after="0"/>
      </w:pPr>
    </w:p>
    <w:p>
      <w:pPr>
        <w:pBdr>
          <w:bottom w:val="single" w:color="2E75B6" w:sz="4" w:space="1"/>
        </w:pBdr>
        <w:spacing w:before="200" w:after="200"/>
      </w:pPr>
    </w:p>
    <w:p>
      <w:r>
        <w:br w:type="page"/>
      </w:r>
    </w:p>
    <w:p>
      <w:pPr>
        <w:pStyle w:val="Heading1"/>
        <w:spacing w:before="360" w:after="200"/>
      </w:pPr>
      <w:r>
        <w:rPr>
          <w:rFonts w:ascii="Arial" w:cs="Arial" w:eastAsia="Arial" w:hAnsi="Arial"/>
          <w:b/>
          <w:bCs/>
          <w:color w:val="1F4E79"/>
          <w:sz w:val="32"/>
          <w:szCs w:val="32"/>
        </w:rPr>
        <w:t xml:space="preserve">4. Gestion des Incidents</w:t>
      </w:r>
    </w:p>
    <w:p>
      <w:pPr>
        <w:spacing w:before="80" w:after="80"/>
      </w:pPr>
      <w:r>
        <w:rPr>
          <w:rFonts w:ascii="Arial" w:cs="Arial" w:eastAsia="Arial" w:hAnsi="Arial"/>
          <w:sz w:val="22"/>
          <w:szCs w:val="22"/>
        </w:rPr>
        <w:t xml:space="preserve">Un incident, c’est une interruption ou dégradation non prévue d’un service. L’objectif est de rétablir le service normal le plus rapidement possible.</w:t>
      </w:r>
    </w:p>
    <w:p>
      <w:pPr>
        <w:pStyle w:val="Heading2"/>
        <w:spacing w:before="280" w:after="160"/>
      </w:pPr>
      <w:r>
        <w:rPr>
          <w:rFonts w:ascii="Arial" w:cs="Arial" w:eastAsia="Arial" w:hAnsi="Arial"/>
          <w:b/>
          <w:bCs/>
          <w:color w:val="2E75B6"/>
          <w:sz w:val="26"/>
          <w:szCs w:val="26"/>
        </w:rPr>
        <w:t xml:space="preserve">4.1 Types d’incidents</w:t>
      </w:r>
    </w:p>
    <w:p>
      <w:pPr>
        <w:pStyle w:val="ListParagraph"/>
        <w:numPr>
          <w:ilvl w:val="0"/>
          <w:numId w:val="2"/>
        </w:numPr>
        <w:spacing w:before="60" w:after="60"/>
      </w:pPr>
      <w:r>
        <w:rPr>
          <w:rFonts w:ascii="Arial" w:cs="Arial" w:eastAsia="Arial" w:hAnsi="Arial"/>
          <w:sz w:val="22"/>
          <w:szCs w:val="22"/>
        </w:rPr>
        <w:t xml:space="preserve">Incidents courants : pannes simples, erreurs d’accès...</w:t>
      </w:r>
    </w:p>
    <w:p>
      <w:pPr>
        <w:pStyle w:val="ListParagraph"/>
        <w:numPr>
          <w:ilvl w:val="0"/>
          <w:numId w:val="2"/>
        </w:numPr>
        <w:spacing w:before="60" w:after="60"/>
      </w:pPr>
      <w:r>
        <w:rPr>
          <w:rFonts w:ascii="Arial" w:cs="Arial" w:eastAsia="Arial" w:hAnsi="Arial"/>
          <w:sz w:val="22"/>
          <w:szCs w:val="22"/>
        </w:rPr>
        <w:t xml:space="preserve">Incidents majeurs : impact très fort sur le métier, nécessitent une gestion spéciale</w:t>
      </w:r>
    </w:p>
    <w:p>
      <w:pPr>
        <w:pStyle w:val="ListParagraph"/>
        <w:numPr>
          <w:ilvl w:val="0"/>
          <w:numId w:val="2"/>
        </w:numPr>
        <w:spacing w:before="60" w:after="60"/>
      </w:pPr>
      <w:r>
        <w:rPr>
          <w:rFonts w:ascii="Arial" w:cs="Arial" w:eastAsia="Arial" w:hAnsi="Arial"/>
          <w:sz w:val="22"/>
          <w:szCs w:val="22"/>
        </w:rPr>
        <w:t xml:space="preserve">Incidents de sécurité : suspicion de piratage, fuite de données...</w:t>
      </w:r>
    </w:p>
    <w:p>
      <w:pPr>
        <w:pStyle w:val="Heading2"/>
        <w:spacing w:before="280" w:after="160"/>
      </w:pPr>
      <w:r>
        <w:rPr>
          <w:rFonts w:ascii="Arial" w:cs="Arial" w:eastAsia="Arial" w:hAnsi="Arial"/>
          <w:b/>
          <w:bCs/>
          <w:color w:val="2E75B6"/>
          <w:sz w:val="26"/>
          <w:szCs w:val="26"/>
        </w:rPr>
        <w:t xml:space="preserve">4.2 Le processus de gestion des incidents (flux complet)</w:t>
      </w:r>
    </w:p>
    <w:p>
      <w:pPr>
        <w:spacing w:before="80" w:after="80"/>
      </w:pPr>
      <w:r>
        <w:rPr>
          <w:rFonts w:ascii="Arial" w:cs="Arial" w:eastAsia="Arial" w:hAnsi="Arial"/>
          <w:sz w:val="22"/>
          <w:szCs w:val="22"/>
        </w:rPr>
        <w:t xml:space="preserve">Voici les étapes dans l’ordre :</w:t>
      </w:r>
    </w:p>
    <w:p>
      <w:pPr>
        <w:pStyle w:val="ListParagraph"/>
        <w:numPr>
          <w:ilvl w:val="0"/>
          <w:numId w:val="3"/>
        </w:numPr>
        <w:spacing w:before="60" w:after="60"/>
      </w:pPr>
      <w:r>
        <w:rPr>
          <w:rFonts w:ascii="Arial" w:cs="Arial" w:eastAsia="Arial" w:hAnsi="Arial"/>
          <w:sz w:val="22"/>
          <w:szCs w:val="22"/>
        </w:rPr>
        <w:t xml:space="preserve">Identification de l’incident (par l’utilisateur, le Centre de Services ou automatiquement)</w:t>
      </w:r>
    </w:p>
    <w:p>
      <w:pPr>
        <w:pStyle w:val="ListParagraph"/>
        <w:numPr>
          <w:ilvl w:val="0"/>
          <w:numId w:val="3"/>
        </w:numPr>
        <w:spacing w:before="60" w:after="60"/>
      </w:pPr>
      <w:r>
        <w:rPr>
          <w:rFonts w:ascii="Arial" w:cs="Arial" w:eastAsia="Arial" w:hAnsi="Arial"/>
          <w:sz w:val="22"/>
          <w:szCs w:val="22"/>
        </w:rPr>
        <w:t xml:space="preserve">Enregistrement dans l’outil de ticketing</w:t>
      </w:r>
    </w:p>
    <w:p>
      <w:pPr>
        <w:pStyle w:val="ListParagraph"/>
        <w:numPr>
          <w:ilvl w:val="0"/>
          <w:numId w:val="3"/>
        </w:numPr>
        <w:spacing w:before="60" w:after="60"/>
      </w:pPr>
      <w:r>
        <w:rPr>
          <w:rFonts w:ascii="Arial" w:cs="Arial" w:eastAsia="Arial" w:hAnsi="Arial"/>
          <w:sz w:val="22"/>
          <w:szCs w:val="22"/>
        </w:rPr>
        <w:t xml:space="preserve">Catégorisation (quel type de problème ?)</w:t>
      </w:r>
    </w:p>
    <w:p>
      <w:pPr>
        <w:pStyle w:val="ListParagraph"/>
        <w:numPr>
          <w:ilvl w:val="0"/>
          <w:numId w:val="3"/>
        </w:numPr>
        <w:spacing w:before="60" w:after="60"/>
      </w:pPr>
      <w:r>
        <w:rPr>
          <w:rFonts w:ascii="Arial" w:cs="Arial" w:eastAsia="Arial" w:hAnsi="Arial"/>
          <w:sz w:val="22"/>
          <w:szCs w:val="22"/>
        </w:rPr>
        <w:t xml:space="preserve">Vérification : est-ce une demande de service ? Si oui, redirection vers le bon processus</w:t>
      </w:r>
    </w:p>
    <w:p>
      <w:pPr>
        <w:pStyle w:val="ListParagraph"/>
        <w:numPr>
          <w:ilvl w:val="0"/>
          <w:numId w:val="3"/>
        </w:numPr>
        <w:spacing w:before="60" w:after="60"/>
      </w:pPr>
      <w:r>
        <w:rPr>
          <w:rFonts w:ascii="Arial" w:cs="Arial" w:eastAsia="Arial" w:hAnsi="Arial"/>
          <w:sz w:val="22"/>
          <w:szCs w:val="22"/>
        </w:rPr>
        <w:t xml:space="preserve">Priorisation (quelle urgence ?)</w:t>
      </w:r>
    </w:p>
    <w:p>
      <w:pPr>
        <w:pStyle w:val="ListParagraph"/>
        <w:numPr>
          <w:ilvl w:val="0"/>
          <w:numId w:val="3"/>
        </w:numPr>
        <w:spacing w:before="60" w:after="60"/>
      </w:pPr>
      <w:r>
        <w:rPr>
          <w:rFonts w:ascii="Arial" w:cs="Arial" w:eastAsia="Arial" w:hAnsi="Arial"/>
          <w:sz w:val="22"/>
          <w:szCs w:val="22"/>
        </w:rPr>
        <w:t xml:space="preserve">Vérification : est-ce un incident majeur ? Si oui, procédure spéciale</w:t>
      </w:r>
    </w:p>
    <w:p>
      <w:pPr>
        <w:pStyle w:val="ListParagraph"/>
        <w:numPr>
          <w:ilvl w:val="0"/>
          <w:numId w:val="3"/>
        </w:numPr>
        <w:spacing w:before="60" w:after="60"/>
      </w:pPr>
      <w:r>
        <w:rPr>
          <w:rFonts w:ascii="Arial" w:cs="Arial" w:eastAsia="Arial" w:hAnsi="Arial"/>
          <w:sz w:val="22"/>
          <w:szCs w:val="22"/>
        </w:rPr>
        <w:t xml:space="preserve">Diagnostic initial par le Centre de Services (niveau 1)</w:t>
      </w:r>
    </w:p>
    <w:p>
      <w:pPr>
        <w:pStyle w:val="ListParagraph"/>
        <w:numPr>
          <w:ilvl w:val="0"/>
          <w:numId w:val="3"/>
        </w:numPr>
        <w:spacing w:before="60" w:after="60"/>
      </w:pPr>
      <w:r>
        <w:rPr>
          <w:rFonts w:ascii="Arial" w:cs="Arial" w:eastAsia="Arial" w:hAnsi="Arial"/>
          <w:sz w:val="22"/>
          <w:szCs w:val="22"/>
        </w:rPr>
        <w:t xml:space="preserve">Escalade vers niveau 2 ou 3 si nécessaire</w:t>
      </w:r>
    </w:p>
    <w:p>
      <w:pPr>
        <w:pStyle w:val="ListParagraph"/>
        <w:numPr>
          <w:ilvl w:val="0"/>
          <w:numId w:val="3"/>
        </w:numPr>
        <w:spacing w:before="60" w:after="60"/>
      </w:pPr>
      <w:r>
        <w:rPr>
          <w:rFonts w:ascii="Arial" w:cs="Arial" w:eastAsia="Arial" w:hAnsi="Arial"/>
          <w:sz w:val="22"/>
          <w:szCs w:val="22"/>
        </w:rPr>
        <w:t xml:space="preserve">Investigation et diagnostic approfondi</w:t>
      </w:r>
    </w:p>
    <w:p>
      <w:pPr>
        <w:pStyle w:val="ListParagraph"/>
        <w:numPr>
          <w:ilvl w:val="0"/>
          <w:numId w:val="3"/>
        </w:numPr>
        <w:spacing w:before="60" w:after="60"/>
      </w:pPr>
      <w:r>
        <w:rPr>
          <w:rFonts w:ascii="Arial" w:cs="Arial" w:eastAsia="Arial" w:hAnsi="Arial"/>
          <w:sz w:val="22"/>
          <w:szCs w:val="22"/>
        </w:rPr>
        <w:t xml:space="preserve">Résolution et restauration du service</w:t>
      </w:r>
    </w:p>
    <w:p>
      <w:pPr>
        <w:pStyle w:val="ListParagraph"/>
        <w:numPr>
          <w:ilvl w:val="0"/>
          <w:numId w:val="3"/>
        </w:numPr>
        <w:spacing w:before="60" w:after="60"/>
      </w:pPr>
      <w:r>
        <w:rPr>
          <w:rFonts w:ascii="Arial" w:cs="Arial" w:eastAsia="Arial" w:hAnsi="Arial"/>
          <w:sz w:val="22"/>
          <w:szCs w:val="22"/>
        </w:rPr>
        <w:t xml:space="preserve">Clôture du ticket</w:t>
      </w:r>
    </w:p>
    <w:p>
      <w:pPr>
        <w:pStyle w:val="Heading2"/>
        <w:spacing w:before="280" w:after="160"/>
      </w:pPr>
      <w:r>
        <w:rPr>
          <w:rFonts w:ascii="Arial" w:cs="Arial" w:eastAsia="Arial" w:hAnsi="Arial"/>
          <w:b/>
          <w:bCs/>
          <w:color w:val="2E75B6"/>
          <w:sz w:val="26"/>
          <w:szCs w:val="26"/>
        </w:rPr>
        <w:t xml:space="preserve">4.3 La priorisation : GTI, GTE, GTR</w:t>
      </w:r>
    </w:p>
    <w:p>
      <w:pPr>
        <w:spacing w:before="80" w:after="80"/>
      </w:pPr>
      <w:r>
        <w:rPr>
          <w:rFonts w:ascii="Arial" w:cs="Arial" w:eastAsia="Arial" w:hAnsi="Arial"/>
          <w:sz w:val="22"/>
          <w:szCs w:val="22"/>
        </w:rPr>
        <w:t xml:space="preserve">Chaque incident a une priorité définie selon son impact. Les SLA (contrats de niveaux de service) fixent des délais à respecter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Sigle</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Signification</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Définition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GTI</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Garantie Temps d’Intervention</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Délai max pour prendre en charge l’incident</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20"/>
                <w:szCs w:val="20"/>
              </w:rPr>
              <w:t xml:space="preserve">GTE</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Garantie Temps d’Escalade</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Délai max avant d’escalader si non résolu</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GTR</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Garantie Temps de Rétablissement</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Délai max pour rétablir le service</w:t>
            </w:r>
          </w:p>
        </w:tc>
      </w:tr>
    </w:tbl>
    <w:p>
      <w:pPr>
        <w:spacing w:before="160" w:after="0"/>
      </w:pPr>
    </w:p>
    <w:p>
      <w:pPr>
        <w:pStyle w:val="Heading2"/>
        <w:spacing w:before="280" w:after="160"/>
      </w:pPr>
      <w:r>
        <w:rPr>
          <w:rFonts w:ascii="Arial" w:cs="Arial" w:eastAsia="Arial" w:hAnsi="Arial"/>
          <w:b/>
          <w:bCs/>
          <w:color w:val="2E75B6"/>
          <w:sz w:val="26"/>
          <w:szCs w:val="26"/>
        </w:rPr>
        <w:t xml:space="preserve">4.4 L’escalade</w:t>
      </w:r>
    </w:p>
    <w:p>
      <w:pPr>
        <w:spacing w:before="80" w:after="80"/>
      </w:pPr>
      <w:r>
        <w:rPr>
          <w:rFonts w:ascii="Arial" w:cs="Arial" w:eastAsia="Arial" w:hAnsi="Arial"/>
          <w:sz w:val="22"/>
          <w:szCs w:val="22"/>
        </w:rPr>
        <w:t xml:space="preserve">Si le Centre de Services (niveau 1) ne peut pas résoudre l’incident, il escalade :</w:t>
      </w:r>
    </w:p>
    <w:p>
      <w:pPr>
        <w:pStyle w:val="ListParagraph"/>
        <w:numPr>
          <w:ilvl w:val="0"/>
          <w:numId w:val="2"/>
        </w:numPr>
        <w:spacing w:before="60" w:after="60"/>
      </w:pPr>
      <w:r>
        <w:rPr>
          <w:rFonts w:ascii="Arial" w:cs="Arial" w:eastAsia="Arial" w:hAnsi="Arial"/>
          <w:sz w:val="22"/>
          <w:szCs w:val="22"/>
        </w:rPr>
        <w:t xml:space="preserve">Escalade fonctionnelle : vers une équipe plus compétente techniquement (N2, N3, développement...)</w:t>
      </w:r>
    </w:p>
    <w:p>
      <w:pPr>
        <w:pStyle w:val="ListParagraph"/>
        <w:numPr>
          <w:ilvl w:val="0"/>
          <w:numId w:val="2"/>
        </w:numPr>
        <w:spacing w:before="60" w:after="60"/>
      </w:pPr>
      <w:r>
        <w:rPr>
          <w:rFonts w:ascii="Arial" w:cs="Arial" w:eastAsia="Arial" w:hAnsi="Arial"/>
          <w:sz w:val="22"/>
          <w:szCs w:val="22"/>
        </w:rPr>
        <w:t xml:space="preserve">Escalade hiérarchique : vers le management pour une décision</w:t>
      </w:r>
    </w:p>
    <w:p>
      <w:pPr>
        <w:spacing w:before="80" w:after="80"/>
      </w:pPr>
      <w:r>
        <w:rPr>
          <w:rFonts w:ascii="Arial" w:cs="Arial" w:eastAsia="Arial" w:hAnsi="Arial"/>
          <w:sz w:val="22"/>
          <w:szCs w:val="22"/>
        </w:rPr>
        <w:t xml:space="preserve">Important : l’incident reste toujours sous la responsabilité du Centre de Services, même quand il est chez une autre équipe.</w:t>
      </w:r>
    </w:p>
    <w:p>
      <w:pPr>
        <w:pStyle w:val="Heading2"/>
        <w:spacing w:before="280" w:after="160"/>
      </w:pPr>
      <w:r>
        <w:rPr>
          <w:rFonts w:ascii="Arial" w:cs="Arial" w:eastAsia="Arial" w:hAnsi="Arial"/>
          <w:b/>
          <w:bCs/>
          <w:color w:val="2E75B6"/>
          <w:sz w:val="26"/>
          <w:szCs w:val="26"/>
        </w:rPr>
        <w:t xml:space="preserve">4.5 Méthodes de diagnostic</w:t>
      </w:r>
    </w:p>
    <w:p>
      <w:pPr>
        <w:pStyle w:val="ListParagraph"/>
        <w:numPr>
          <w:ilvl w:val="0"/>
          <w:numId w:val="2"/>
        </w:numPr>
        <w:spacing w:before="60" w:after="60"/>
      </w:pPr>
      <w:r>
        <w:rPr>
          <w:rFonts w:ascii="Arial" w:cs="Arial" w:eastAsia="Arial" w:hAnsi="Arial"/>
          <w:sz w:val="22"/>
          <w:szCs w:val="22"/>
        </w:rPr>
        <w:t xml:space="preserve">Top-Down (descendante) : on part de l’application et on descend vers le réseau physique. Ex : l’utilisateur ne peut pas naviguer → test URL → vérification proxy → DNS → ping → câble</w:t>
      </w:r>
    </w:p>
    <w:p>
      <w:pPr>
        <w:pStyle w:val="ListParagraph"/>
        <w:numPr>
          <w:ilvl w:val="0"/>
          <w:numId w:val="2"/>
        </w:numPr>
        <w:spacing w:before="60" w:after="60"/>
      </w:pPr>
      <w:r>
        <w:rPr>
          <w:rFonts w:ascii="Arial" w:cs="Arial" w:eastAsia="Arial" w:hAnsi="Arial"/>
          <w:sz w:val="22"/>
          <w:szCs w:val="22"/>
        </w:rPr>
        <w:t xml:space="preserve">Bottom-Up (montante) : on part du matériel et on remonte vers l’application. Ex : plus de réseau → vérification câble → commutateur → passerelle → pare-feu → application</w:t>
      </w:r>
    </w:p>
    <w:p>
      <w:pPr>
        <w:pStyle w:val="ListParagraph"/>
        <w:numPr>
          <w:ilvl w:val="0"/>
          <w:numId w:val="2"/>
        </w:numPr>
        <w:spacing w:before="60" w:after="60"/>
      </w:pPr>
      <w:r>
        <w:rPr>
          <w:rFonts w:ascii="Arial" w:cs="Arial" w:eastAsia="Arial" w:hAnsi="Arial"/>
          <w:sz w:val="22"/>
          <w:szCs w:val="22"/>
        </w:rPr>
        <w:t xml:space="preserve">Divide &amp; Conquer (dichotomique) : on commence au milieu et on monte ou descend selon le diagnostic. Ex : problème email → ping client → ping serveur → test port 25</w:t>
      </w:r>
    </w:p>
    <w:p>
      <w:pPr>
        <w:pStyle w:val="Heading2"/>
        <w:spacing w:before="280" w:after="160"/>
      </w:pPr>
      <w:r>
        <w:rPr>
          <w:rFonts w:ascii="Arial" w:cs="Arial" w:eastAsia="Arial" w:hAnsi="Arial"/>
          <w:b/>
          <w:bCs/>
          <w:color w:val="2E75B6"/>
          <w:sz w:val="26"/>
          <w:szCs w:val="26"/>
        </w:rPr>
        <w:t xml:space="preserve">4.6 Les indicateurs (KPI) importants</w:t>
      </w:r>
    </w:p>
    <w:p>
      <w:pPr>
        <w:pStyle w:val="ListParagraph"/>
        <w:numPr>
          <w:ilvl w:val="0"/>
          <w:numId w:val="2"/>
        </w:numPr>
        <w:spacing w:before="60" w:after="60"/>
      </w:pPr>
      <w:r>
        <w:rPr>
          <w:rFonts w:ascii="Arial" w:cs="Arial" w:eastAsia="Arial" w:hAnsi="Arial"/>
          <w:sz w:val="22"/>
          <w:szCs w:val="22"/>
        </w:rPr>
        <w:t xml:space="preserve">Nombre total d’incidents ouverts</w:t>
      </w:r>
    </w:p>
    <w:p>
      <w:pPr>
        <w:pStyle w:val="ListParagraph"/>
        <w:numPr>
          <w:ilvl w:val="0"/>
          <w:numId w:val="2"/>
        </w:numPr>
        <w:spacing w:before="60" w:after="60"/>
      </w:pPr>
      <w:r>
        <w:rPr>
          <w:rFonts w:ascii="Arial" w:cs="Arial" w:eastAsia="Arial" w:hAnsi="Arial"/>
          <w:sz w:val="22"/>
          <w:szCs w:val="22"/>
        </w:rPr>
        <w:t xml:space="preserve">Temps moyen de résolution</w:t>
      </w:r>
    </w:p>
    <w:p>
      <w:pPr>
        <w:pStyle w:val="ListParagraph"/>
        <w:numPr>
          <w:ilvl w:val="0"/>
          <w:numId w:val="2"/>
        </w:numPr>
        <w:spacing w:before="60" w:after="60"/>
      </w:pPr>
      <w:r>
        <w:rPr>
          <w:rFonts w:ascii="Arial" w:cs="Arial" w:eastAsia="Arial" w:hAnsi="Arial"/>
          <w:sz w:val="22"/>
          <w:szCs w:val="22"/>
        </w:rPr>
        <w:t xml:space="preserve">Pourcentage d’incidents résolus dans les délais</w:t>
      </w:r>
    </w:p>
    <w:p>
      <w:pPr>
        <w:pStyle w:val="ListParagraph"/>
        <w:numPr>
          <w:ilvl w:val="0"/>
          <w:numId w:val="2"/>
        </w:numPr>
        <w:spacing w:before="60" w:after="60"/>
      </w:pPr>
      <w:r>
        <w:rPr>
          <w:rFonts w:ascii="Arial" w:cs="Arial" w:eastAsia="Arial" w:hAnsi="Arial"/>
          <w:sz w:val="22"/>
          <w:szCs w:val="22"/>
        </w:rPr>
        <w:t xml:space="preserve">Pourcentage résolus au niveau 1 sans escalade</w:t>
      </w:r>
    </w:p>
    <w:p>
      <w:pPr>
        <w:pStyle w:val="ListParagraph"/>
        <w:numPr>
          <w:ilvl w:val="0"/>
          <w:numId w:val="2"/>
        </w:numPr>
        <w:spacing w:before="60" w:after="60"/>
      </w:pPr>
      <w:r>
        <w:rPr>
          <w:rFonts w:ascii="Arial" w:cs="Arial" w:eastAsia="Arial" w:hAnsi="Arial"/>
          <w:sz w:val="22"/>
          <w:szCs w:val="22"/>
        </w:rPr>
        <w:t xml:space="preserve">Nombre d’incidents mal catégorisés ou mal assignés</w:t>
      </w:r>
    </w:p>
    <w:p>
      <w:pPr>
        <w:pBdr>
          <w:bottom w:val="single" w:color="2E75B6" w:sz="4" w:space="1"/>
        </w:pBdr>
        <w:spacing w:before="200" w:after="200"/>
      </w:pPr>
    </w:p>
    <w:p>
      <w:pPr>
        <w:pStyle w:val="Heading1"/>
        <w:spacing w:before="360" w:after="200"/>
      </w:pPr>
      <w:r>
        <w:rPr>
          <w:rFonts w:ascii="Arial" w:cs="Arial" w:eastAsia="Arial" w:hAnsi="Arial"/>
          <w:b/>
          <w:bCs/>
          <w:color w:val="1F4E79"/>
          <w:sz w:val="32"/>
          <w:szCs w:val="32"/>
        </w:rPr>
        <w:t xml:space="preserve">5. Gestion des Problèmes</w:t>
      </w:r>
    </w:p>
    <w:p>
      <w:pPr>
        <w:spacing w:before="80" w:after="80"/>
      </w:pPr>
      <w:r>
        <w:rPr>
          <w:rFonts w:ascii="Arial" w:cs="Arial" w:eastAsia="Arial" w:hAnsi="Arial"/>
          <w:sz w:val="22"/>
          <w:szCs w:val="22"/>
        </w:rPr>
        <w:t xml:space="preserve">La gestion des problèmes, c’est différent de la gestion des incidents. Un incident, on le règle vite. Un problème, c’est la cause profonde qui revient.</w:t>
      </w:r>
    </w:p>
    <w:p>
      <w:pPr>
        <w:pStyle w:val="Heading2"/>
        <w:spacing w:before="280" w:after="160"/>
      </w:pPr>
      <w:r>
        <w:rPr>
          <w:rFonts w:ascii="Arial" w:cs="Arial" w:eastAsia="Arial" w:hAnsi="Arial"/>
          <w:b/>
          <w:bCs/>
          <w:color w:val="2E75B6"/>
          <w:sz w:val="26"/>
          <w:szCs w:val="26"/>
        </w:rPr>
        <w:t xml:space="preserve">5.1 Définition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180"/>
              <w:bottom w:type="dxa" w:w="120"/>
              <w:right w:type="dxa" w:w="180"/>
            </w:tcMar>
          </w:tcPr>
          <w:p>
            <w:pPr>
              <w:spacing w:before="40" w:after="60"/>
            </w:pPr>
            <w:r>
              <w:rPr>
                <w:rFonts w:ascii="Arial" w:cs="Arial" w:eastAsia="Arial" w:hAnsi="Arial"/>
                <w:b/>
                <w:bCs/>
                <w:color w:val="1F4E79"/>
                <w:sz w:val="22"/>
                <w:szCs w:val="22"/>
              </w:rPr>
              <w:t xml:space="preserve">Exemple concret du cours</w:t>
            </w:r>
          </w:p>
          <w:p>
            <w:pPr>
              <w:spacing w:before="0" w:after="40"/>
            </w:pPr>
            <w:r>
              <w:rPr>
                <w:rFonts w:ascii="Arial" w:cs="Arial" w:eastAsia="Arial" w:hAnsi="Arial"/>
                <w:sz w:val="22"/>
                <w:szCs w:val="22"/>
              </w:rPr>
              <w:t xml:space="preserve">Une application est lente : on redémarre le serveur (incident résolu). Mais le lendemain, la lenteur revient. Là, il faut mener une vraie investigation pour trouver la cause profonde : c’est un problème.</w:t>
            </w:r>
          </w:p>
        </w:tc>
      </w:tr>
    </w:tbl>
    <w:p>
      <w:pPr>
        <w:spacing w:before="160" w:after="0"/>
      </w:pPr>
    </w:p>
    <w:p>
      <w:pPr>
        <w:pStyle w:val="Heading2"/>
        <w:spacing w:before="280" w:after="160"/>
      </w:pPr>
      <w:r>
        <w:rPr>
          <w:rFonts w:ascii="Arial" w:cs="Arial" w:eastAsia="Arial" w:hAnsi="Arial"/>
          <w:b/>
          <w:bCs/>
          <w:color w:val="2E75B6"/>
          <w:sz w:val="26"/>
          <w:szCs w:val="26"/>
        </w:rPr>
        <w:t xml:space="preserve">5.2 La notion d’erreur connue</w:t>
      </w:r>
    </w:p>
    <w:p>
      <w:pPr>
        <w:spacing w:before="80" w:after="80"/>
      </w:pPr>
      <w:r>
        <w:rPr>
          <w:rFonts w:ascii="Arial" w:cs="Arial" w:eastAsia="Arial" w:hAnsi="Arial"/>
          <w:sz w:val="22"/>
          <w:szCs w:val="22"/>
        </w:rPr>
        <w:t xml:space="preserve">Quand un problème a été identifié mais pas encore résolu, on l’appelle une erreur connue. On documente alors une solution de contournement (workaround) pour limiter l’impact en attendant la vraie solution.</w:t>
      </w:r>
    </w:p>
    <w:p>
      <w:pPr>
        <w:pStyle w:val="Heading2"/>
        <w:spacing w:before="280" w:after="160"/>
      </w:pPr>
      <w:r>
        <w:rPr>
          <w:rFonts w:ascii="Arial" w:cs="Arial" w:eastAsia="Arial" w:hAnsi="Arial"/>
          <w:b/>
          <w:bCs/>
          <w:color w:val="2E75B6"/>
          <w:sz w:val="26"/>
          <w:szCs w:val="26"/>
        </w:rPr>
        <w:t xml:space="preserve">5.3 Les étapes de la gestion des problèmes</w:t>
      </w:r>
    </w:p>
    <w:p>
      <w:pPr>
        <w:pStyle w:val="ListParagraph"/>
        <w:numPr>
          <w:ilvl w:val="0"/>
          <w:numId w:val="3"/>
        </w:numPr>
        <w:spacing w:before="60" w:after="60"/>
      </w:pPr>
      <w:r>
        <w:rPr>
          <w:rFonts w:ascii="Arial" w:cs="Arial" w:eastAsia="Arial" w:hAnsi="Arial"/>
          <w:sz w:val="22"/>
          <w:szCs w:val="22"/>
        </w:rPr>
        <w:t xml:space="preserve">Détection : identifier les incidents récurrents ou d’analyse de tendances</w:t>
      </w:r>
    </w:p>
    <w:p>
      <w:pPr>
        <w:pStyle w:val="ListParagraph"/>
        <w:numPr>
          <w:ilvl w:val="0"/>
          <w:numId w:val="3"/>
        </w:numPr>
        <w:spacing w:before="60" w:after="60"/>
      </w:pPr>
      <w:r>
        <w:rPr>
          <w:rFonts w:ascii="Arial" w:cs="Arial" w:eastAsia="Arial" w:hAnsi="Arial"/>
          <w:sz w:val="22"/>
          <w:szCs w:val="22"/>
        </w:rPr>
        <w:t xml:space="preserve">Enregistrement et priorisation du problème</w:t>
      </w:r>
    </w:p>
    <w:p>
      <w:pPr>
        <w:pStyle w:val="ListParagraph"/>
        <w:numPr>
          <w:ilvl w:val="0"/>
          <w:numId w:val="3"/>
        </w:numPr>
        <w:spacing w:before="60" w:after="60"/>
      </w:pPr>
      <w:r>
        <w:rPr>
          <w:rFonts w:ascii="Arial" w:cs="Arial" w:eastAsia="Arial" w:hAnsi="Arial"/>
          <w:sz w:val="22"/>
          <w:szCs w:val="22"/>
        </w:rPr>
        <w:t xml:space="preserve">Investigation : analyser la cause profonde dans les 4 dimensions du service</w:t>
      </w:r>
    </w:p>
    <w:p>
      <w:pPr>
        <w:pStyle w:val="ListParagraph"/>
        <w:numPr>
          <w:ilvl w:val="0"/>
          <w:numId w:val="3"/>
        </w:numPr>
        <w:spacing w:before="60" w:after="60"/>
      </w:pPr>
      <w:r>
        <w:rPr>
          <w:rFonts w:ascii="Arial" w:cs="Arial" w:eastAsia="Arial" w:hAnsi="Arial"/>
          <w:sz w:val="22"/>
          <w:szCs w:val="22"/>
        </w:rPr>
        <w:t xml:space="preserve">Documentation d’une solution de contournement</w:t>
      </w:r>
    </w:p>
    <w:p>
      <w:pPr>
        <w:pStyle w:val="ListParagraph"/>
        <w:numPr>
          <w:ilvl w:val="0"/>
          <w:numId w:val="3"/>
        </w:numPr>
        <w:spacing w:before="60" w:after="60"/>
      </w:pPr>
      <w:r>
        <w:rPr>
          <w:rFonts w:ascii="Arial" w:cs="Arial" w:eastAsia="Arial" w:hAnsi="Arial"/>
          <w:sz w:val="22"/>
          <w:szCs w:val="22"/>
        </w:rPr>
        <w:t xml:space="preserve">Résolution permanente : déclenche souvent un changement d’infrastructure</w:t>
      </w:r>
    </w:p>
    <w:p>
      <w:pPr>
        <w:pStyle w:val="ListParagraph"/>
        <w:numPr>
          <w:ilvl w:val="0"/>
          <w:numId w:val="3"/>
        </w:numPr>
        <w:spacing w:before="60" w:after="60"/>
      </w:pPr>
      <w:r>
        <w:rPr>
          <w:rFonts w:ascii="Arial" w:cs="Arial" w:eastAsia="Arial" w:hAnsi="Arial"/>
          <w:sz w:val="22"/>
          <w:szCs w:val="22"/>
        </w:rPr>
        <w:t xml:space="preserve">Clôture : une fois la cause résolu définitivement</w:t>
      </w:r>
    </w:p>
    <w:p>
      <w:pPr>
        <w:pBdr>
          <w:bottom w:val="single" w:color="2E75B6" w:sz="4" w:space="1"/>
        </w:pBdr>
        <w:spacing w:before="200" w:after="200"/>
      </w:pPr>
    </w:p>
    <w:p>
      <w:pPr>
        <w:pStyle w:val="Heading1"/>
        <w:spacing w:before="360" w:after="200"/>
      </w:pPr>
      <w:r>
        <w:rPr>
          <w:rFonts w:ascii="Arial" w:cs="Arial" w:eastAsia="Arial" w:hAnsi="Arial"/>
          <w:b/>
          <w:bCs/>
          <w:color w:val="1F4E79"/>
          <w:sz w:val="32"/>
          <w:szCs w:val="32"/>
        </w:rPr>
        <w:t xml:space="preserve">6. L’outil GLPI</w:t>
      </w:r>
    </w:p>
    <w:p>
      <w:pPr>
        <w:spacing w:before="80" w:after="80"/>
      </w:pPr>
      <w:r>
        <w:rPr>
          <w:rFonts w:ascii="Arial" w:cs="Arial" w:eastAsia="Arial" w:hAnsi="Arial"/>
          <w:sz w:val="22"/>
          <w:szCs w:val="22"/>
        </w:rPr>
        <w:t xml:space="preserve">GLPI est un logiciel open source (gratuit) utilisé pour gérer les tickets informatiques. Il permet de :</w:t>
      </w:r>
    </w:p>
    <w:p>
      <w:pPr>
        <w:pStyle w:val="ListParagraph"/>
        <w:numPr>
          <w:ilvl w:val="0"/>
          <w:numId w:val="2"/>
        </w:numPr>
        <w:spacing w:before="60" w:after="60"/>
      </w:pPr>
      <w:r>
        <w:rPr>
          <w:rFonts w:ascii="Arial" w:cs="Arial" w:eastAsia="Arial" w:hAnsi="Arial"/>
          <w:sz w:val="22"/>
          <w:szCs w:val="22"/>
        </w:rPr>
        <w:t xml:space="preserve">Créer et suivre les tickets d’incidents et de demandes</w:t>
      </w:r>
    </w:p>
    <w:p>
      <w:pPr>
        <w:pStyle w:val="ListParagraph"/>
        <w:numPr>
          <w:ilvl w:val="0"/>
          <w:numId w:val="2"/>
        </w:numPr>
        <w:spacing w:before="60" w:after="60"/>
      </w:pPr>
      <w:r>
        <w:rPr>
          <w:rFonts w:ascii="Arial" w:cs="Arial" w:eastAsia="Arial" w:hAnsi="Arial"/>
          <w:sz w:val="22"/>
          <w:szCs w:val="22"/>
        </w:rPr>
        <w:t xml:space="preserve">Assigner les tickets aux techniciens</w:t>
      </w:r>
    </w:p>
    <w:p>
      <w:pPr>
        <w:pStyle w:val="ListParagraph"/>
        <w:numPr>
          <w:ilvl w:val="0"/>
          <w:numId w:val="2"/>
        </w:numPr>
        <w:spacing w:before="60" w:after="60"/>
      </w:pPr>
      <w:r>
        <w:rPr>
          <w:rFonts w:ascii="Arial" w:cs="Arial" w:eastAsia="Arial" w:hAnsi="Arial"/>
          <w:sz w:val="22"/>
          <w:szCs w:val="22"/>
        </w:rPr>
        <w:t xml:space="preserve">Ajouter des suivis et des solutions</w:t>
      </w:r>
    </w:p>
    <w:p>
      <w:pPr>
        <w:pStyle w:val="ListParagraph"/>
        <w:numPr>
          <w:ilvl w:val="0"/>
          <w:numId w:val="2"/>
        </w:numPr>
        <w:spacing w:before="60" w:after="60"/>
      </w:pPr>
      <w:r>
        <w:rPr>
          <w:rFonts w:ascii="Arial" w:cs="Arial" w:eastAsia="Arial" w:hAnsi="Arial"/>
          <w:sz w:val="22"/>
          <w:szCs w:val="22"/>
        </w:rPr>
        <w:t xml:space="preserve">Gérer le parc informatique (ordinateurs, logiciels...)</w:t>
      </w:r>
    </w:p>
    <w:p>
      <w:pPr>
        <w:pStyle w:val="ListParagraph"/>
        <w:numPr>
          <w:ilvl w:val="0"/>
          <w:numId w:val="2"/>
        </w:numPr>
        <w:spacing w:before="60" w:after="60"/>
      </w:pPr>
      <w:r>
        <w:rPr>
          <w:rFonts w:ascii="Arial" w:cs="Arial" w:eastAsia="Arial" w:hAnsi="Arial"/>
          <w:sz w:val="22"/>
          <w:szCs w:val="22"/>
        </w:rPr>
        <w:t xml:space="preserve">Clôturer les tickets et recueillir la satisfaction utilisateur</w:t>
      </w:r>
    </w:p>
    <w:p>
      <w:pPr>
        <w:spacing w:before="80" w:after="80"/>
      </w:pPr>
      <w:r>
        <w:rPr>
          <w:rFonts w:ascii="Arial" w:cs="Arial" w:eastAsia="Arial" w:hAnsi="Arial"/>
          <w:sz w:val="22"/>
          <w:szCs w:val="22"/>
        </w:rPr>
        <w:t xml:space="preserve">Dans GLPI, un ticket passe par plusieurs statuts : Création → Attribué → En cours → Solution proposée → Clôturé (ou refus de la solution).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200"/>
              <w:left w:type="dxa" w:w="300"/>
              <w:bottom w:type="dxa" w:w="200"/>
              <w:right w:type="dxa" w:w="300"/>
            </w:tcMar>
          </w:tcPr>
          <w:p>
            <w:pPr>
              <w:jc w:val="center"/>
            </w:pPr>
            <w:r>
              <w:rPr>
                <w:rFonts w:ascii="Arial" w:cs="Arial" w:eastAsia="Arial" w:hAnsi="Arial"/>
                <w:b/>
                <w:bCs/>
                <w:color w:val="FFFFFF"/>
                <w:sz w:val="32"/>
                <w:szCs w:val="32"/>
              </w:rPr>
              <w:t xml:space="preserve">PARTIE 2 — Exercice ERIS PR1</w:t>
            </w:r>
          </w:p>
          <w:p>
            <w:pPr>
              <w:jc w:val="center"/>
            </w:pPr>
            <w:r>
              <w:rPr>
                <w:rFonts w:ascii="Arial" w:cs="Arial" w:eastAsia="Arial" w:hAnsi="Arial"/>
                <w:i/>
                <w:iCs/>
                <w:color w:val="BDD7EE"/>
                <w:sz w:val="24"/>
                <w:szCs w:val="24"/>
              </w:rPr>
              <w:t xml:space="preserve">Organisation du support IT — The Telephone Girls</w:t>
            </w:r>
          </w:p>
        </w:tc>
      </w:tr>
    </w:tbl>
    <w:p>
      <w:pPr>
        <w:spacing w:before="200" w:after="0"/>
      </w:pPr>
    </w:p>
    <w:p>
      <w:pPr>
        <w:pStyle w:val="Heading2"/>
        <w:spacing w:before="280" w:after="160"/>
      </w:pPr>
      <w:r>
        <w:rPr>
          <w:rFonts w:ascii="Arial" w:cs="Arial" w:eastAsia="Arial" w:hAnsi="Arial"/>
          <w:b/>
          <w:bCs/>
          <w:color w:val="2E75B6"/>
          <w:sz w:val="26"/>
          <w:szCs w:val="26"/>
        </w:rPr>
        <w:t xml:space="preserve">Contexte du projet</w:t>
      </w:r>
    </w:p>
    <w:p>
      <w:pPr>
        <w:spacing w:before="80" w:after="80"/>
      </w:pPr>
      <w:r>
        <w:rPr>
          <w:rFonts w:ascii="Arial" w:cs="Arial" w:eastAsia="Arial" w:hAnsi="Arial"/>
          <w:sz w:val="22"/>
          <w:szCs w:val="22"/>
        </w:rPr>
        <w:t xml:space="preserve">The Telephone Girls est un centre d’appels spécialisé dans la prise de rendez-vous. Il fonctionne en temps réel sur 3 sites : Brive, Limoges et Toulouse, avec 100 utilisateurs répartis.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120"/>
              <w:left w:type="dxa" w:w="180"/>
              <w:bottom w:type="dxa" w:w="120"/>
              <w:right w:type="dxa" w:w="180"/>
            </w:tcMar>
          </w:tcPr>
          <w:p>
            <w:pPr>
              <w:spacing w:before="40" w:after="60"/>
            </w:pPr>
            <w:r>
              <w:rPr>
                <w:rFonts w:ascii="Arial" w:cs="Arial" w:eastAsia="Arial" w:hAnsi="Arial"/>
                <w:b/>
                <w:bCs/>
                <w:color w:val="1F4E79"/>
                <w:sz w:val="22"/>
                <w:szCs w:val="22"/>
              </w:rPr>
              <w:t xml:space="preserve">Point clé</w:t>
            </w:r>
          </w:p>
          <w:p>
            <w:pPr>
              <w:spacing w:before="0" w:after="40"/>
            </w:pPr>
            <w:r>
              <w:rPr>
                <w:rFonts w:ascii="Arial" w:cs="Arial" w:eastAsia="Arial" w:hAnsi="Arial"/>
                <w:sz w:val="22"/>
                <w:szCs w:val="22"/>
              </w:rPr>
              <w:t xml:space="preserve">Toute interruption du système informatique (SI) impacte directement le chiffre d’affaires. La disponibilité du SI n’est pas une option, c’est une nécessité absolue.</w:t>
            </w:r>
          </w:p>
        </w:tc>
      </w:tr>
    </w:tbl>
    <w:p>
      <w:pPr>
        <w:spacing w:before="160" w:after="0"/>
      </w:pPr>
    </w:p>
    <w:p>
      <w:pPr>
        <w:spacing w:before="80" w:after="80"/>
      </w:pPr>
      <w:r>
        <w:rPr>
          <w:rFonts w:ascii="Arial" w:cs="Arial" w:eastAsia="Arial" w:hAnsi="Arial"/>
          <w:sz w:val="22"/>
          <w:szCs w:val="22"/>
        </w:rPr>
        <w:t xml:space="preserve">L’infrastructure est déjà en place : ferme RDS (applications métier centralisées), téléphonie IP haute disponibilité avec basculement automatique, et un outil de ticketing existant à optimiser.</w:t>
      </w:r>
    </w:p>
    <w:p>
      <w:pPr>
        <w:pBdr>
          <w:bottom w:val="single" w:color="2E75B6" w:sz="4" w:space="1"/>
        </w:pBdr>
        <w:spacing w:before="200" w:after="200"/>
      </w:pPr>
    </w:p>
    <w:p>
      <w:pPr>
        <w:pStyle w:val="Heading1"/>
        <w:spacing w:before="360" w:after="200"/>
      </w:pPr>
      <w:r>
        <w:rPr>
          <w:rFonts w:ascii="Arial" w:cs="Arial" w:eastAsia="Arial" w:hAnsi="Arial"/>
          <w:b/>
          <w:bCs/>
          <w:color w:val="1F4E79"/>
          <w:sz w:val="32"/>
          <w:szCs w:val="32"/>
        </w:rPr>
        <w:t xml:space="preserve">Partie 1 — Organisation du support</w:t>
      </w:r>
    </w:p>
    <w:p>
      <w:pPr>
        <w:pStyle w:val="Heading2"/>
        <w:spacing w:before="280" w:after="160"/>
      </w:pPr>
      <w:r>
        <w:rPr>
          <w:rFonts w:ascii="Arial" w:cs="Arial" w:eastAsia="Arial" w:hAnsi="Arial"/>
          <w:b/>
          <w:bCs/>
          <w:color w:val="2E75B6"/>
          <w:sz w:val="26"/>
          <w:szCs w:val="26"/>
        </w:rPr>
        <w:t xml:space="preserve">Dimensionnement de l’équipe</w:t>
      </w:r>
    </w:p>
    <w:p>
      <w:pPr>
        <w:spacing w:before="80" w:after="80"/>
      </w:pPr>
      <w:r>
        <w:rPr>
          <w:rFonts w:ascii="Arial" w:cs="Arial" w:eastAsia="Arial" w:hAnsi="Arial"/>
          <w:sz w:val="22"/>
          <w:szCs w:val="22"/>
        </w:rPr>
        <w:t xml:space="preserve">Pour 100 utilisateurs répartis sur 3 sites, voici l’organisation recommandée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Niveau</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Rôle</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Effectif proposé</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Présence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9"/>
                <w:szCs w:val="19"/>
              </w:rPr>
              <w:t xml:space="preserve">N1</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Support utilisateur, prise en charge des tickets, résolution des incidents simples</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3 techniciens (dont 1 référent par site)</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Horaires étendus 7h-20h, astreinte le w-e</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19"/>
                <w:szCs w:val="19"/>
              </w:rPr>
              <w:t xml:space="preserve">N2</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19"/>
                <w:szCs w:val="19"/>
              </w:rPr>
              <w:t xml:space="preserve">Expertise RDS, téléphonie IP, incidents complexes</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19"/>
                <w:szCs w:val="19"/>
              </w:rPr>
              <w:t xml:space="preserve">2 techniciens spécialisés</w:t>
            </w:r>
          </w:p>
        </w:tc>
        <w:tc>
          <w:tcPr>
            <w:tcW w:type="dxa" w:w="2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19"/>
                <w:szCs w:val="19"/>
              </w:rPr>
              <w:t xml:space="preserve">Horaires bureau + astreinte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9"/>
                <w:szCs w:val="19"/>
              </w:rPr>
              <w:t xml:space="preserve">N3</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Architecture, évolutions, incidents majeurs</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1 responsable infrastructure / DSI</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Sur appel, décisions stratégiques</w:t>
            </w:r>
          </w:p>
        </w:tc>
      </w:tr>
    </w:tbl>
    <w:p>
      <w:pPr>
        <w:spacing w:before="200" w:after="0"/>
      </w:pPr>
    </w:p>
    <w:p>
      <w:pPr>
        <w:pStyle w:val="Heading2"/>
        <w:spacing w:before="280" w:after="160"/>
      </w:pPr>
      <w:r>
        <w:rPr>
          <w:rFonts w:ascii="Arial" w:cs="Arial" w:eastAsia="Arial" w:hAnsi="Arial"/>
          <w:b/>
          <w:bCs/>
          <w:color w:val="2E75B6"/>
          <w:sz w:val="26"/>
          <w:szCs w:val="26"/>
        </w:rPr>
        <w:t xml:space="preserve">Matrice RACI — Gestion des incidents et demandes</w:t>
      </w:r>
    </w:p>
    <w:p>
      <w:pPr>
        <w:spacing w:before="80" w:after="80"/>
      </w:pPr>
      <w:r>
        <w:rPr>
          <w:rFonts w:ascii="Arial" w:cs="Arial" w:eastAsia="Arial" w:hAnsi="Arial"/>
          <w:sz w:val="22"/>
          <w:szCs w:val="22"/>
        </w:rPr>
        <w:t xml:space="preserve">La matrice RACI définit qui fait quoi : R = Responsable, A = Approbateur, C = Consulté, I = Informé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1440"/>
        <w:gridCol w:w="1440"/>
        <w:gridCol w:w="144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Activité</w:t>
            </w:r>
          </w:p>
        </w:tc>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N1</w:t>
            </w:r>
          </w:p>
        </w:tc>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N2</w:t>
            </w:r>
          </w:p>
        </w:tc>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N3</w:t>
            </w:r>
          </w:p>
        </w:tc>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Direction</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9"/>
                <w:szCs w:val="19"/>
              </w:rPr>
              <w:t xml:space="preserve">Réception et enregistrement du ticket</w:t>
            </w:r>
          </w:p>
        </w:tc>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R</w:t>
            </w:r>
          </w:p>
        </w:tc>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444444"/>
                <w:sz w:val="19"/>
                <w:szCs w:val="19"/>
              </w:rPr>
              <w:t xml:space="preserve">I</w:t>
            </w:r>
          </w:p>
        </w:tc>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444444"/>
                <w:sz w:val="19"/>
                <w:szCs w:val="19"/>
              </w:rPr>
              <w:t xml:space="preserve">I</w:t>
            </w:r>
          </w:p>
        </w:tc>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444444"/>
                <w:sz w:val="19"/>
                <w:szCs w:val="19"/>
              </w:rPr>
              <w:t xml:space="preserve">I</w:t>
            </w:r>
          </w:p>
        </w:tc>
      </w:tr>
      <w:tr>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color w:val="444444"/>
                <w:sz w:val="19"/>
                <w:szCs w:val="19"/>
              </w:rPr>
              <w:t xml:space="preserve">Catégorisation et priorisation</w:t>
            </w:r>
          </w:p>
        </w:tc>
        <w:tc>
          <w:tcPr>
            <w:tcW w:type="dxa" w:w="14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R</w:t>
            </w:r>
          </w:p>
        </w:tc>
        <w:tc>
          <w:tcPr>
            <w:tcW w:type="dxa" w:w="14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bCs/>
                <w:color w:val="856404"/>
                <w:sz w:val="19"/>
                <w:szCs w:val="19"/>
              </w:rPr>
              <w:t xml:space="preserve">C</w:t>
            </w:r>
          </w:p>
        </w:tc>
        <w:tc>
          <w:tcPr>
            <w:tcW w:type="dxa" w:w="14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bCs/>
                <w:color w:val="444444"/>
                <w:sz w:val="19"/>
                <w:szCs w:val="19"/>
              </w:rPr>
              <w:t xml:space="preserve">I</w:t>
            </w:r>
          </w:p>
        </w:tc>
        <w:tc>
          <w:tcPr>
            <w:tcW w:type="dxa" w:w="14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bCs/>
                <w:color w:val="444444"/>
                <w:sz w:val="19"/>
                <w:szCs w:val="19"/>
              </w:rPr>
              <w:t xml:space="preserve">I</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9"/>
                <w:szCs w:val="19"/>
              </w:rPr>
              <w:t xml:space="preserve">Diagnostic initial et résolution N1</w:t>
            </w:r>
          </w:p>
        </w:tc>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R</w:t>
            </w:r>
          </w:p>
        </w:tc>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856404"/>
                <w:sz w:val="19"/>
                <w:szCs w:val="19"/>
              </w:rPr>
              <w:t xml:space="preserve">C</w:t>
            </w:r>
          </w:p>
        </w:tc>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444444"/>
                <w:sz w:val="19"/>
                <w:szCs w:val="19"/>
              </w:rPr>
              <w:t xml:space="preserve">I</w:t>
            </w:r>
          </w:p>
        </w:tc>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444444"/>
                <w:sz w:val="19"/>
                <w:szCs w:val="19"/>
              </w:rPr>
              <w:t xml:space="preserve">I</w:t>
            </w:r>
          </w:p>
        </w:tc>
      </w:tr>
      <w:tr>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color w:val="444444"/>
                <w:sz w:val="19"/>
                <w:szCs w:val="19"/>
              </w:rPr>
              <w:t xml:space="preserve">Escalade fonctionnelle vers N2</w:t>
            </w:r>
          </w:p>
        </w:tc>
        <w:tc>
          <w:tcPr>
            <w:tcW w:type="dxa" w:w="14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A</w:t>
            </w:r>
          </w:p>
        </w:tc>
        <w:tc>
          <w:tcPr>
            <w:tcW w:type="dxa" w:w="14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R</w:t>
            </w:r>
          </w:p>
        </w:tc>
        <w:tc>
          <w:tcPr>
            <w:tcW w:type="dxa" w:w="14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bCs/>
                <w:color w:val="856404"/>
                <w:sz w:val="19"/>
                <w:szCs w:val="19"/>
              </w:rPr>
              <w:t xml:space="preserve">C</w:t>
            </w:r>
          </w:p>
        </w:tc>
        <w:tc>
          <w:tcPr>
            <w:tcW w:type="dxa" w:w="14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bCs/>
                <w:color w:val="444444"/>
                <w:sz w:val="19"/>
                <w:szCs w:val="19"/>
              </w:rPr>
              <w:t xml:space="preserve">I</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9"/>
                <w:szCs w:val="19"/>
              </w:rPr>
              <w:t xml:space="preserve">Résolution technique complexe</w:t>
            </w:r>
          </w:p>
        </w:tc>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856404"/>
                <w:sz w:val="19"/>
                <w:szCs w:val="19"/>
              </w:rPr>
              <w:t xml:space="preserve">C</w:t>
            </w:r>
          </w:p>
        </w:tc>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R</w:t>
            </w:r>
          </w:p>
        </w:tc>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856404"/>
                <w:sz w:val="19"/>
                <w:szCs w:val="19"/>
              </w:rPr>
              <w:t xml:space="preserve">C</w:t>
            </w:r>
          </w:p>
        </w:tc>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444444"/>
                <w:sz w:val="19"/>
                <w:szCs w:val="19"/>
              </w:rPr>
              <w:t xml:space="preserve">I</w:t>
            </w:r>
          </w:p>
        </w:tc>
      </w:tr>
      <w:tr>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color w:val="444444"/>
                <w:sz w:val="19"/>
                <w:szCs w:val="19"/>
              </w:rPr>
              <w:t xml:space="preserve">Gestion de l’incident majeur</w:t>
            </w:r>
          </w:p>
        </w:tc>
        <w:tc>
          <w:tcPr>
            <w:tcW w:type="dxa" w:w="14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bCs/>
                <w:color w:val="444444"/>
                <w:sz w:val="19"/>
                <w:szCs w:val="19"/>
              </w:rPr>
              <w:t xml:space="preserve">I</w:t>
            </w:r>
          </w:p>
        </w:tc>
        <w:tc>
          <w:tcPr>
            <w:tcW w:type="dxa" w:w="14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R</w:t>
            </w:r>
          </w:p>
        </w:tc>
        <w:tc>
          <w:tcPr>
            <w:tcW w:type="dxa" w:w="14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A</w:t>
            </w:r>
          </w:p>
        </w:tc>
        <w:tc>
          <w:tcPr>
            <w:tcW w:type="dxa" w:w="14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R</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444444"/>
                <w:sz w:val="19"/>
                <w:szCs w:val="19"/>
              </w:rPr>
              <w:t xml:space="preserve">Clôture du ticket</w:t>
            </w:r>
          </w:p>
        </w:tc>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R</w:t>
            </w:r>
          </w:p>
        </w:tc>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444444"/>
                <w:sz w:val="19"/>
                <w:szCs w:val="19"/>
              </w:rPr>
              <w:t xml:space="preserve">I</w:t>
            </w:r>
          </w:p>
        </w:tc>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444444"/>
                <w:sz w:val="19"/>
                <w:szCs w:val="19"/>
              </w:rPr>
              <w:t xml:space="preserve">I</w:t>
            </w:r>
          </w:p>
        </w:tc>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444444"/>
                <w:sz w:val="19"/>
                <w:szCs w:val="19"/>
              </w:rPr>
              <w:t xml:space="preserve">I</w:t>
            </w:r>
          </w:p>
        </w:tc>
      </w:tr>
      <w:tr>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color w:val="444444"/>
                <w:sz w:val="19"/>
                <w:szCs w:val="19"/>
              </w:rPr>
              <w:t xml:space="preserve">Définition des SLA</w:t>
            </w:r>
          </w:p>
        </w:tc>
        <w:tc>
          <w:tcPr>
            <w:tcW w:type="dxa" w:w="14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bCs/>
                <w:color w:val="444444"/>
                <w:sz w:val="19"/>
                <w:szCs w:val="19"/>
              </w:rPr>
              <w:t xml:space="preserve">I</w:t>
            </w:r>
          </w:p>
        </w:tc>
        <w:tc>
          <w:tcPr>
            <w:tcW w:type="dxa" w:w="14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bCs/>
                <w:color w:val="856404"/>
                <w:sz w:val="19"/>
                <w:szCs w:val="19"/>
              </w:rPr>
              <w:t xml:space="preserve">C</w:t>
            </w:r>
          </w:p>
        </w:tc>
        <w:tc>
          <w:tcPr>
            <w:tcW w:type="dxa" w:w="14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R</w:t>
            </w:r>
          </w:p>
        </w:tc>
        <w:tc>
          <w:tcPr>
            <w:tcW w:type="dxa" w:w="14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A</w:t>
            </w:r>
          </w:p>
        </w:tc>
      </w:tr>
    </w:tbl>
    <w:p>
      <w:pPr>
        <w:spacing w:before="200" w:after="0"/>
      </w:pPr>
    </w:p>
    <w:p>
      <w:pPr>
        <w:pStyle w:val="Heading2"/>
        <w:spacing w:before="280" w:after="160"/>
      </w:pPr>
      <w:r>
        <w:rPr>
          <w:rFonts w:ascii="Arial" w:cs="Arial" w:eastAsia="Arial" w:hAnsi="Arial"/>
          <w:b/>
          <w:bCs/>
          <w:color w:val="2E75B6"/>
          <w:sz w:val="26"/>
          <w:szCs w:val="26"/>
        </w:rPr>
        <w:t xml:space="preserve">Planification des équipes</w:t>
      </w:r>
    </w:p>
    <w:p>
      <w:pPr>
        <w:spacing w:before="80" w:after="80"/>
      </w:pPr>
      <w:r>
        <w:rPr>
          <w:rFonts w:ascii="Arial" w:cs="Arial" w:eastAsia="Arial" w:hAnsi="Arial"/>
          <w:sz w:val="22"/>
          <w:szCs w:val="22"/>
        </w:rPr>
        <w:t xml:space="preserve">Pour garantir la disponibilité du service sur les 3 sites, voici les règles de planification :</w:t>
      </w:r>
    </w:p>
    <w:p>
      <w:pPr>
        <w:pStyle w:val="ListParagraph"/>
        <w:numPr>
          <w:ilvl w:val="0"/>
          <w:numId w:val="2"/>
        </w:numPr>
        <w:spacing w:before="60" w:after="60"/>
      </w:pPr>
      <w:r>
        <w:rPr>
          <w:rFonts w:ascii="Arial" w:cs="Arial" w:eastAsia="Arial" w:hAnsi="Arial"/>
          <w:sz w:val="22"/>
          <w:szCs w:val="22"/>
        </w:rPr>
        <w:t xml:space="preserve">Plages horaires : support de 7h à 20h du lundi au vendredi (centre d’appels actif) avec un technicien d’astreinte le week-end</w:t>
      </w:r>
    </w:p>
    <w:p>
      <w:pPr>
        <w:pStyle w:val="ListParagraph"/>
        <w:numPr>
          <w:ilvl w:val="0"/>
          <w:numId w:val="2"/>
        </w:numPr>
        <w:spacing w:before="60" w:after="60"/>
      </w:pPr>
      <w:r>
        <w:rPr>
          <w:rFonts w:ascii="Arial" w:cs="Arial" w:eastAsia="Arial" w:hAnsi="Arial"/>
          <w:sz w:val="22"/>
          <w:szCs w:val="22"/>
        </w:rPr>
        <w:t xml:space="preserve">Chevauchement des équipes : prévoir 1h de passage de consignes à chaque changement d’équipe</w:t>
      </w:r>
    </w:p>
    <w:p>
      <w:pPr>
        <w:pStyle w:val="ListParagraph"/>
        <w:numPr>
          <w:ilvl w:val="0"/>
          <w:numId w:val="2"/>
        </w:numPr>
        <w:spacing w:before="60" w:after="60"/>
      </w:pPr>
      <w:r>
        <w:rPr>
          <w:rFonts w:ascii="Arial" w:cs="Arial" w:eastAsia="Arial" w:hAnsi="Arial"/>
          <w:sz w:val="22"/>
          <w:szCs w:val="22"/>
        </w:rPr>
        <w:t xml:space="preserve">Répartition terrain : 1 technicien N1 de référence par site pour les interventions physiques</w:t>
      </w:r>
    </w:p>
    <w:p>
      <w:pPr>
        <w:pStyle w:val="ListParagraph"/>
        <w:numPr>
          <w:ilvl w:val="0"/>
          <w:numId w:val="2"/>
        </w:numPr>
        <w:spacing w:before="60" w:after="60"/>
      </w:pPr>
      <w:r>
        <w:rPr>
          <w:rFonts w:ascii="Arial" w:cs="Arial" w:eastAsia="Arial" w:hAnsi="Arial"/>
          <w:sz w:val="22"/>
          <w:szCs w:val="22"/>
        </w:rPr>
        <w:t xml:space="preserve">Gestion des absences : planning visible à 3 semaines, remplacement anticipatoire</w:t>
      </w:r>
    </w:p>
    <w:p>
      <w:pPr>
        <w:pStyle w:val="ListParagraph"/>
        <w:numPr>
          <w:ilvl w:val="0"/>
          <w:numId w:val="2"/>
        </w:numPr>
        <w:spacing w:before="60" w:after="60"/>
      </w:pPr>
      <w:r>
        <w:rPr>
          <w:rFonts w:ascii="Arial" w:cs="Arial" w:eastAsia="Arial" w:hAnsi="Arial"/>
          <w:sz w:val="22"/>
          <w:szCs w:val="22"/>
        </w:rPr>
        <w:t xml:space="preserve">Formation continue : 1 journée par trimestre pour la montée en compétence</w:t>
      </w:r>
    </w:p>
    <w:p>
      <w:pPr>
        <w:pBdr>
          <w:bottom w:val="single" w:color="2E75B6" w:sz="4" w:space="1"/>
        </w:pBdr>
        <w:spacing w:before="200" w:after="200"/>
      </w:pPr>
    </w:p>
    <w:p>
      <w:r>
        <w:br w:type="page"/>
      </w:r>
    </w:p>
    <w:p>
      <w:pPr>
        <w:pStyle w:val="Heading1"/>
        <w:spacing w:before="360" w:after="200"/>
      </w:pPr>
      <w:r>
        <w:rPr>
          <w:rFonts w:ascii="Arial" w:cs="Arial" w:eastAsia="Arial" w:hAnsi="Arial"/>
          <w:b/>
          <w:bCs/>
          <w:color w:val="1F4E79"/>
          <w:sz w:val="32"/>
          <w:szCs w:val="32"/>
        </w:rPr>
        <w:t xml:space="preserve">Partie 2 — Processus et outil de ticketing</w:t>
      </w:r>
    </w:p>
    <w:p>
      <w:pPr>
        <w:pStyle w:val="Heading2"/>
        <w:spacing w:before="280" w:after="160"/>
      </w:pPr>
      <w:r>
        <w:rPr>
          <w:rFonts w:ascii="Arial" w:cs="Arial" w:eastAsia="Arial" w:hAnsi="Arial"/>
          <w:b/>
          <w:bCs/>
          <w:color w:val="2E75B6"/>
          <w:sz w:val="26"/>
          <w:szCs w:val="26"/>
        </w:rPr>
        <w:t xml:space="preserve">Analyse de l’outil de ticketing existant</w:t>
      </w:r>
    </w:p>
    <w:p>
      <w:pPr>
        <w:spacing w:before="80" w:after="80"/>
      </w:pPr>
      <w:r>
        <w:rPr>
          <w:rFonts w:ascii="Arial" w:cs="Arial" w:eastAsia="Arial" w:hAnsi="Arial"/>
          <w:sz w:val="22"/>
          <w:szCs w:val="22"/>
        </w:rPr>
        <w:t xml:space="preserve">Avant d’optimiser l’outil, il faut évaluer ce qui existe. Les axes à analyser sont :</w:t>
      </w:r>
    </w:p>
    <w:p>
      <w:pPr>
        <w:pStyle w:val="ListParagraph"/>
        <w:numPr>
          <w:ilvl w:val="0"/>
          <w:numId w:val="2"/>
        </w:numPr>
        <w:spacing w:before="60" w:after="60"/>
      </w:pPr>
      <w:r>
        <w:rPr>
          <w:rFonts w:ascii="Arial" w:cs="Arial" w:eastAsia="Arial" w:hAnsi="Arial"/>
          <w:sz w:val="22"/>
          <w:szCs w:val="22"/>
        </w:rPr>
        <w:t xml:space="preserve">Les catégories de tickets actuellement configurées : sont-elles adaptées aux cas réels de The Telephone Girls ?</w:t>
      </w:r>
    </w:p>
    <w:p>
      <w:pPr>
        <w:pStyle w:val="ListParagraph"/>
        <w:numPr>
          <w:ilvl w:val="0"/>
          <w:numId w:val="2"/>
        </w:numPr>
        <w:spacing w:before="60" w:after="60"/>
      </w:pPr>
      <w:r>
        <w:rPr>
          <w:rFonts w:ascii="Arial" w:cs="Arial" w:eastAsia="Arial" w:hAnsi="Arial"/>
          <w:sz w:val="22"/>
          <w:szCs w:val="22"/>
        </w:rPr>
        <w:t xml:space="preserve">Les niveaux de priorité : est-ce qu’ils reflètent bien l’impact métier ?</w:t>
      </w:r>
    </w:p>
    <w:p>
      <w:pPr>
        <w:pStyle w:val="ListParagraph"/>
        <w:numPr>
          <w:ilvl w:val="0"/>
          <w:numId w:val="2"/>
        </w:numPr>
        <w:spacing w:before="60" w:after="60"/>
      </w:pPr>
      <w:r>
        <w:rPr>
          <w:rFonts w:ascii="Arial" w:cs="Arial" w:eastAsia="Arial" w:hAnsi="Arial"/>
          <w:sz w:val="22"/>
          <w:szCs w:val="22"/>
        </w:rPr>
        <w:t xml:space="preserve">Les SLA existants : sont-ils respectés ? Sont-ils réalistes ?</w:t>
      </w:r>
    </w:p>
    <w:p>
      <w:pPr>
        <w:pStyle w:val="ListParagraph"/>
        <w:numPr>
          <w:ilvl w:val="0"/>
          <w:numId w:val="2"/>
        </w:numPr>
        <w:spacing w:before="60" w:after="60"/>
      </w:pPr>
      <w:r>
        <w:rPr>
          <w:rFonts w:ascii="Arial" w:cs="Arial" w:eastAsia="Arial" w:hAnsi="Arial"/>
          <w:sz w:val="22"/>
          <w:szCs w:val="22"/>
        </w:rPr>
        <w:t xml:space="preserve">L’organisation des files d’attente et des groupes de traitement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pPr>
              <w:spacing w:before="40" w:after="60"/>
            </w:pPr>
            <w:r>
              <w:rPr>
                <w:rFonts w:ascii="Arial" w:cs="Arial" w:eastAsia="Arial" w:hAnsi="Arial"/>
                <w:b/>
                <w:bCs/>
                <w:color w:val="1F4E79"/>
                <w:sz w:val="22"/>
                <w:szCs w:val="22"/>
              </w:rPr>
              <w:t xml:space="preserve">Point d’attention</w:t>
            </w:r>
          </w:p>
          <w:p>
            <w:pPr>
              <w:spacing w:before="0" w:after="40"/>
            </w:pPr>
            <w:r>
              <w:rPr>
                <w:rFonts w:ascii="Arial" w:cs="Arial" w:eastAsia="Arial" w:hAnsi="Arial"/>
                <w:sz w:val="22"/>
                <w:szCs w:val="22"/>
              </w:rPr>
              <w:t xml:space="preserve">Ne pas juste décrire l’outil — il faut évaluer son efficacité réelle et proposer des améliorations concrètes. Par exemple : les catégories correspondent-elles aux vrais incidents (panne téléphonie, RDS inaccessible, problème softphone) ?</w:t>
            </w:r>
          </w:p>
        </w:tc>
      </w:tr>
    </w:tbl>
    <w:p>
      <w:pPr>
        <w:spacing w:before="160" w:after="0"/>
      </w:pPr>
    </w:p>
    <w:p>
      <w:pPr>
        <w:pStyle w:val="Heading2"/>
        <w:spacing w:before="280" w:after="160"/>
      </w:pPr>
      <w:r>
        <w:rPr>
          <w:rFonts w:ascii="Arial" w:cs="Arial" w:eastAsia="Arial" w:hAnsi="Arial"/>
          <w:b/>
          <w:bCs/>
          <w:color w:val="2E75B6"/>
          <w:sz w:val="26"/>
          <w:szCs w:val="26"/>
        </w:rPr>
        <w:t xml:space="preserve">Grille de priorité des tickets</w:t>
      </w:r>
    </w:p>
    <w:p>
      <w:pPr>
        <w:spacing w:before="80" w:after="80"/>
      </w:pPr>
      <w:r>
        <w:rPr>
          <w:rFonts w:ascii="Arial" w:cs="Arial" w:eastAsia="Arial" w:hAnsi="Arial"/>
          <w:sz w:val="22"/>
          <w:szCs w:val="22"/>
        </w:rPr>
        <w:t xml:space="preserve">La priorité d’un ticket se calcule selon 3 critères combinés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Impact métier</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Périmètre impacté</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Site concerné</w:t>
            </w:r>
          </w:p>
        </w:tc>
      </w:tr>
      <w:tr>
        <w:tc>
          <w:tcPr>
            <w:tcW w:type="dxa" w:w="312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19"/>
                <w:szCs w:val="19"/>
              </w:rPr>
              <w:t xml:space="preserve">Bloqué : activité complètement arrêtée</w:t>
            </w:r>
          </w:p>
          <w:p>
            <w:r>
              <w:rPr>
                <w:rFonts w:ascii="Arial" w:cs="Arial" w:eastAsia="Arial" w:hAnsi="Arial"/>
                <w:sz w:val="19"/>
                <w:szCs w:val="19"/>
              </w:rPr>
              <w:t xml:space="preserve">Dégradé : lenteur, fonctions limitées</w:t>
            </w:r>
          </w:p>
          <w:p>
            <w:r>
              <w:rPr>
                <w:rFonts w:ascii="Arial" w:cs="Arial" w:eastAsia="Arial" w:hAnsi="Arial"/>
                <w:sz w:val="19"/>
                <w:szCs w:val="19"/>
              </w:rPr>
              <w:t xml:space="preserve">Contournable : solution de fortune possible</w:t>
            </w:r>
          </w:p>
        </w:tc>
        <w:tc>
          <w:tcPr>
            <w:tcW w:type="dxa" w:w="312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19"/>
                <w:szCs w:val="19"/>
              </w:rPr>
              <w:t xml:space="preserve">1 utilisateur</w:t>
            </w:r>
          </w:p>
          <w:p>
            <w:r>
              <w:rPr>
                <w:rFonts w:ascii="Arial" w:cs="Arial" w:eastAsia="Arial" w:hAnsi="Arial"/>
                <w:sz w:val="19"/>
                <w:szCs w:val="19"/>
              </w:rPr>
              <w:t xml:space="preserve">Plusieurs utilisateurs</w:t>
            </w:r>
          </w:p>
          <w:p>
            <w:r>
              <w:rPr>
                <w:rFonts w:ascii="Arial" w:cs="Arial" w:eastAsia="Arial" w:hAnsi="Arial"/>
                <w:sz w:val="19"/>
                <w:szCs w:val="19"/>
              </w:rPr>
              <w:t xml:space="preserve">Site entier</w:t>
            </w:r>
          </w:p>
        </w:tc>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19"/>
                <w:szCs w:val="19"/>
              </w:rPr>
              <w:t xml:space="preserve">Toulouse (plus grand site)</w:t>
            </w:r>
          </w:p>
          <w:p>
            <w:r>
              <w:rPr>
                <w:rFonts w:ascii="Arial" w:cs="Arial" w:eastAsia="Arial" w:hAnsi="Arial"/>
                <w:sz w:val="19"/>
                <w:szCs w:val="19"/>
              </w:rPr>
              <w:t xml:space="preserve">Brive / Limoges</w:t>
            </w:r>
          </w:p>
          <w:p>
            <w:r>
              <w:rPr>
                <w:rFonts w:ascii="Arial" w:cs="Arial" w:eastAsia="Arial" w:hAnsi="Arial"/>
                <w:sz w:val="19"/>
                <w:szCs w:val="19"/>
              </w:rPr>
              <w:t xml:space="preserve">Plusieurs sites simultanés</w:t>
            </w:r>
          </w:p>
        </w:tc>
      </w:tr>
    </w:tbl>
    <w:p>
      <w:pPr>
        <w:spacing w:before="200" w:after="0"/>
      </w:pPr>
    </w:p>
    <w:p>
      <w:pPr>
        <w:pStyle w:val="Heading2"/>
        <w:spacing w:before="280" w:after="160"/>
      </w:pPr>
      <w:r>
        <w:rPr>
          <w:rFonts w:ascii="Arial" w:cs="Arial" w:eastAsia="Arial" w:hAnsi="Arial"/>
          <w:b/>
          <w:bCs/>
          <w:color w:val="2E75B6"/>
          <w:sz w:val="26"/>
          <w:szCs w:val="26"/>
        </w:rPr>
        <w:t xml:space="preserve">SLA recommandés pour The Telephone Girls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000"/>
        <w:gridCol w:w="2000"/>
        <w:gridCol w:w="17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9"/>
                <w:szCs w:val="19"/>
              </w:rPr>
              <w:t xml:space="preserve">Priorité</w:t>
            </w:r>
          </w:p>
        </w:tc>
        <w:tc>
          <w:tcPr>
            <w:tcW w:type="dxa" w:w="2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9"/>
                <w:szCs w:val="19"/>
              </w:rPr>
              <w:t xml:space="preserve">Exemple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9"/>
                <w:szCs w:val="19"/>
              </w:rPr>
              <w:t xml:space="preserve">GTI</w:t>
            </w:r>
          </w:p>
        </w:tc>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9"/>
                <w:szCs w:val="19"/>
              </w:rPr>
              <w:t xml:space="preserve">GTR</w:t>
            </w:r>
          </w:p>
        </w:tc>
        <w:tc>
          <w:tcPr>
            <w:tcW w:type="dxa" w:w="17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9"/>
                <w:szCs w:val="19"/>
              </w:rPr>
              <w:t xml:space="preserve">Escalade si dépassé</w:t>
            </w:r>
          </w:p>
        </w:tc>
      </w:tr>
      <w:tr>
        <w:tc>
          <w:tcPr>
            <w:tcW w:type="dxa" w:w="1200"/>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tcPr>
          <w:p>
            <w:r>
              <w:rPr>
                <w:rFonts w:ascii="Arial" w:cs="Arial" w:eastAsia="Arial" w:hAnsi="Arial"/>
                <w:b/>
                <w:bCs/>
                <w:sz w:val="19"/>
                <w:szCs w:val="19"/>
              </w:rPr>
              <w:t xml:space="preserve">P1 - Critique</w:t>
            </w:r>
          </w:p>
        </w:tc>
        <w:tc>
          <w:tcPr>
            <w:tcW w:type="dxa" w:w="2400"/>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tcPr>
          <w:p>
            <w:r>
              <w:rPr>
                <w:rFonts w:ascii="Arial" w:cs="Arial" w:eastAsia="Arial" w:hAnsi="Arial"/>
                <w:b w:val="false"/>
                <w:bCs w:val="false"/>
                <w:sz w:val="19"/>
                <w:szCs w:val="19"/>
              </w:rPr>
              <w:t xml:space="preserve">Téléphonie site entier en panne</w:t>
            </w:r>
          </w:p>
        </w:tc>
        <w:tc>
          <w:tcPr>
            <w:tcW w:type="dxa" w:w="2000"/>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tcPr>
          <w:p>
            <w:r>
              <w:rPr>
                <w:rFonts w:ascii="Arial" w:cs="Arial" w:eastAsia="Arial" w:hAnsi="Arial"/>
                <w:b w:val="false"/>
                <w:bCs w:val="false"/>
                <w:sz w:val="19"/>
                <w:szCs w:val="19"/>
              </w:rPr>
              <w:t xml:space="preserve">15 min</w:t>
            </w:r>
          </w:p>
        </w:tc>
        <w:tc>
          <w:tcPr>
            <w:tcW w:type="dxa" w:w="2000"/>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tcPr>
          <w:p>
            <w:r>
              <w:rPr>
                <w:rFonts w:ascii="Arial" w:cs="Arial" w:eastAsia="Arial" w:hAnsi="Arial"/>
                <w:b w:val="false"/>
                <w:bCs w:val="false"/>
                <w:sz w:val="19"/>
                <w:szCs w:val="19"/>
              </w:rPr>
              <w:t xml:space="preserve">1h</w:t>
            </w:r>
          </w:p>
        </w:tc>
        <w:tc>
          <w:tcPr>
            <w:tcW w:type="dxa" w:w="1760"/>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tcPr>
          <w:p>
            <w:r>
              <w:rPr>
                <w:rFonts w:ascii="Arial" w:cs="Arial" w:eastAsia="Arial" w:hAnsi="Arial"/>
                <w:b w:val="false"/>
                <w:bCs w:val="false"/>
                <w:sz w:val="19"/>
                <w:szCs w:val="19"/>
              </w:rPr>
              <w:t xml:space="preserve">N2 immédiat + Direction</w:t>
            </w:r>
          </w:p>
        </w:tc>
      </w:tr>
      <w:tr>
        <w:tc>
          <w:tcPr>
            <w:tcW w:type="dxa" w:w="1200"/>
            <w:tcBorders>
              <w:top w:val="single" w:color="CCCCCC" w:sz="1"/>
              <w:left w:val="single" w:color="CCCCCC" w:sz="1"/>
              <w:bottom w:val="single" w:color="CCCCCC" w:sz="1"/>
              <w:right w:val="single" w:color="CCCCCC" w:sz="1"/>
            </w:tcBorders>
            <w:shd w:fill="FFF3CD" w:val="clear"/>
            <w:tcMar>
              <w:top w:type="dxa" w:w="80"/>
              <w:left w:type="dxa" w:w="100"/>
              <w:bottom w:type="dxa" w:w="80"/>
              <w:right w:type="dxa" w:w="100"/>
            </w:tcMar>
          </w:tcPr>
          <w:p>
            <w:r>
              <w:rPr>
                <w:rFonts w:ascii="Arial" w:cs="Arial" w:eastAsia="Arial" w:hAnsi="Arial"/>
                <w:b/>
                <w:bCs/>
                <w:sz w:val="19"/>
                <w:szCs w:val="19"/>
              </w:rPr>
              <w:t xml:space="preserve">P2 - Haute</w:t>
            </w:r>
          </w:p>
        </w:tc>
        <w:tc>
          <w:tcPr>
            <w:tcW w:type="dxa" w:w="2400"/>
            <w:tcBorders>
              <w:top w:val="single" w:color="CCCCCC" w:sz="1"/>
              <w:left w:val="single" w:color="CCCCCC" w:sz="1"/>
              <w:bottom w:val="single" w:color="CCCCCC" w:sz="1"/>
              <w:right w:val="single" w:color="CCCCCC" w:sz="1"/>
            </w:tcBorders>
            <w:shd w:fill="FFF3CD" w:val="clear"/>
            <w:tcMar>
              <w:top w:type="dxa" w:w="80"/>
              <w:left w:type="dxa" w:w="100"/>
              <w:bottom w:type="dxa" w:w="80"/>
              <w:right w:type="dxa" w:w="100"/>
            </w:tcMar>
          </w:tcPr>
          <w:p>
            <w:r>
              <w:rPr>
                <w:rFonts w:ascii="Arial" w:cs="Arial" w:eastAsia="Arial" w:hAnsi="Arial"/>
                <w:b w:val="false"/>
                <w:bCs w:val="false"/>
                <w:sz w:val="19"/>
                <w:szCs w:val="19"/>
              </w:rPr>
              <w:t xml:space="preserve">RDS inaccessible (1 site)</w:t>
            </w:r>
          </w:p>
        </w:tc>
        <w:tc>
          <w:tcPr>
            <w:tcW w:type="dxa" w:w="2000"/>
            <w:tcBorders>
              <w:top w:val="single" w:color="CCCCCC" w:sz="1"/>
              <w:left w:val="single" w:color="CCCCCC" w:sz="1"/>
              <w:bottom w:val="single" w:color="CCCCCC" w:sz="1"/>
              <w:right w:val="single" w:color="CCCCCC" w:sz="1"/>
            </w:tcBorders>
            <w:shd w:fill="FFF3CD" w:val="clear"/>
            <w:tcMar>
              <w:top w:type="dxa" w:w="80"/>
              <w:left w:type="dxa" w:w="100"/>
              <w:bottom w:type="dxa" w:w="80"/>
              <w:right w:type="dxa" w:w="100"/>
            </w:tcMar>
          </w:tcPr>
          <w:p>
            <w:r>
              <w:rPr>
                <w:rFonts w:ascii="Arial" w:cs="Arial" w:eastAsia="Arial" w:hAnsi="Arial"/>
                <w:b w:val="false"/>
                <w:bCs w:val="false"/>
                <w:sz w:val="19"/>
                <w:szCs w:val="19"/>
              </w:rPr>
              <w:t xml:space="preserve">30 min</w:t>
            </w:r>
          </w:p>
        </w:tc>
        <w:tc>
          <w:tcPr>
            <w:tcW w:type="dxa" w:w="2000"/>
            <w:tcBorders>
              <w:top w:val="single" w:color="CCCCCC" w:sz="1"/>
              <w:left w:val="single" w:color="CCCCCC" w:sz="1"/>
              <w:bottom w:val="single" w:color="CCCCCC" w:sz="1"/>
              <w:right w:val="single" w:color="CCCCCC" w:sz="1"/>
            </w:tcBorders>
            <w:shd w:fill="FFF3CD" w:val="clear"/>
            <w:tcMar>
              <w:top w:type="dxa" w:w="80"/>
              <w:left w:type="dxa" w:w="100"/>
              <w:bottom w:type="dxa" w:w="80"/>
              <w:right w:type="dxa" w:w="100"/>
            </w:tcMar>
          </w:tcPr>
          <w:p>
            <w:r>
              <w:rPr>
                <w:rFonts w:ascii="Arial" w:cs="Arial" w:eastAsia="Arial" w:hAnsi="Arial"/>
                <w:b w:val="false"/>
                <w:bCs w:val="false"/>
                <w:sz w:val="19"/>
                <w:szCs w:val="19"/>
              </w:rPr>
              <w:t xml:space="preserve">2h</w:t>
            </w:r>
          </w:p>
        </w:tc>
        <w:tc>
          <w:tcPr>
            <w:tcW w:type="dxa" w:w="1760"/>
            <w:tcBorders>
              <w:top w:val="single" w:color="CCCCCC" w:sz="1"/>
              <w:left w:val="single" w:color="CCCCCC" w:sz="1"/>
              <w:bottom w:val="single" w:color="CCCCCC" w:sz="1"/>
              <w:right w:val="single" w:color="CCCCCC" w:sz="1"/>
            </w:tcBorders>
            <w:shd w:fill="FFF3CD" w:val="clear"/>
            <w:tcMar>
              <w:top w:type="dxa" w:w="80"/>
              <w:left w:type="dxa" w:w="100"/>
              <w:bottom w:type="dxa" w:w="80"/>
              <w:right w:type="dxa" w:w="100"/>
            </w:tcMar>
          </w:tcPr>
          <w:p>
            <w:r>
              <w:rPr>
                <w:rFonts w:ascii="Arial" w:cs="Arial" w:eastAsia="Arial" w:hAnsi="Arial"/>
                <w:b w:val="false"/>
                <w:bCs w:val="false"/>
                <w:sz w:val="19"/>
                <w:szCs w:val="19"/>
              </w:rPr>
              <w:t xml:space="preserve">N2 dans 30 min</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sz w:val="19"/>
                <w:szCs w:val="19"/>
              </w:rPr>
              <w:t xml:space="preserve">P3 - Moyenne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val="false"/>
                <w:bCs w:val="false"/>
                <w:sz w:val="19"/>
                <w:szCs w:val="19"/>
              </w:rPr>
              <w:t xml:space="preserve">Softphone HS sur quelques postes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val="false"/>
                <w:bCs w:val="false"/>
                <w:sz w:val="19"/>
                <w:szCs w:val="19"/>
              </w:rPr>
              <w:t xml:space="preserve">1h</w:t>
            </w:r>
          </w:p>
        </w:tc>
        <w:tc>
          <w:tcPr>
            <w:tcW w:type="dxa" w:w="2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val="false"/>
                <w:bCs w:val="false"/>
                <w:sz w:val="19"/>
                <w:szCs w:val="19"/>
              </w:rPr>
              <w:t xml:space="preserve">4h</w:t>
            </w:r>
          </w:p>
        </w:tc>
        <w:tc>
          <w:tcPr>
            <w:tcW w:type="dxa" w:w="17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val="false"/>
                <w:bCs w:val="false"/>
                <w:sz w:val="19"/>
                <w:szCs w:val="19"/>
              </w:rPr>
              <w:t xml:space="preserve">N2 si dépassé</w:t>
            </w:r>
          </w:p>
        </w:tc>
      </w:tr>
      <w:tr>
        <w:tc>
          <w:tcPr>
            <w:tcW w:type="dxa" w:w="1200"/>
            <w:tcBorders>
              <w:top w:val="single" w:color="CCCCCC" w:sz="1"/>
              <w:left w:val="single" w:color="CCCCCC" w:sz="1"/>
              <w:bottom w:val="single" w:color="CCCCCC" w:sz="1"/>
              <w:right w:val="single" w:color="CCCCCC" w:sz="1"/>
            </w:tcBorders>
            <w:shd w:fill="F0F9EB" w:val="clear"/>
            <w:tcMar>
              <w:top w:type="dxa" w:w="80"/>
              <w:left w:type="dxa" w:w="100"/>
              <w:bottom w:type="dxa" w:w="80"/>
              <w:right w:type="dxa" w:w="100"/>
            </w:tcMar>
          </w:tcPr>
          <w:p>
            <w:r>
              <w:rPr>
                <w:rFonts w:ascii="Arial" w:cs="Arial" w:eastAsia="Arial" w:hAnsi="Arial"/>
                <w:b/>
                <w:bCs/>
                <w:sz w:val="19"/>
                <w:szCs w:val="19"/>
              </w:rPr>
              <w:t xml:space="preserve">P4 - Basse</w:t>
            </w:r>
          </w:p>
        </w:tc>
        <w:tc>
          <w:tcPr>
            <w:tcW w:type="dxa" w:w="2400"/>
            <w:tcBorders>
              <w:top w:val="single" w:color="CCCCCC" w:sz="1"/>
              <w:left w:val="single" w:color="CCCCCC" w:sz="1"/>
              <w:bottom w:val="single" w:color="CCCCCC" w:sz="1"/>
              <w:right w:val="single" w:color="CCCCCC" w:sz="1"/>
            </w:tcBorders>
            <w:shd w:fill="F0F9EB" w:val="clear"/>
            <w:tcMar>
              <w:top w:type="dxa" w:w="80"/>
              <w:left w:type="dxa" w:w="100"/>
              <w:bottom w:type="dxa" w:w="80"/>
              <w:right w:type="dxa" w:w="100"/>
            </w:tcMar>
          </w:tcPr>
          <w:p>
            <w:r>
              <w:rPr>
                <w:rFonts w:ascii="Arial" w:cs="Arial" w:eastAsia="Arial" w:hAnsi="Arial"/>
                <w:b w:val="false"/>
                <w:bCs w:val="false"/>
                <w:sz w:val="19"/>
                <w:szCs w:val="19"/>
              </w:rPr>
              <w:t xml:space="preserve">Création de compte, demande standard</w:t>
            </w:r>
          </w:p>
        </w:tc>
        <w:tc>
          <w:tcPr>
            <w:tcW w:type="dxa" w:w="2000"/>
            <w:tcBorders>
              <w:top w:val="single" w:color="CCCCCC" w:sz="1"/>
              <w:left w:val="single" w:color="CCCCCC" w:sz="1"/>
              <w:bottom w:val="single" w:color="CCCCCC" w:sz="1"/>
              <w:right w:val="single" w:color="CCCCCC" w:sz="1"/>
            </w:tcBorders>
            <w:shd w:fill="F0F9EB" w:val="clear"/>
            <w:tcMar>
              <w:top w:type="dxa" w:w="80"/>
              <w:left w:type="dxa" w:w="100"/>
              <w:bottom w:type="dxa" w:w="80"/>
              <w:right w:type="dxa" w:w="100"/>
            </w:tcMar>
          </w:tcPr>
          <w:p>
            <w:r>
              <w:rPr>
                <w:rFonts w:ascii="Arial" w:cs="Arial" w:eastAsia="Arial" w:hAnsi="Arial"/>
                <w:b w:val="false"/>
                <w:bCs w:val="false"/>
                <w:sz w:val="19"/>
                <w:szCs w:val="19"/>
              </w:rPr>
              <w:t xml:space="preserve">4h</w:t>
            </w:r>
          </w:p>
        </w:tc>
        <w:tc>
          <w:tcPr>
            <w:tcW w:type="dxa" w:w="2000"/>
            <w:tcBorders>
              <w:top w:val="single" w:color="CCCCCC" w:sz="1"/>
              <w:left w:val="single" w:color="CCCCCC" w:sz="1"/>
              <w:bottom w:val="single" w:color="CCCCCC" w:sz="1"/>
              <w:right w:val="single" w:color="CCCCCC" w:sz="1"/>
            </w:tcBorders>
            <w:shd w:fill="F0F9EB" w:val="clear"/>
            <w:tcMar>
              <w:top w:type="dxa" w:w="80"/>
              <w:left w:type="dxa" w:w="100"/>
              <w:bottom w:type="dxa" w:w="80"/>
              <w:right w:type="dxa" w:w="100"/>
            </w:tcMar>
          </w:tcPr>
          <w:p>
            <w:r>
              <w:rPr>
                <w:rFonts w:ascii="Arial" w:cs="Arial" w:eastAsia="Arial" w:hAnsi="Arial"/>
                <w:b w:val="false"/>
                <w:bCs w:val="false"/>
                <w:sz w:val="19"/>
                <w:szCs w:val="19"/>
              </w:rPr>
              <w:t xml:space="preserve">24h</w:t>
            </w:r>
          </w:p>
        </w:tc>
        <w:tc>
          <w:tcPr>
            <w:tcW w:type="dxa" w:w="1760"/>
            <w:tcBorders>
              <w:top w:val="single" w:color="CCCCCC" w:sz="1"/>
              <w:left w:val="single" w:color="CCCCCC" w:sz="1"/>
              <w:bottom w:val="single" w:color="CCCCCC" w:sz="1"/>
              <w:right w:val="single" w:color="CCCCCC" w:sz="1"/>
            </w:tcBorders>
            <w:shd w:fill="F0F9EB" w:val="clear"/>
            <w:tcMar>
              <w:top w:type="dxa" w:w="80"/>
              <w:left w:type="dxa" w:w="100"/>
              <w:bottom w:type="dxa" w:w="80"/>
              <w:right w:type="dxa" w:w="100"/>
            </w:tcMar>
          </w:tcPr>
          <w:p>
            <w:r>
              <w:rPr>
                <w:rFonts w:ascii="Arial" w:cs="Arial" w:eastAsia="Arial" w:hAnsi="Arial"/>
                <w:b w:val="false"/>
                <w:bCs w:val="false"/>
                <w:sz w:val="19"/>
                <w:szCs w:val="19"/>
              </w:rPr>
              <w:t xml:space="preserve">N1 assure le suivi</w:t>
            </w:r>
          </w:p>
        </w:tc>
      </w:tr>
    </w:tbl>
    <w:p>
      <w:pPr>
        <w:spacing w:before="200" w:after="0"/>
      </w:pPr>
    </w:p>
    <w:p>
      <w:pPr>
        <w:pStyle w:val="Heading2"/>
        <w:spacing w:before="280" w:after="160"/>
      </w:pPr>
      <w:r>
        <w:rPr>
          <w:rFonts w:ascii="Arial" w:cs="Arial" w:eastAsia="Arial" w:hAnsi="Arial"/>
          <w:b/>
          <w:bCs/>
          <w:color w:val="2E75B6"/>
          <w:sz w:val="26"/>
          <w:szCs w:val="26"/>
        </w:rPr>
        <w:t xml:space="preserve">Configuration cible de l’outil de ticketing</w:t>
      </w:r>
    </w:p>
    <w:p>
      <w:pPr>
        <w:spacing w:before="80" w:after="80"/>
      </w:pPr>
      <w:r>
        <w:rPr>
          <w:rFonts w:ascii="Arial" w:cs="Arial" w:eastAsia="Arial" w:hAnsi="Arial"/>
          <w:sz w:val="22"/>
          <w:szCs w:val="22"/>
        </w:rPr>
        <w:t xml:space="preserve">Voici les 3 types de tickets à préconfigurer dans l’outil pour les cas les plus fréquents :</w:t>
      </w:r>
    </w:p>
    <w:p>
      <w:pPr>
        <w:pStyle w:val="ListParagraph"/>
        <w:numPr>
          <w:ilvl w:val="0"/>
          <w:numId w:val="3"/>
        </w:numPr>
        <w:spacing w:before="60" w:after="60"/>
      </w:pPr>
      <w:r>
        <w:rPr>
          <w:rFonts w:ascii="Arial" w:cs="Arial" w:eastAsia="Arial" w:hAnsi="Arial"/>
          <w:sz w:val="22"/>
          <w:szCs w:val="22"/>
        </w:rPr>
        <w:t xml:space="preserve">Téléphonie indisponible : SLA différencié P1, escalade automatique vers N2, modèle préconfiguré avec checklist de diagnostic</w:t>
      </w:r>
    </w:p>
    <w:p>
      <w:pPr>
        <w:pStyle w:val="ListParagraph"/>
        <w:numPr>
          <w:ilvl w:val="0"/>
          <w:numId w:val="3"/>
        </w:numPr>
        <w:spacing w:before="60" w:after="60"/>
      </w:pPr>
      <w:r>
        <w:rPr>
          <w:rFonts w:ascii="Arial" w:cs="Arial" w:eastAsia="Arial" w:hAnsi="Arial"/>
          <w:sz w:val="22"/>
          <w:szCs w:val="22"/>
        </w:rPr>
        <w:t xml:space="preserve">RDS inaccessible : diagnostic guidé intégré, checklist N1, délai d’intervention P1 ou P2 selon le périmètre</w:t>
      </w:r>
    </w:p>
    <w:p>
      <w:pPr>
        <w:pStyle w:val="ListParagraph"/>
        <w:numPr>
          <w:ilvl w:val="0"/>
          <w:numId w:val="3"/>
        </w:numPr>
        <w:spacing w:before="60" w:after="60"/>
      </w:pPr>
      <w:r>
        <w:rPr>
          <w:rFonts w:ascii="Arial" w:cs="Arial" w:eastAsia="Arial" w:hAnsi="Arial"/>
          <w:sz w:val="22"/>
          <w:szCs w:val="22"/>
        </w:rPr>
        <w:t xml:space="preserve">Création d’un agent : demande standard avec workflow d’approbation N1 → Gestionnaire RH → N2 (activation compte), étapes prédéfinies</w:t>
      </w:r>
    </w:p>
    <w:p>
      <w:pPr>
        <w:pBdr>
          <w:bottom w:val="single" w:color="2E75B6" w:sz="4" w:space="1"/>
        </w:pBdr>
        <w:spacing w:before="200" w:after="200"/>
      </w:pPr>
    </w:p>
    <w:p>
      <w:r>
        <w:br w:type="page"/>
      </w:r>
    </w:p>
    <w:p>
      <w:pPr>
        <w:pStyle w:val="Heading1"/>
        <w:spacing w:before="360" w:after="200"/>
      </w:pPr>
      <w:r>
        <w:rPr>
          <w:rFonts w:ascii="Arial" w:cs="Arial" w:eastAsia="Arial" w:hAnsi="Arial"/>
          <w:b/>
          <w:bCs/>
          <w:color w:val="1F4E79"/>
          <w:sz w:val="32"/>
          <w:szCs w:val="32"/>
        </w:rPr>
        <w:t xml:space="preserve">Partie 3 — Exploitation et Amélioration Continue</w:t>
      </w:r>
    </w:p>
    <w:p>
      <w:pPr>
        <w:pStyle w:val="Heading2"/>
        <w:spacing w:before="280" w:after="160"/>
      </w:pPr>
      <w:r>
        <w:rPr>
          <w:rFonts w:ascii="Arial" w:cs="Arial" w:eastAsia="Arial" w:hAnsi="Arial"/>
          <w:b/>
          <w:bCs/>
          <w:color w:val="2E75B6"/>
          <w:sz w:val="26"/>
          <w:szCs w:val="26"/>
        </w:rPr>
        <w:t xml:space="preserve">Procédures opérationnelles pour le N1</w:t>
      </w:r>
    </w:p>
    <w:p>
      <w:pPr>
        <w:spacing w:before="80" w:after="80"/>
      </w:pPr>
      <w:r>
        <w:rPr>
          <w:rFonts w:ascii="Arial" w:cs="Arial" w:eastAsia="Arial" w:hAnsi="Arial"/>
          <w:sz w:val="22"/>
          <w:szCs w:val="22"/>
        </w:rPr>
        <w:t xml:space="preserve">Le technicien N1 doit disposer de check-lists pas à pas pour les incidents les plus fréquents. Voici 3 exemples essentiels :</w:t>
      </w:r>
    </w:p>
    <w:p>
      <w:pPr>
        <w:pStyle w:val="Heading3"/>
        <w:spacing w:before="200" w:after="120"/>
      </w:pPr>
      <w:r>
        <w:rPr>
          <w:rFonts w:ascii="Arial" w:cs="Arial" w:eastAsia="Arial" w:hAnsi="Arial"/>
          <w:b/>
          <w:bCs/>
          <w:color w:val="404040"/>
          <w:sz w:val="22"/>
          <w:szCs w:val="22"/>
        </w:rPr>
        <w:t xml:space="preserve">Procédure 1 : Diagnostic lenteur RDS</w:t>
      </w:r>
    </w:p>
    <w:p>
      <w:pPr>
        <w:pStyle w:val="ListParagraph"/>
        <w:numPr>
          <w:ilvl w:val="0"/>
          <w:numId w:val="3"/>
        </w:numPr>
        <w:spacing w:before="60" w:after="60"/>
      </w:pPr>
      <w:r>
        <w:rPr>
          <w:rFonts w:ascii="Arial" w:cs="Arial" w:eastAsia="Arial" w:hAnsi="Arial"/>
          <w:sz w:val="22"/>
          <w:szCs w:val="22"/>
        </w:rPr>
        <w:t xml:space="preserve">Vérifier si le problème touche un seul poste ou tout le site</w:t>
      </w:r>
    </w:p>
    <w:p>
      <w:pPr>
        <w:pStyle w:val="ListParagraph"/>
        <w:numPr>
          <w:ilvl w:val="0"/>
          <w:numId w:val="3"/>
        </w:numPr>
        <w:spacing w:before="60" w:after="60"/>
      </w:pPr>
      <w:r>
        <w:rPr>
          <w:rFonts w:ascii="Arial" w:cs="Arial" w:eastAsia="Arial" w:hAnsi="Arial"/>
          <w:sz w:val="22"/>
          <w:szCs w:val="22"/>
        </w:rPr>
        <w:t xml:space="preserve">Tester la connexion internet depuis un autre poste</w:t>
      </w:r>
    </w:p>
    <w:p>
      <w:pPr>
        <w:pStyle w:val="ListParagraph"/>
        <w:numPr>
          <w:ilvl w:val="0"/>
          <w:numId w:val="3"/>
        </w:numPr>
        <w:spacing w:before="60" w:after="60"/>
      </w:pPr>
      <w:r>
        <w:rPr>
          <w:rFonts w:ascii="Arial" w:cs="Arial" w:eastAsia="Arial" w:hAnsi="Arial"/>
          <w:sz w:val="22"/>
          <w:szCs w:val="22"/>
        </w:rPr>
        <w:t xml:space="preserve">Vérifier la charge du serveur RDS (via outil de supervision)</w:t>
      </w:r>
    </w:p>
    <w:p>
      <w:pPr>
        <w:pStyle w:val="ListParagraph"/>
        <w:numPr>
          <w:ilvl w:val="0"/>
          <w:numId w:val="3"/>
        </w:numPr>
        <w:spacing w:before="60" w:after="60"/>
      </w:pPr>
      <w:r>
        <w:rPr>
          <w:rFonts w:ascii="Arial" w:cs="Arial" w:eastAsia="Arial" w:hAnsi="Arial"/>
          <w:sz w:val="22"/>
          <w:szCs w:val="22"/>
        </w:rPr>
        <w:t xml:space="preserve">Redémarrer la session RDS de l’utilisateur</w:t>
      </w:r>
    </w:p>
    <w:p>
      <w:pPr>
        <w:pStyle w:val="ListParagraph"/>
        <w:numPr>
          <w:ilvl w:val="0"/>
          <w:numId w:val="3"/>
        </w:numPr>
        <w:spacing w:before="60" w:after="60"/>
      </w:pPr>
      <w:r>
        <w:rPr>
          <w:rFonts w:ascii="Arial" w:cs="Arial" w:eastAsia="Arial" w:hAnsi="Arial"/>
          <w:sz w:val="22"/>
          <w:szCs w:val="22"/>
        </w:rPr>
        <w:t xml:space="preserve">Si non résolu sous 15 min → escalade N2 obligatoire</w:t>
      </w:r>
    </w:p>
    <w:p>
      <w:pPr>
        <w:pStyle w:val="Heading3"/>
        <w:spacing w:before="200" w:after="120"/>
      </w:pPr>
      <w:r>
        <w:rPr>
          <w:rFonts w:ascii="Arial" w:cs="Arial" w:eastAsia="Arial" w:hAnsi="Arial"/>
          <w:b/>
          <w:bCs/>
          <w:color w:val="404040"/>
          <w:sz w:val="22"/>
          <w:szCs w:val="22"/>
        </w:rPr>
        <w:t xml:space="preserve">Procédure 2 : Téléphonie IP indisponible</w:t>
      </w:r>
    </w:p>
    <w:p>
      <w:pPr>
        <w:pStyle w:val="ListParagraph"/>
        <w:numPr>
          <w:ilvl w:val="0"/>
          <w:numId w:val="3"/>
        </w:numPr>
        <w:spacing w:before="60" w:after="60"/>
      </w:pPr>
      <w:r>
        <w:rPr>
          <w:rFonts w:ascii="Arial" w:cs="Arial" w:eastAsia="Arial" w:hAnsi="Arial"/>
          <w:sz w:val="22"/>
          <w:szCs w:val="22"/>
        </w:rPr>
        <w:t xml:space="preserve">Vérifier si tous les postes sont affectés ou seulement certains</w:t>
      </w:r>
    </w:p>
    <w:p>
      <w:pPr>
        <w:pStyle w:val="ListParagraph"/>
        <w:numPr>
          <w:ilvl w:val="0"/>
          <w:numId w:val="3"/>
        </w:numPr>
        <w:spacing w:before="60" w:after="60"/>
      </w:pPr>
      <w:r>
        <w:rPr>
          <w:rFonts w:ascii="Arial" w:cs="Arial" w:eastAsia="Arial" w:hAnsi="Arial"/>
          <w:sz w:val="22"/>
          <w:szCs w:val="22"/>
        </w:rPr>
        <w:t xml:space="preserve">Contrôler les voyants du commutateur et du router VOIP</w:t>
      </w:r>
    </w:p>
    <w:p>
      <w:pPr>
        <w:pStyle w:val="ListParagraph"/>
        <w:numPr>
          <w:ilvl w:val="0"/>
          <w:numId w:val="3"/>
        </w:numPr>
        <w:spacing w:before="60" w:after="60"/>
      </w:pPr>
      <w:r>
        <w:rPr>
          <w:rFonts w:ascii="Arial" w:cs="Arial" w:eastAsia="Arial" w:hAnsi="Arial"/>
          <w:sz w:val="22"/>
          <w:szCs w:val="22"/>
        </w:rPr>
        <w:t xml:space="preserve">Tester le ping vers le serveur de téléphonie</w:t>
      </w:r>
    </w:p>
    <w:p>
      <w:pPr>
        <w:pStyle w:val="ListParagraph"/>
        <w:numPr>
          <w:ilvl w:val="0"/>
          <w:numId w:val="3"/>
        </w:numPr>
        <w:spacing w:before="60" w:after="60"/>
      </w:pPr>
      <w:r>
        <w:rPr>
          <w:rFonts w:ascii="Arial" w:cs="Arial" w:eastAsia="Arial" w:hAnsi="Arial"/>
          <w:sz w:val="22"/>
          <w:szCs w:val="22"/>
        </w:rPr>
        <w:t xml:space="preserve">Vérifier la redondance : est-ce que le basculement automatique s’est activé ?</w:t>
      </w:r>
    </w:p>
    <w:p>
      <w:pPr>
        <w:pStyle w:val="ListParagraph"/>
        <w:numPr>
          <w:ilvl w:val="0"/>
          <w:numId w:val="3"/>
        </w:numPr>
        <w:spacing w:before="60" w:after="60"/>
      </w:pPr>
      <w:r>
        <w:rPr>
          <w:rFonts w:ascii="Arial" w:cs="Arial" w:eastAsia="Arial" w:hAnsi="Arial"/>
          <w:sz w:val="22"/>
          <w:szCs w:val="22"/>
        </w:rPr>
        <w:t xml:space="preserve">Alerter N2 immédiatement si tout le site est coupé (P1)</w:t>
      </w:r>
    </w:p>
    <w:p>
      <w:pPr>
        <w:pStyle w:val="Heading3"/>
        <w:spacing w:before="200" w:after="120"/>
      </w:pPr>
      <w:r>
        <w:rPr>
          <w:rFonts w:ascii="Arial" w:cs="Arial" w:eastAsia="Arial" w:hAnsi="Arial"/>
          <w:b/>
          <w:bCs/>
          <w:color w:val="404040"/>
          <w:sz w:val="22"/>
          <w:szCs w:val="22"/>
        </w:rPr>
        <w:t xml:space="preserve">Procédure 3 : Problème softphone</w:t>
      </w:r>
    </w:p>
    <w:p>
      <w:pPr>
        <w:pStyle w:val="ListParagraph"/>
        <w:numPr>
          <w:ilvl w:val="0"/>
          <w:numId w:val="3"/>
        </w:numPr>
        <w:spacing w:before="60" w:after="60"/>
      </w:pPr>
      <w:r>
        <w:rPr>
          <w:rFonts w:ascii="Arial" w:cs="Arial" w:eastAsia="Arial" w:hAnsi="Arial"/>
          <w:sz w:val="22"/>
          <w:szCs w:val="22"/>
        </w:rPr>
        <w:t xml:space="preserve">Redémarrer le softphone</w:t>
      </w:r>
    </w:p>
    <w:p>
      <w:pPr>
        <w:pStyle w:val="ListParagraph"/>
        <w:numPr>
          <w:ilvl w:val="0"/>
          <w:numId w:val="3"/>
        </w:numPr>
        <w:spacing w:before="60" w:after="60"/>
      </w:pPr>
      <w:r>
        <w:rPr>
          <w:rFonts w:ascii="Arial" w:cs="Arial" w:eastAsia="Arial" w:hAnsi="Arial"/>
          <w:sz w:val="22"/>
          <w:szCs w:val="22"/>
        </w:rPr>
        <w:t xml:space="preserve">Vérifier la configuration IP du poste (adresse DHCP correcte ?)</w:t>
      </w:r>
    </w:p>
    <w:p>
      <w:pPr>
        <w:pStyle w:val="ListParagraph"/>
        <w:numPr>
          <w:ilvl w:val="0"/>
          <w:numId w:val="3"/>
        </w:numPr>
        <w:spacing w:before="60" w:after="60"/>
      </w:pPr>
      <w:r>
        <w:rPr>
          <w:rFonts w:ascii="Arial" w:cs="Arial" w:eastAsia="Arial" w:hAnsi="Arial"/>
          <w:sz w:val="22"/>
          <w:szCs w:val="22"/>
        </w:rPr>
        <w:t xml:space="preserve">Redémarrer la session utilisateur</w:t>
      </w:r>
    </w:p>
    <w:p>
      <w:pPr>
        <w:pStyle w:val="ListParagraph"/>
        <w:numPr>
          <w:ilvl w:val="0"/>
          <w:numId w:val="3"/>
        </w:numPr>
        <w:spacing w:before="60" w:after="60"/>
      </w:pPr>
      <w:r>
        <w:rPr>
          <w:rFonts w:ascii="Arial" w:cs="Arial" w:eastAsia="Arial" w:hAnsi="Arial"/>
          <w:sz w:val="22"/>
          <w:szCs w:val="22"/>
        </w:rPr>
        <w:t xml:space="preserve">Vérifier les droits d’accès dans l’Active Directory</w:t>
      </w:r>
    </w:p>
    <w:p>
      <w:pPr>
        <w:pStyle w:val="ListParagraph"/>
        <w:numPr>
          <w:ilvl w:val="0"/>
          <w:numId w:val="3"/>
        </w:numPr>
        <w:spacing w:before="60" w:after="60"/>
      </w:pPr>
      <w:r>
        <w:rPr>
          <w:rFonts w:ascii="Arial" w:cs="Arial" w:eastAsia="Arial" w:hAnsi="Arial"/>
          <w:sz w:val="22"/>
          <w:szCs w:val="22"/>
        </w:rPr>
        <w:t xml:space="preserve">Si persistance → escalade N2 pour diagnostic réseau/VOIP approfondi</w:t>
      </w:r>
    </w:p>
    <w:p>
      <w:pPr>
        <w:spacing w:before="200" w:after="0"/>
      </w:pPr>
    </w:p>
    <w:p>
      <w:pPr>
        <w:pStyle w:val="Heading2"/>
        <w:spacing w:before="280" w:after="160"/>
      </w:pPr>
      <w:r>
        <w:rPr>
          <w:rFonts w:ascii="Arial" w:cs="Arial" w:eastAsia="Arial" w:hAnsi="Arial"/>
          <w:b/>
          <w:bCs/>
          <w:color w:val="2E75B6"/>
          <w:sz w:val="26"/>
          <w:szCs w:val="26"/>
        </w:rPr>
        <w:t xml:space="preserve">KPI à suivre obligatoirement</w:t>
      </w:r>
    </w:p>
    <w:p>
      <w:pPr>
        <w:spacing w:before="80" w:after="80"/>
      </w:pPr>
      <w:r>
        <w:rPr>
          <w:rFonts w:ascii="Arial" w:cs="Arial" w:eastAsia="Arial" w:hAnsi="Arial"/>
          <w:sz w:val="22"/>
          <w:szCs w:val="22"/>
        </w:rPr>
        <w:t xml:space="preserve">Ces indicateurs permettent de mesurer la qualité du service et d’identifier les points d’amélioration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KPI</w:t>
            </w:r>
          </w:p>
        </w:tc>
        <w:tc>
          <w:tcPr>
            <w:tcW w:type="dxa" w:w="31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Ce que ça mesure</w:t>
            </w:r>
          </w:p>
        </w:tc>
        <w:tc>
          <w:tcPr>
            <w:tcW w:type="dxa" w:w="31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Objectif cible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MTTR (Mean Time To Resolve)</w:t>
            </w:r>
          </w:p>
        </w:tc>
        <w:tc>
          <w:tcPr>
            <w:tcW w:type="dxa" w:w="31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Temps moyen pour résoudre un incident</w:t>
            </w:r>
          </w:p>
        </w:tc>
        <w:tc>
          <w:tcPr>
            <w:tcW w:type="dxa" w:w="31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&lt; 45 min (P1/P2), &lt; 4h (P3/P4)</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 Résolution N1</w:t>
            </w:r>
          </w:p>
        </w:tc>
        <w:tc>
          <w:tcPr>
            <w:tcW w:type="dxa" w:w="31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Tickets résolus sans escalade</w:t>
            </w:r>
          </w:p>
        </w:tc>
        <w:tc>
          <w:tcPr>
            <w:tcW w:type="dxa" w:w="31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&gt; 70%</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Respect des SLA</w:t>
            </w:r>
          </w:p>
        </w:tc>
        <w:tc>
          <w:tcPr>
            <w:tcW w:type="dxa" w:w="31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Tickets traités dans les délais</w:t>
            </w:r>
          </w:p>
        </w:tc>
        <w:tc>
          <w:tcPr>
            <w:tcW w:type="dxa" w:w="31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&gt; 90%</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Volume de tickets par catégorie</w:t>
            </w:r>
          </w:p>
        </w:tc>
        <w:tc>
          <w:tcPr>
            <w:tcW w:type="dxa" w:w="31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Tendances, pics, types dominants</w:t>
            </w:r>
          </w:p>
        </w:tc>
        <w:tc>
          <w:tcPr>
            <w:tcW w:type="dxa" w:w="31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Identifier les top 3 récurrents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Satisfaction utilisateur</w:t>
            </w:r>
          </w:p>
        </w:tc>
        <w:tc>
          <w:tcPr>
            <w:tcW w:type="dxa" w:w="31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Note de satisfaction post-ticket</w:t>
            </w:r>
          </w:p>
        </w:tc>
        <w:tc>
          <w:tcPr>
            <w:tcW w:type="dxa" w:w="31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&gt; 4/5</w:t>
            </w:r>
          </w:p>
        </w:tc>
      </w:tr>
    </w:tbl>
    <w:p>
      <w:pPr>
        <w:spacing w:before="200" w:after="0"/>
      </w:pPr>
    </w:p>
    <w:p>
      <w:pPr>
        <w:pStyle w:val="Heading2"/>
        <w:spacing w:before="280" w:after="160"/>
      </w:pPr>
      <w:r>
        <w:rPr>
          <w:rFonts w:ascii="Arial" w:cs="Arial" w:eastAsia="Arial" w:hAnsi="Arial"/>
          <w:b/>
          <w:bCs/>
          <w:color w:val="2E75B6"/>
          <w:sz w:val="26"/>
          <w:szCs w:val="26"/>
        </w:rPr>
        <w:t xml:space="preserve">Plan d’amélioration continue sur 6 à 12 mois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468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Période</w:t>
            </w:r>
          </w:p>
        </w:tc>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Objectif</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Actions concrètes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9"/>
                <w:szCs w:val="19"/>
              </w:rPr>
              <w:t xml:space="preserve">Mois 1–2</w:t>
            </w:r>
          </w:p>
        </w:tc>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Audit de l’existant</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Analyser les tickets des 3 derniers mois, identifier les incidents récurrents, cartographier les points faibles. Définir les quick wins à mettre en place immédiatement.</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19"/>
                <w:szCs w:val="19"/>
              </w:rPr>
              <w:t xml:space="preserve">Mois 3–4</w:t>
            </w:r>
          </w:p>
        </w:tc>
        <w:tc>
          <w:tcPr>
            <w:tcW w:type="dxa" w:w="28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19"/>
                <w:szCs w:val="19"/>
              </w:rPr>
              <w:t xml:space="preserve">Amélioration des procédures N1</w:t>
            </w:r>
          </w:p>
        </w:tc>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19"/>
                <w:szCs w:val="19"/>
              </w:rPr>
              <w:t xml:space="preserve">Créer les 5 check-lists principales. Enrichir la base de connaissance GLPI. Former les techniciens N1 aux nouveaux outils.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9"/>
                <w:szCs w:val="19"/>
              </w:rPr>
              <w:t xml:space="preserve">Mois 5–6</w:t>
            </w:r>
          </w:p>
        </w:tc>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Optimisation des SLA</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Réviser les catégories et priorités en fonction des données réelles. Ajuster les SLA téléphonie. Automatiser les escalades.</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19"/>
                <w:szCs w:val="19"/>
              </w:rPr>
              <w:t xml:space="preserve">Mois 7–12</w:t>
            </w:r>
          </w:p>
        </w:tc>
        <w:tc>
          <w:tcPr>
            <w:tcW w:type="dxa" w:w="28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19"/>
                <w:szCs w:val="19"/>
              </w:rPr>
              <w:t xml:space="preserve">Pilotage et amélioration continue</w:t>
            </w:r>
          </w:p>
        </w:tc>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19"/>
                <w:szCs w:val="19"/>
              </w:rPr>
              <w:t xml:space="preserve">Mettre en place les revues mensuelles de service. Analyser les KPI régulièrement. Définir un plan de formation annuel. Viser 80% de résolution N1.</w:t>
            </w:r>
          </w:p>
        </w:tc>
      </w:tr>
    </w:tbl>
    <w:p>
      <w:pPr>
        <w:pBdr>
          <w:bottom w:val="single" w:color="2E75B6" w:sz="4" w:space="1"/>
        </w:pBdr>
        <w:spacing w:before="200" w:after="200"/>
      </w:pPr>
    </w:p>
    <w:p>
      <w:pPr>
        <w:pStyle w:val="Heading1"/>
        <w:spacing w:before="360" w:after="200"/>
      </w:pPr>
      <w:r>
        <w:rPr>
          <w:rFonts w:ascii="Arial" w:cs="Arial" w:eastAsia="Arial" w:hAnsi="Arial"/>
          <w:b/>
          <w:bCs/>
          <w:color w:val="1F4E79"/>
          <w:sz w:val="32"/>
          <w:szCs w:val="32"/>
        </w:rPr>
        <w:t xml:space="preserve">Ce que le jury évalue</w:t>
      </w:r>
    </w:p>
    <w:p>
      <w:pPr>
        <w:spacing w:before="80" w:after="80"/>
      </w:pPr>
      <w:r>
        <w:rPr>
          <w:rFonts w:ascii="Arial" w:cs="Arial" w:eastAsia="Arial" w:hAnsi="Arial"/>
          <w:sz w:val="22"/>
          <w:szCs w:val="22"/>
        </w:rPr>
        <w:t xml:space="preserve">L’infrastructure est déjà en place. Ce qui est évalué, c’est votre capacité à :</w:t>
      </w:r>
    </w:p>
    <w:p>
      <w:pPr>
        <w:pStyle w:val="ListParagraph"/>
        <w:numPr>
          <w:ilvl w:val="0"/>
          <w:numId w:val="2"/>
        </w:numPr>
        <w:spacing w:before="60" w:after="60"/>
      </w:pPr>
      <w:r>
        <w:rPr>
          <w:rFonts w:ascii="Arial" w:cs="Arial" w:eastAsia="Arial" w:hAnsi="Arial"/>
          <w:sz w:val="22"/>
          <w:szCs w:val="22"/>
        </w:rPr>
        <w:t xml:space="preserve">Comprendre les enjeux métier de The Telephone Girls (logique de service)</w:t>
      </w:r>
    </w:p>
    <w:p>
      <w:pPr>
        <w:pStyle w:val="ListParagraph"/>
        <w:numPr>
          <w:ilvl w:val="0"/>
          <w:numId w:val="2"/>
        </w:numPr>
        <w:spacing w:before="60" w:after="60"/>
      </w:pPr>
      <w:r>
        <w:rPr>
          <w:rFonts w:ascii="Arial" w:cs="Arial" w:eastAsia="Arial" w:hAnsi="Arial"/>
          <w:sz w:val="22"/>
          <w:szCs w:val="22"/>
        </w:rPr>
        <w:t xml:space="preserve">Proposer une organisation réaliste et cohérente avec les contraintes réelles</w:t>
      </w:r>
    </w:p>
    <w:p>
      <w:pPr>
        <w:pStyle w:val="ListParagraph"/>
        <w:numPr>
          <w:ilvl w:val="0"/>
          <w:numId w:val="2"/>
        </w:numPr>
        <w:spacing w:before="60" w:after="60"/>
      </w:pPr>
      <w:r>
        <w:rPr>
          <w:rFonts w:ascii="Arial" w:cs="Arial" w:eastAsia="Arial" w:hAnsi="Arial"/>
          <w:sz w:val="22"/>
          <w:szCs w:val="22"/>
        </w:rPr>
        <w:t xml:space="preserve">Démontrer votre vision d’un SI en production (pas un cas théorique)</w:t>
      </w:r>
    </w:p>
    <w:p>
      <w:pPr>
        <w:pStyle w:val="ListParagraph"/>
        <w:numPr>
          <w:ilvl w:val="0"/>
          <w:numId w:val="2"/>
        </w:numPr>
        <w:spacing w:before="60" w:after="60"/>
      </w:pPr>
      <w:r>
        <w:rPr>
          <w:rFonts w:ascii="Arial" w:cs="Arial" w:eastAsia="Arial" w:hAnsi="Arial"/>
          <w:sz w:val="22"/>
          <w:szCs w:val="22"/>
        </w:rPr>
        <w:t xml:space="preserve">Présenter des KPI pertinents et un plan d’amélioration actionnable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180"/>
              <w:bottom w:type="dxa" w:w="120"/>
              <w:right w:type="dxa" w:w="180"/>
            </w:tcMar>
          </w:tcPr>
          <w:p>
            <w:pPr>
              <w:spacing w:before="40" w:after="60"/>
            </w:pPr>
            <w:r>
              <w:rPr>
                <w:rFonts w:ascii="Arial" w:cs="Arial" w:eastAsia="Arial" w:hAnsi="Arial"/>
                <w:b/>
                <w:bCs/>
                <w:color w:val="1F4E79"/>
                <w:sz w:val="22"/>
                <w:szCs w:val="22"/>
              </w:rPr>
              <w:t xml:space="preserve">Structure recommandée pour la soutenance (10-15 slides — 12 minutes)</w:t>
            </w:r>
          </w:p>
          <w:p>
            <w:pPr>
              <w:spacing w:before="0" w:after="40"/>
            </w:pPr>
            <w:r>
              <w:rPr>
                <w:rFonts w:ascii="Arial" w:cs="Arial" w:eastAsia="Arial" w:hAnsi="Arial"/>
                <w:sz w:val="22"/>
                <w:szCs w:val="22"/>
              </w:rPr>
              <w:t xml:space="preserve">1. Organisation du support : dimensionnement justifié, rôles définis, planification formalisée
2. Processus maîtrisés : incident, demande, changement avec RACI et SLA associés
3. Outil utilisé à bon escient : configuration adaptée aux usages réels
4. Capacité d’analyse : KPI pertinents, lecture des données
5. Recommandations concrètes : plan d’amélioration réaliste et hiérarchisé</w:t>
            </w:r>
          </w:p>
        </w:tc>
      </w:tr>
    </w:tbl>
    <w:p>
      <w:pPr>
        <w:spacing w:before="300" w:after="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2026-03-29T16:50:28.411Z</dcterms:created>
  <dcterms:modified xsi:type="dcterms:W3CDTF">2026-03-29T16:50:28.412Z</dcterms:modified>
</cp:coreProperties>
</file>

<file path=docProps/custom.xml><?xml version="1.0" encoding="utf-8"?>
<Properties xmlns="http://schemas.openxmlformats.org/officeDocument/2006/custom-properties" xmlns:vt="http://schemas.openxmlformats.org/officeDocument/2006/docPropsVTypes"/>
</file>