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KV cache dei modelli LLM: tabella e formula di calcolo</w:t>
      </w:r>
    </w:p>
    <w:p>
      <w:pPr/>
      <w:r>
        <w:t xml:space="preserve">Oct 2, 2026</w:t>
      </w:r>
      <w:r>
        <w:t xml:space="preserve"> · </w:t>
      </w:r>
      <w:r>
        <w:t xml:space="preserve">@Alvise Dorigo</w:t>
      </w:r>
    </w:p>
    <w:p>
      <w:pPr>
        <w:pStyle w:val="Heading2"/>
      </w:pPr>
      <w:r>
        <w:t xml:space="preserve">Tabella: KV cache fp16 a 128K</w:t>
      </w:r>
    </w:p>
    <w:p>
      <w:pPr/>
      <w:r>
        <w:t xml:space="preserve">A 128K token e 16 bit la KV cache va da 0,75 GiB (Nemotron-3.5-Lightning) a 40 GiB (Llama-3.3-70B). Conta quanti layer tengono K e V su tutto il contesto, non la dimensione del modello.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Modello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Ctx max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Layer con KV su tutto il contesto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KV per token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KV @128K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con MTP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Note</w:t>
            </w:r>
          </w:p>
        </w:tc>
      </w:tr>
      <w:tr>
        <w:tc>
          <w:tcPr>
            <w:tcW w:w="1337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Nemotron-3.5-Lightning-30B-A3B</w:t>
              </w:r>
            </w:hyperlink>
          </w:p>
        </w:tc>
        <w:tc>
          <w:tcPr>
            <w:tcW w:w="1337" w:type="dxa"/>
          </w:tcPr>
          <w:p>
            <w:pPr/>
            <w:r>
              <w:t xml:space="preserve">256K (fino a 1M)</w:t>
            </w:r>
          </w:p>
        </w:tc>
        <w:tc>
          <w:tcPr>
            <w:tcW w:w="1337" w:type="dxa"/>
          </w:tcPr>
          <w:p>
            <w:pPr/>
            <w:r>
              <w:t xml:space="preserve">6 di 52 (resto Mamba-2/MoE)</w:t>
            </w:r>
          </w:p>
        </w:tc>
        <w:tc>
          <w:tcPr>
            <w:tcW w:w="1337" w:type="dxa"/>
          </w:tcPr>
          <w:p>
            <w:pPr/>
            <w:r>
              <w:t xml:space="preserve">6 KiB</w:t>
            </w:r>
          </w:p>
        </w:tc>
        <w:tc>
          <w:tcPr>
            <w:tcW w:w="1337" w:type="dxa"/>
          </w:tcPr>
          <w:p>
            <w:pPr/>
            <w:r>
              <w:t xml:space="preserve">0,75 GiB</w:t>
            </w:r>
          </w:p>
        </w:tc>
        <w:tc>
          <w:tcPr>
            <w:tcW w:w="1337" w:type="dxa"/>
          </w:tcPr>
          <w:p>
            <w:pPr/>
            <w:r>
              <w:t xml:space="preserve">0,88 GiB</w:t>
            </w:r>
          </w:p>
        </w:tc>
        <w:tc>
          <w:tcPr>
            <w:tcW w:w="1337" w:type="dxa"/>
          </w:tcPr>
          <w:p>
            <w:pPr/>
            <w:r>
              <w:t xml:space="preserve">+ stato Mamba ~47 MiB</w:t>
            </w:r>
          </w:p>
        </w:tc>
      </w:tr>
      <w:tr>
        <w:tc>
          <w:tcPr>
            <w:tcW w:w="1337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Nemotron-3-Super-120B-A12B</w:t>
              </w:r>
            </w:hyperlink>
          </w:p>
        </w:tc>
        <w:tc>
          <w:tcPr>
            <w:tcW w:w="1337" w:type="dxa"/>
          </w:tcPr>
          <w:p>
            <w:pPr/>
            <w:r>
              <w:t xml:space="preserve">256K (fino a 1M)</w:t>
            </w:r>
          </w:p>
        </w:tc>
        <w:tc>
          <w:tcPr>
            <w:tcW w:w="1337" w:type="dxa"/>
          </w:tcPr>
          <w:p>
            <w:pPr/>
            <w:r>
              <w:t xml:space="preserve">8 di 88 (resto Mamba-2/MoE)</w:t>
            </w:r>
          </w:p>
        </w:tc>
        <w:tc>
          <w:tcPr>
            <w:tcW w:w="1337" w:type="dxa"/>
          </w:tcPr>
          <w:p>
            <w:pPr/>
            <w:r>
              <w:t xml:space="preserve">8 KiB</w:t>
            </w:r>
          </w:p>
        </w:tc>
        <w:tc>
          <w:tcPr>
            <w:tcW w:w="1337" w:type="dxa"/>
          </w:tcPr>
          <w:p>
            <w:pPr/>
            <w:r>
              <w:t xml:space="preserve">1,0 GiB</w:t>
            </w:r>
          </w:p>
        </w:tc>
        <w:tc>
          <w:tcPr>
            <w:tcW w:w="1337" w:type="dxa"/>
          </w:tcPr>
          <w:p>
            <w:pPr/>
            <w:r>
              <w:t xml:space="preserve">1,13 GiB</w:t>
            </w:r>
          </w:p>
        </w:tc>
        <w:tc>
          <w:tcPr>
            <w:tcW w:w="1337" w:type="dxa"/>
          </w:tcPr>
          <w:p>
            <w:pPr/>
            <w:r>
              <w:t xml:space="preserve">+ stato Mamba ~162 MiB</w:t>
            </w:r>
          </w:p>
        </w:tc>
      </w:tr>
      <w:tr>
        <w:tc>
          <w:tcPr>
            <w:tcW w:w="1337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Qwen3.6-35B-A3B-MTP</w:t>
              </w:r>
            </w:hyperlink>
          </w:p>
        </w:tc>
        <w:tc>
          <w:tcPr>
            <w:tcW w:w="1337" w:type="dxa"/>
          </w:tcPr>
          <w:p>
            <w:pPr/>
            <w:r>
              <w:t xml:space="preserve">256K</w:t>
            </w:r>
          </w:p>
        </w:tc>
        <w:tc>
          <w:tcPr>
            <w:tcW w:w="1337" w:type="dxa"/>
          </w:tcPr>
          <w:p>
            <w:pPr/>
            <w:r>
              <w:t xml:space="preserve">10 di 40 (resto DeltaNet)</w:t>
            </w:r>
          </w:p>
        </w:tc>
        <w:tc>
          <w:tcPr>
            <w:tcW w:w="1337" w:type="dxa"/>
          </w:tcPr>
          <w:p>
            <w:pPr/>
            <w:r>
              <w:t xml:space="preserve">20 KiB</w:t>
            </w:r>
          </w:p>
        </w:tc>
        <w:tc>
          <w:tcPr>
            <w:tcW w:w="1337" w:type="dxa"/>
          </w:tcPr>
          <w:p>
            <w:pPr/>
            <w:r>
              <w:t xml:space="preserve">2,5 GiB</w:t>
            </w:r>
          </w:p>
        </w:tc>
        <w:tc>
          <w:tcPr>
            <w:tcW w:w="1337" w:type="dxa"/>
          </w:tcPr>
          <w:p>
            <w:pPr/>
            <w:r>
              <w:t xml:space="preserve">2,75 GiB</w:t>
            </w:r>
          </w:p>
        </w:tc>
        <w:tc>
          <w:tcPr>
            <w:tcW w:w="1337" w:type="dxa"/>
          </w:tcPr>
          <w:p>
            <w:pPr/>
            <w:r>
              <w:t xml:space="preserve">+ stato DeltaNet ~61 MiB</w:t>
            </w:r>
          </w:p>
        </w:tc>
      </w:tr>
      <w:tr>
        <w:tc>
          <w:tcPr>
            <w:tcW w:w="1337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Ornith-1.5-35B-A3B</w:t>
              </w:r>
            </w:hyperlink>
          </w:p>
        </w:tc>
        <w:tc>
          <w:tcPr>
            <w:tcW w:w="1337" w:type="dxa"/>
          </w:tcPr>
          <w:p>
            <w:pPr/>
            <w:r>
              <w:t xml:space="preserve">256K (~1M con YaRN)</w:t>
            </w:r>
          </w:p>
        </w:tc>
        <w:tc>
          <w:tcPr>
            <w:tcW w:w="1337" w:type="dxa"/>
          </w:tcPr>
          <w:p>
            <w:pPr/>
            <w:r>
              <w:t xml:space="preserve">10 di 40 (resto DeltaNet)</w:t>
            </w:r>
          </w:p>
        </w:tc>
        <w:tc>
          <w:tcPr>
            <w:tcW w:w="1337" w:type="dxa"/>
          </w:tcPr>
          <w:p>
            <w:pPr/>
            <w:r>
              <w:t xml:space="preserve">20 KiB</w:t>
            </w:r>
          </w:p>
        </w:tc>
        <w:tc>
          <w:tcPr>
            <w:tcW w:w="1337" w:type="dxa"/>
          </w:tcPr>
          <w:p>
            <w:pPr/>
            <w:r>
              <w:t xml:space="preserve">2,5 GiB</w:t>
            </w:r>
          </w:p>
        </w:tc>
        <w:tc>
          <w:tcPr>
            <w:tcW w:w="1337" w:type="dxa"/>
          </w:tcPr>
          <w:p>
            <w:pPr/>
            <w:r>
              <w:t xml:space="preserve">2,75 GiB</w:t>
            </w:r>
          </w:p>
        </w:tc>
        <w:tc>
          <w:tcPr>
            <w:tcW w:w="1337" w:type="dxa"/>
          </w:tcPr>
          <w:p>
            <w:pPr/>
            <w:r>
              <w:t xml:space="preserve">architettura come Qwen3.6; + stato DeltaNet ~61 MiB</w:t>
            </w:r>
          </w:p>
        </w:tc>
      </w:tr>
      <w:tr>
        <w:tc>
          <w:tcPr>
            <w:tcW w:w="1337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Gemma-4-26B-A4B</w:t>
              </w:r>
            </w:hyperlink>
          </w:p>
        </w:tc>
        <w:tc>
          <w:tcPr>
            <w:tcW w:w="1337" w:type="dxa"/>
          </w:tcPr>
          <w:p>
            <w:pPr/>
            <w:r>
              <w:t xml:space="preserve">256K</w:t>
            </w:r>
          </w:p>
        </w:tc>
        <w:tc>
          <w:tcPr>
            <w:tcW w:w="1337" w:type="dxa"/>
          </w:tcPr>
          <w:p>
            <w:pPr/>
            <w:r>
              <w:t xml:space="preserve">5 di 30 (resto finestra 1.024)</w:t>
            </w:r>
          </w:p>
        </w:tc>
        <w:tc>
          <w:tcPr>
            <w:tcW w:w="1337" w:type="dxa"/>
          </w:tcPr>
          <w:p>
            <w:pPr/>
            <w:r>
              <w:t xml:space="preserve">20 KiB</w:t>
            </w:r>
          </w:p>
        </w:tc>
        <w:tc>
          <w:tcPr>
            <w:tcW w:w="1337" w:type="dxa"/>
          </w:tcPr>
          <w:p>
            <w:pPr/>
            <w:r>
              <w:t xml:space="preserve">2,7 GiB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incl. 200 MiB di finestra; con </w:t>
            </w:r>
            <w:r>
              <w:rPr>
                <w:rStyle w:val="CodeChar"/>
              </w:rPr>
              <w:t xml:space="preserve">--swa-full</w:t>
            </w:r>
            <w:r>
              <w:t xml:space="preserve"> 27,5 GiB</w:t>
            </w:r>
          </w:p>
        </w:tc>
      </w:tr>
      <w:tr>
        <w:tc>
          <w:tcPr>
            <w:tcW w:w="1337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Qwen3-Coder-Next (80B-A3B)</w:t>
              </w:r>
            </w:hyperlink>
          </w:p>
        </w:tc>
        <w:tc>
          <w:tcPr>
            <w:tcW w:w="1337" w:type="dxa"/>
          </w:tcPr>
          <w:p>
            <w:pPr/>
            <w:r>
              <w:t xml:space="preserve">256K</w:t>
            </w:r>
          </w:p>
        </w:tc>
        <w:tc>
          <w:tcPr>
            <w:tcW w:w="1337" w:type="dxa"/>
          </w:tcPr>
          <w:p>
            <w:pPr/>
            <w:r>
              <w:t xml:space="preserve">12 di 48 (resto DeltaNet)</w:t>
            </w:r>
          </w:p>
        </w:tc>
        <w:tc>
          <w:tcPr>
            <w:tcW w:w="1337" w:type="dxa"/>
          </w:tcPr>
          <w:p>
            <w:pPr/>
            <w:r>
              <w:t xml:space="preserve">24 KiB</w:t>
            </w:r>
          </w:p>
        </w:tc>
        <w:tc>
          <w:tcPr>
            <w:tcW w:w="1337" w:type="dxa"/>
          </w:tcPr>
          <w:p>
            <w:pPr/>
            <w:r>
              <w:t xml:space="preserve">3,0 GiB</w:t>
            </w:r>
          </w:p>
        </w:tc>
        <w:tc>
          <w:tcPr>
            <w:tcW w:w="1337" w:type="dxa"/>
          </w:tcPr>
          <w:p>
            <w:pPr/>
            <w:r>
              <w:t xml:space="preserve">3,25 GiB²</w:t>
            </w:r>
          </w:p>
        </w:tc>
        <w:tc>
          <w:tcPr>
            <w:tcW w:w="1337" w:type="dxa"/>
          </w:tcPr>
          <w:p>
            <w:pPr/>
            <w:r>
              <w:t xml:space="preserve">+ stato DeltaNet ~74 MiB</w:t>
            </w:r>
          </w:p>
        </w:tc>
      </w:tr>
      <w:tr>
        <w:tc>
          <w:tcPr>
            <w:tcW w:w="1337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GPT-OSS-120b</w:t>
              </w:r>
            </w:hyperlink>
          </w:p>
        </w:tc>
        <w:tc>
          <w:tcPr>
            <w:tcW w:w="1337" w:type="dxa"/>
          </w:tcPr>
          <w:p>
            <w:pPr/>
            <w:r>
              <w:t xml:space="preserve">128K</w:t>
            </w:r>
          </w:p>
        </w:tc>
        <w:tc>
          <w:tcPr>
            <w:tcW w:w="1337" w:type="dxa"/>
          </w:tcPr>
          <w:p>
            <w:pPr/>
            <w:r>
              <w:t xml:space="preserve">18 di 36 (resto finestra 128)</w:t>
            </w:r>
          </w:p>
        </w:tc>
        <w:tc>
          <w:tcPr>
            <w:tcW w:w="1337" w:type="dxa"/>
          </w:tcPr>
          <w:p>
            <w:pPr/>
            <w:r>
              <w:t xml:space="preserve">36 KiB</w:t>
            </w:r>
          </w:p>
        </w:tc>
        <w:tc>
          <w:tcPr>
            <w:tcW w:w="1337" w:type="dxa"/>
          </w:tcPr>
          <w:p>
            <w:pPr/>
            <w:r>
              <w:t xml:space="preserve">4,5 GiB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con </w:t>
            </w:r>
            <w:r>
              <w:rPr>
                <w:rStyle w:val="CodeChar"/>
              </w:rPr>
              <w:t xml:space="preserve">--swa-full</w:t>
            </w:r>
            <w:r>
              <w:t xml:space="preserve"> 9 GiB</w:t>
            </w:r>
          </w:p>
        </w:tc>
      </w:tr>
      <w:tr>
        <w:tc>
          <w:tcPr>
            <w:tcW w:w="1337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GLM-4.7-Flash</w:t>
              </w:r>
            </w:hyperlink>
          </w:p>
        </w:tc>
        <w:tc>
          <w:tcPr>
            <w:tcW w:w="1337" w:type="dxa"/>
          </w:tcPr>
          <w:p>
            <w:pPr/>
            <w:r>
              <w:t xml:space="preserve">~198K</w:t>
            </w:r>
          </w:p>
        </w:tc>
        <w:tc>
          <w:tcPr>
            <w:tcW w:w="1337" w:type="dxa"/>
          </w:tcPr>
          <w:p>
            <w:pPr/>
            <w:r>
              <w:t xml:space="preserve">47 di 47 (MLA compressa)</w:t>
            </w:r>
          </w:p>
        </w:tc>
        <w:tc>
          <w:tcPr>
            <w:tcW w:w="1337" w:type="dxa"/>
          </w:tcPr>
          <w:p>
            <w:pPr/>
            <w:r>
              <w:t xml:space="preserve">52,9 KiB</w:t>
            </w:r>
          </w:p>
        </w:tc>
        <w:tc>
          <w:tcPr>
            <w:tcW w:w="1337" w:type="dxa"/>
          </w:tcPr>
          <w:p>
            <w:pPr/>
            <w:r>
              <w:t xml:space="preserve">6,6 GiB</w:t>
            </w:r>
          </w:p>
        </w:tc>
        <w:tc>
          <w:tcPr>
            <w:tcW w:w="1337" w:type="dxa"/>
          </w:tcPr>
          <w:p>
            <w:pPr/>
            <w:r>
              <w:t xml:space="preserve">6,75 GiB</w:t>
            </w:r>
          </w:p>
        </w:tc>
        <w:tc>
          <w:tcPr>
            <w:tcW w:w="1337" w:type="dxa"/>
          </w:tcPr>
          <w:p>
            <w:pPr/>
            <w:r>
              <w:t xml:space="preserve">MLA puro; llama.cpp (log di gennaio) ~12,5 GiB; senza MLA 117,5 GiB</w:t>
            </w:r>
          </w:p>
        </w:tc>
      </w:tr>
      <w:tr>
        <w:tc>
          <w:tcPr>
            <w:tcW w:w="1337" w:type="dxa"/>
          </w:tcPr>
          <w:p>
            <w:pPr/>
            <w:hyperlink r:id="rId11" w:history="1">
              <w:r>
                <w:rPr>
                  <w:rStyle w:val="Hyperlink"/>
                </w:rPr>
                <w:t xml:space="preserve">Llama-4-Scout-17B-16E</w:t>
              </w:r>
            </w:hyperlink>
          </w:p>
        </w:tc>
        <w:tc>
          <w:tcPr>
            <w:tcW w:w="1337" w:type="dxa"/>
          </w:tcPr>
          <w:p>
            <w:pPr/>
            <w:r>
              <w:t xml:space="preserve">10M</w:t>
            </w:r>
          </w:p>
        </w:tc>
        <w:tc>
          <w:tcPr>
            <w:tcW w:w="1337" w:type="dxa"/>
          </w:tcPr>
          <w:p>
            <w:pPr/>
            <w:r>
              <w:t xml:space="preserve">12 di 48 (resto blocchi 8.192)</w:t>
            </w:r>
          </w:p>
        </w:tc>
        <w:tc>
          <w:tcPr>
            <w:tcW w:w="1337" w:type="dxa"/>
          </w:tcPr>
          <w:p>
            <w:pPr/>
            <w:r>
              <w:t xml:space="preserve">48 KiB</w:t>
            </w:r>
          </w:p>
        </w:tc>
        <w:tc>
          <w:tcPr>
            <w:tcW w:w="1337" w:type="dxa"/>
          </w:tcPr>
          <w:p>
            <w:pPr/>
            <w:r>
              <w:t xml:space="preserve">7,1 GiB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incl. 1,1 GiB di blocchi; con </w:t>
            </w:r>
            <w:r>
              <w:rPr>
                <w:rStyle w:val="CodeChar"/>
              </w:rPr>
              <w:t xml:space="preserve">--swa-full</w:t>
            </w:r>
            <w:r>
              <w:t xml:space="preserve"> 24 GiB</w:t>
            </w:r>
          </w:p>
        </w:tc>
      </w:tr>
      <w:tr>
        <w:tc>
          <w:tcPr>
            <w:tcW w:w="1337" w:type="dxa"/>
          </w:tcPr>
          <w:p>
            <w:pPr/>
            <w:hyperlink r:id="rId12" w:history="1">
              <w:r>
                <w:rPr>
                  <w:rStyle w:val="Hyperlink"/>
                </w:rPr>
                <w:t xml:space="preserve">Qwen3.8-27B</w:t>
              </w:r>
            </w:hyperlink>
          </w:p>
        </w:tc>
        <w:tc>
          <w:tcPr>
            <w:tcW w:w="1337" w:type="dxa"/>
          </w:tcPr>
          <w:p>
            <w:pPr/>
            <w:r>
              <w:t xml:space="preserve">256K</w:t>
            </w:r>
          </w:p>
        </w:tc>
        <w:tc>
          <w:tcPr>
            <w:tcW w:w="1337" w:type="dxa"/>
          </w:tcPr>
          <w:p>
            <w:pPr/>
            <w:r>
              <w:t xml:space="preserve">16 di 64 (resto DeltaNet)</w:t>
            </w:r>
          </w:p>
        </w:tc>
        <w:tc>
          <w:tcPr>
            <w:tcW w:w="1337" w:type="dxa"/>
          </w:tcPr>
          <w:p>
            <w:pPr/>
            <w:r>
              <w:t xml:space="preserve">64 KiB</w:t>
            </w:r>
          </w:p>
        </w:tc>
        <w:tc>
          <w:tcPr>
            <w:tcW w:w="1337" w:type="dxa"/>
          </w:tcPr>
          <w:p>
            <w:pPr/>
            <w:r>
              <w:t xml:space="preserve">8,0 GiB</w:t>
            </w:r>
          </w:p>
        </w:tc>
        <w:tc>
          <w:tcPr>
            <w:tcW w:w="1337" w:type="dxa"/>
          </w:tcPr>
          <w:p>
            <w:pPr/>
            <w:r>
              <w:t xml:space="preserve">8,5 GiB¹</w:t>
            </w:r>
          </w:p>
        </w:tc>
        <w:tc>
          <w:tcPr>
            <w:tcW w:w="1337" w:type="dxa"/>
          </w:tcPr>
          <w:p>
            <w:pPr/>
            <w:r>
              <w:t xml:space="preserve">+ stato DeltaNet ~147 MiB</w:t>
            </w:r>
          </w:p>
        </w:tc>
      </w:tr>
      <w:tr>
        <w:tc>
          <w:tcPr>
            <w:tcW w:w="1337" w:type="dxa"/>
          </w:tcPr>
          <w:p>
            <w:pPr/>
            <w:hyperlink r:id="rId13" w:history="1">
              <w:r>
                <w:rPr>
                  <w:rStyle w:val="Hyperlink"/>
                </w:rPr>
                <w:t xml:space="preserve">Gemma-4-31B</w:t>
              </w:r>
            </w:hyperlink>
          </w:p>
        </w:tc>
        <w:tc>
          <w:tcPr>
            <w:tcW w:w="1337" w:type="dxa"/>
          </w:tcPr>
          <w:p>
            <w:pPr/>
            <w:r>
              <w:t xml:space="preserve">256K</w:t>
            </w:r>
          </w:p>
        </w:tc>
        <w:tc>
          <w:tcPr>
            <w:tcW w:w="1337" w:type="dxa"/>
          </w:tcPr>
          <w:p>
            <w:pPr/>
            <w:r>
              <w:t xml:space="preserve">10 di 60 (resto finestra 1.024)</w:t>
            </w:r>
          </w:p>
        </w:tc>
        <w:tc>
          <w:tcPr>
            <w:tcW w:w="1337" w:type="dxa"/>
          </w:tcPr>
          <w:p>
            <w:pPr/>
            <w:r>
              <w:t xml:space="preserve">80 KiB</w:t>
            </w:r>
          </w:p>
        </w:tc>
        <w:tc>
          <w:tcPr>
            <w:tcW w:w="1337" w:type="dxa"/>
          </w:tcPr>
          <w:p>
            <w:pPr/>
            <w:r>
              <w:t xml:space="preserve">10,8 GiB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incl. 800 MiB di finestra; con </w:t>
            </w:r>
            <w:r>
              <w:rPr>
                <w:rStyle w:val="CodeChar"/>
              </w:rPr>
              <w:t xml:space="preserve">--swa-full</w:t>
            </w:r>
            <w:r>
              <w:t xml:space="preserve"> 110 GiB</w:t>
            </w:r>
          </w:p>
        </w:tc>
      </w:tr>
      <w:tr>
        <w:tc>
          <w:tcPr>
            <w:tcW w:w="1337" w:type="dxa"/>
          </w:tcPr>
          <w:p>
            <w:pPr/>
            <w:hyperlink r:id="rId14" w:history="1">
              <w:r>
                <w:rPr>
                  <w:rStyle w:val="Hyperlink"/>
                </w:rPr>
                <w:t xml:space="preserve">Llama-3.3-70B</w:t>
              </w:r>
            </w:hyperlink>
          </w:p>
        </w:tc>
        <w:tc>
          <w:tcPr>
            <w:tcW w:w="1337" w:type="dxa"/>
          </w:tcPr>
          <w:p>
            <w:pPr/>
            <w:r>
              <w:t xml:space="preserve">128K</w:t>
            </w:r>
          </w:p>
        </w:tc>
        <w:tc>
          <w:tcPr>
            <w:tcW w:w="1337" w:type="dxa"/>
          </w:tcPr>
          <w:p>
            <w:pPr/>
            <w:r>
              <w:t xml:space="preserve">80 di 80</w:t>
            </w:r>
          </w:p>
        </w:tc>
        <w:tc>
          <w:tcPr>
            <w:tcW w:w="1337" w:type="dxa"/>
          </w:tcPr>
          <w:p>
            <w:pPr/>
            <w:r>
              <w:t xml:space="preserve">320 KiB</w:t>
            </w:r>
          </w:p>
        </w:tc>
        <w:tc>
          <w:tcPr>
            <w:tcW w:w="1337" w:type="dxa"/>
          </w:tcPr>
          <w:p>
            <w:pPr/>
            <w:r>
              <w:t xml:space="preserve">40 GiB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attenzione piena classica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Valori per singola sequenza, con K e V a 16 bit; 128K = 131.072 token; GiB = 2³⁰ byte. Righe ordinate per KV crescente.</w:t>
      </w:r>
    </w:p>
    <w:p>
      <w:pPr>
        <w:pStyle w:val="ListParagraph"/>
        <w:numPr>
          <w:ilvl w:val="0"/>
          <w:numId w:val="2"/>
        </w:numPr>
      </w:pPr>
      <w:r>
        <w:t xml:space="preserve">Stato ricorrente (Mamba/DeltaNet): in float32 come da config (per Qwen3-Coder-Next è un'assunzione). È fisso, non cresce col contesto ed è escluso dal totale.</w:t>
      </w:r>
    </w:p>
    <w:p>
      <w:pPr>
        <w:pStyle w:val="ListParagraph"/>
        <w:numPr>
          <w:ilvl w:val="0"/>
          <w:numId w:val="2"/>
        </w:numPr>
      </w:pPr>
      <w:r>
        <w:t xml:space="preserve">¹ MTP della Qwen3.8 assunto uguale a quello della 3.6 (1 layer ad attenzione piena), non verificato.</w:t>
      </w:r>
    </w:p>
    <w:p>
      <w:pPr>
        <w:pStyle w:val="ListParagraph"/>
        <w:numPr>
          <w:ilvl w:val="0"/>
          <w:numId w:val="2"/>
        </w:numPr>
      </w:pPr>
      <w:r>
        <w:t xml:space="preserve">² Vale solo se il checkpoint include la testa MTP: non verificato per Qwen3-Coder-Next.</w:t>
      </w:r>
    </w:p>
    <w:p>
      <w:pPr>
        <w:pStyle w:val="ListParagraph"/>
        <w:numPr>
          <w:ilvl w:val="0"/>
          <w:numId w:val="2"/>
        </w:numPr>
      </w:pPr>
      <w:r>
        <w:t xml:space="preserve">Gemma 4, K=V: sfruttando il riuso delle chiavi come valori, la parte globale scenderebbe del 37,5% (26B → 1,8 GiB; 31B → 7,0 GiB). llama.cpp però alloca comunque la V a parte.</w:t>
      </w:r>
    </w:p>
    <w:p>
      <w:pPr>
        <w:pStyle w:val="Heading2"/>
      </w:pPr>
      <w:r>
        <w:t xml:space="preserve">Formula generale</w:t>
      </w:r>
    </w:p>
    <w:p>
      <w:pPr/>
      <w:r>
        <w:t xml:space="preserve">Per l'attenzione standard la KV per token si ottiene moltiplicando 2 (K e V) per i layer con KV, le teste KV, la dimensione per testa e i byte per elemento. Il totale è quel valore per il numero di token, più l'eventuale parte fissa (finestre, blocchi).</w:t>
      </w:r>
    </w:p>
    <w:p>
      <w:pPr>
        <w:pStyle w:val="Code"/>
      </w:pPr>
      <w:bookmarkStart w:id="1" w:name="bongo_lang_latex_1"/>
      <w:bookmarkEnd w:id="1"/>
      <w:r>
        <w:t xml:space="preserve">\mathrm{KV}_{\mathrm{token}} = 2 \cdot L_{\mathrm{KV}} \cdot n_{\mathrm{kv}} \cdot d_{\mathrm{head}} \cdot b</w:t>
      </w:r>
    </w:p>
    <w:p/>
    <w:p>
      <w:pPr>
        <w:pStyle w:val="Code"/>
      </w:pPr>
      <w:bookmarkStart w:id="2" w:name="bongo_lang_latex_2"/>
      <w:bookmarkEnd w:id="2"/>
      <w:r>
        <w:t xml:space="preserve">\mathrm{KV}_{\mathrm{tot}} = \mathrm{KV}_{\mathrm{token}} \cdot N_{\mathrm{ctx}} + \mathrm{parte\ fissa}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Simbolo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Significato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Dove si legge nel config.json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un vettore K e uno V per token</w:t>
            </w:r>
          </w:p>
        </w:tc>
        <w:tc>
          <w:tcPr>
            <w:tcW w:w="3120" w:type="dxa"/>
          </w:tcPr>
          <w:p>
            <w:pPr/>
            <w:r>
              <w:t xml:space="preserve">costante; con MLA vale 1 (vedi casi speciali)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L_KV</w:t>
            </w:r>
          </w:p>
        </w:tc>
        <w:tc>
          <w:tcPr>
            <w:tcW w:w="3120" w:type="dxa"/>
          </w:tcPr>
          <w:p>
            <w:pPr/>
            <w:r>
              <w:t xml:space="preserve">layer che tengono K e V su tutto il contesto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num_hidden_layers</w:t>
            </w:r>
            <w:r>
              <w:t xml:space="preserve">, ridotto contando le voci di attenzione piena in </w:t>
            </w:r>
            <w:r>
              <w:rPr>
                <w:rStyle w:val="CodeChar"/>
              </w:rPr>
              <w:t xml:space="preserve">layer_types</w:t>
            </w:r>
            <w:r>
              <w:t xml:space="preserve"> (oppure </w:t>
            </w:r>
            <w:r>
              <w:rPr>
                <w:rStyle w:val="CodeChar"/>
              </w:rPr>
              <w:t xml:space="preserve">num_hidden_layers / full_attention_interval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n_kv</w:t>
            </w:r>
          </w:p>
        </w:tc>
        <w:tc>
          <w:tcPr>
            <w:tcW w:w="3120" w:type="dxa"/>
          </w:tcPr>
          <w:p>
            <w:pPr/>
            <w:r>
              <w:t xml:space="preserve">teste KV (non le teste di query)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num_key_value_heads</w:t>
            </w:r>
            <w:r>
              <w:t xml:space="preserve">; Gemma 4 globali: </w:t>
            </w:r>
            <w:r>
              <w:rPr>
                <w:rStyle w:val="CodeChar"/>
              </w:rPr>
              <w:t xml:space="preserve">num_global_key_value_heads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d_head</w:t>
            </w:r>
          </w:p>
        </w:tc>
        <w:tc>
          <w:tcPr>
            <w:tcW w:w="3120" w:type="dxa"/>
          </w:tcPr>
          <w:p>
            <w:pPr/>
            <w:r>
              <w:t xml:space="preserve">dimensione di ogni testa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head_dim</w:t>
            </w:r>
            <w:r>
              <w:t xml:space="preserve">; Gemma 4 globali: </w:t>
            </w:r>
            <w:r>
              <w:rPr>
                <w:rStyle w:val="CodeChar"/>
              </w:rPr>
              <w:t xml:space="preserve">global_head_dim</w:t>
            </w:r>
            <w:r>
              <w:t xml:space="preserve">; se manca: </w:t>
            </w:r>
            <w:r>
              <w:rPr>
                <w:rStyle w:val="CodeChar"/>
              </w:rPr>
              <w:t xml:space="preserve">hidden_size / num_attention_heads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</w:t>
            </w:r>
          </w:p>
        </w:tc>
        <w:tc>
          <w:tcPr>
            <w:tcW w:w="3120" w:type="dxa"/>
          </w:tcPr>
          <w:p>
            <w:pPr/>
            <w:r>
              <w:t xml:space="preserve">byte per elemento</w:t>
            </w:r>
          </w:p>
        </w:tc>
        <w:tc>
          <w:tcPr>
            <w:tcW w:w="3120" w:type="dxa"/>
          </w:tcPr>
          <w:p>
            <w:pPr/>
            <w:r>
              <w:t xml:space="preserve">2 per fp16/bf16; 1 per fp8; circa 1,06 per q8_0 e 0,56 per q4_0 di llama.cpp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N_ctx</w:t>
            </w:r>
          </w:p>
        </w:tc>
        <w:tc>
          <w:tcPr>
            <w:tcW w:w="3120" w:type="dxa"/>
          </w:tcPr>
          <w:p>
            <w:pPr/>
            <w:r>
              <w:t xml:space="preserve">token di contesto per sequenza</w:t>
            </w:r>
          </w:p>
        </w:tc>
        <w:tc>
          <w:tcPr>
            <w:tcW w:w="3120" w:type="dxa"/>
          </w:tcPr>
          <w:p>
            <w:pPr/>
            <w:r>
              <w:t xml:space="preserve">scelto da te; massimo nativo = </w:t>
            </w:r>
            <w:r>
              <w:rPr>
                <w:rStyle w:val="CodeChar"/>
              </w:rPr>
              <w:t xml:space="preserve">max_position_embeddings</w:t>
            </w:r>
          </w:p>
        </w:tc>
      </w:tr>
    </w:tbl>
    <w:p>
      <w:pPr/>
      <w:r>
        <w:t xml:space="preserve">Scorciatoia: con KV per token espresso in KiB, a 128K (2¹⁷ token) il totale in GiB è KV per token / 8; a 256K è KV per token / 4. Esempio: 20 KiB per token → 2,5 GiB a 128K.</w:t>
      </w:r>
    </w:p>
    <w:p>
      <w:pPr/>
      <w:r>
        <w:t xml:space="preserve">Il valore è per una sequenza. Con più richieste in parallelo la KV scala con i token totali in cache, lo stato ricorrente con il numero di sequenze.</w:t>
      </w:r>
    </w:p>
    <w:p>
      <w:pPr>
        <w:pStyle w:val="Heading2"/>
      </w:pPr>
      <w:r>
        <w:t xml:space="preserve">Casi speciali</w:t>
      </w:r>
    </w:p>
    <w:p>
      <w:pPr/>
      <w:r>
        <w:t xml:space="preserve">La formula base vale solo per i layer che vedono tutto il contesto. Layer ricorrenti, finestre, MLA e teste MTP cambiano il conteggio come segue.</w:t>
      </w:r>
    </w:p>
    <w:p>
      <w:pPr>
        <w:pStyle w:val="Heading3"/>
      </w:pPr>
      <w:r>
        <w:t xml:space="preserve">Layer ricorrenti (DeltaNet, Mamba-2)</w:t>
      </w:r>
    </w:p>
    <w:p>
      <w:pPr/>
      <w:r>
        <w:t xml:space="preserve">In L_KV entrano solo i layer di attenzione piena. Per Qwen3.5/3.6/3.8, Qwen3-Next e Ornith sono le voci </w:t>
      </w:r>
      <w:r>
        <w:rPr>
          <w:rStyle w:val="CodeChar"/>
        </w:rPr>
        <w:t xml:space="preserve">full_attention</w:t>
      </w:r>
      <w:r>
        <w:t xml:space="preserve"> in </w:t>
      </w:r>
      <w:r>
        <w:rPr>
          <w:rStyle w:val="CodeChar"/>
        </w:rPr>
        <w:t xml:space="preserve">layer_types</w:t>
      </w:r>
      <w:r>
        <w:t xml:space="preserve">. Per Nemotron sono i simboli </w:t>
      </w:r>
      <w:r>
        <w:rPr>
          <w:rStyle w:val="CodeChar"/>
        </w:rPr>
        <w:t xml:space="preserve">*</w:t>
      </w:r>
      <w:r>
        <w:t xml:space="preserve"> in </w:t>
      </w:r>
      <w:r>
        <w:rPr>
          <w:rStyle w:val="CodeChar"/>
        </w:rPr>
        <w:t xml:space="preserve">hybrid_override_pattern</w:t>
      </w:r>
      <w:r>
        <w:t xml:space="preserve"> o le voci </w:t>
      </w:r>
      <w:r>
        <w:rPr>
          <w:rStyle w:val="CodeChar"/>
        </w:rPr>
        <w:t xml:space="preserve">attention</w:t>
      </w:r>
      <w:r>
        <w:t xml:space="preserve"> in </w:t>
      </w:r>
      <w:r>
        <w:rPr>
          <w:rStyle w:val="CodeChar"/>
        </w:rPr>
        <w:t xml:space="preserve">layers_block_type</w:t>
      </w:r>
      <w:r>
        <w:t xml:space="preserve">.</w:t>
      </w:r>
    </w:p>
    <w:p>
      <w:pPr/>
      <w:r>
        <w:t xml:space="preserve">Gli altri layer tengono uno stato fisso per sequenza, che non cresce col contesto:</w:t>
      </w:r>
    </w:p>
    <w:p>
      <w:pPr>
        <w:pStyle w:val="Code"/>
      </w:pPr>
      <w:bookmarkStart w:id="3" w:name="bongo_lang_latex_3"/>
      <w:bookmarkEnd w:id="3"/>
      <w:r>
        <w:t xml:space="preserve">S_{\mathrm{DeltaNet}} = L_{\mathrm{lin}} \cdot n_{v} \cdot d_{k} \cdot d_{v} \cdot b_{s}</w:t>
      </w:r>
    </w:p>
    <w:p>
      <w:pPr/>
      <w:r>
        <w:t xml:space="preserve">Qui n_v = </w:t>
      </w:r>
      <w:r>
        <w:rPr>
          <w:rStyle w:val="CodeChar"/>
        </w:rPr>
        <w:t xml:space="preserve">linear_num_value_heads</w:t>
      </w:r>
      <w:r>
        <w:t xml:space="preserve">, d_k = </w:t>
      </w:r>
      <w:r>
        <w:rPr>
          <w:rStyle w:val="CodeChar"/>
        </w:rPr>
        <w:t xml:space="preserve">linear_key_head_dim</w:t>
      </w:r>
      <w:r>
        <w:t xml:space="preserve">, d_v = </w:t>
      </w:r>
      <w:r>
        <w:rPr>
          <w:rStyle w:val="CodeChar"/>
        </w:rPr>
        <w:t xml:space="preserve">linear_value_head_dim</w:t>
      </w:r>
      <w:r>
        <w:t xml:space="preserve">. b_s vale 4 se </w:t>
      </w:r>
      <w:r>
        <w:rPr>
          <w:rStyle w:val="CodeChar"/>
        </w:rPr>
        <w:t xml:space="preserve">mamba_ssm_dtype</w:t>
      </w:r>
      <w:r>
        <w:t xml:space="preserve"> è float32.</w:t>
      </w:r>
    </w:p>
    <w:p>
      <w:pPr>
        <w:pStyle w:val="Code"/>
      </w:pPr>
      <w:bookmarkStart w:id="4" w:name="bongo_lang_latex_4"/>
      <w:bookmarkEnd w:id="4"/>
      <w:r>
        <w:t xml:space="preserve">S_{\mathrm{Mamba2}} = L_{\mathrm{mamba}} \cdot n_{h} \cdot d_{h} \cdot d_{\mathrm{state}} \cdot b_{s}</w:t>
      </w:r>
    </w:p>
    <w:p>
      <w:pPr/>
      <w:r>
        <w:t xml:space="preserve">Qui n_h = </w:t>
      </w:r>
      <w:r>
        <w:rPr>
          <w:rStyle w:val="CodeChar"/>
        </w:rPr>
        <w:t xml:space="preserve">mamba_num_heads</w:t>
      </w:r>
      <w:r>
        <w:t xml:space="preserve">, d_h = </w:t>
      </w:r>
      <w:r>
        <w:rPr>
          <w:rStyle w:val="CodeChar"/>
        </w:rPr>
        <w:t xml:space="preserve">mamba_head_dim</w:t>
      </w:r>
      <w:r>
        <w:t xml:space="preserve">, d_state = </w:t>
      </w:r>
      <w:r>
        <w:rPr>
          <w:rStyle w:val="CodeChar"/>
        </w:rPr>
        <w:t xml:space="preserve">ssm_state_size</w:t>
      </w:r>
      <w:r>
        <w:t xml:space="preserve">, b_s da </w:t>
      </w:r>
      <w:r>
        <w:rPr>
          <w:rStyle w:val="CodeChar"/>
        </w:rPr>
        <w:t xml:space="preserve">mamba_ssm_cache_dtype</w:t>
      </w:r>
      <w:r>
        <w:t xml:space="preserve">. Lo stato della convoluzione aggiunge pochi MiB: (kernel − 1) × canali × byte. I canali sono 2 × n_k × d_k + n_v × d_v per DeltaNet, n_h × d_h + 2 × </w:t>
      </w:r>
      <w:r>
        <w:rPr>
          <w:rStyle w:val="CodeChar"/>
        </w:rPr>
        <w:t xml:space="preserve">n_groups</w:t>
      </w:r>
      <w:r>
        <w:t xml:space="preserve"> × d_state per Mamba-2.</w:t>
      </w:r>
    </w:p>
    <w:p>
      <w:pPr>
        <w:pStyle w:val="Heading3"/>
      </w:pPr>
      <w:r>
        <w:t xml:space="preserve">Finestra scorrevole e attenzione a blocchi</w:t>
      </w:r>
    </w:p>
    <w:p>
      <w:pPr/>
      <w:r>
        <w:t xml:space="preserve">I layer locali tengono al massimo W token, quindi finiscono nella parte fissa. Si riconoscono da </w:t>
      </w:r>
      <w:r>
        <w:rPr>
          <w:rStyle w:val="CodeChar"/>
        </w:rPr>
        <w:t xml:space="preserve">sliding_attention</w:t>
      </w:r>
      <w:r>
        <w:t xml:space="preserve"> in </w:t>
      </w:r>
      <w:r>
        <w:rPr>
          <w:rStyle w:val="CodeChar"/>
        </w:rPr>
        <w:t xml:space="preserve">layer_types</w:t>
      </w:r>
      <w:r>
        <w:t xml:space="preserve"> (Gemma 4, GPT-OSS) o da </w:t>
      </w:r>
      <w:r>
        <w:rPr>
          <w:rStyle w:val="CodeChar"/>
        </w:rPr>
        <w:t xml:space="preserve">no_rope_layers</w:t>
      </w:r>
      <w:r>
        <w:t xml:space="preserve"> = 1 in Llama 4, dove 0 indica un layer globale.</w:t>
      </w:r>
    </w:p>
    <w:p>
      <w:pPr>
        <w:pStyle w:val="Code"/>
      </w:pPr>
      <w:bookmarkStart w:id="5" w:name="bongo_lang_latex_5"/>
      <w:bookmarkEnd w:id="5"/>
      <w:r>
        <w:t xml:space="preserve">\mathrm{fisso}_{\mathrm{loc}} = 2 \cdot L_{\mathrm{loc}} \cdot n_{\mathrm{kv,loc}} \cdot d_{\mathrm{loc}} \cdot b \cdot \min(W, N_{\mathrm{ctx}})</w:t>
      </w:r>
    </w:p>
    <w:p>
      <w:pPr/>
      <w:r>
        <w:t xml:space="preserve">W è </w:t>
      </w:r>
      <w:r>
        <w:rPr>
          <w:rStyle w:val="CodeChar"/>
        </w:rPr>
        <w:t xml:space="preserve">sliding_window</w:t>
      </w:r>
      <w:r>
        <w:t xml:space="preserve"> (Gemma 4: 1.024; GPT-OSS: 128) oppure </w:t>
      </w:r>
      <w:r>
        <w:rPr>
          <w:rStyle w:val="CodeChar"/>
        </w:rPr>
        <w:t xml:space="preserve">attention_chunk_size</w:t>
      </w:r>
      <w:r>
        <w:t xml:space="preserve"> (Llama 4: 8.192). In Gemma 4 i layer locali usano </w:t>
      </w:r>
      <w:r>
        <w:rPr>
          <w:rStyle w:val="CodeChar"/>
        </w:rPr>
        <w:t xml:space="preserve">num_key_value_heads</w:t>
      </w:r>
      <w:r>
        <w:t xml:space="preserve"> e </w:t>
      </w:r>
      <w:r>
        <w:rPr>
          <w:rStyle w:val="CodeChar"/>
        </w:rPr>
        <w:t xml:space="preserve">head_dim</w:t>
      </w:r>
      <w:r>
        <w:t xml:space="preserve">, quelli globali </w:t>
      </w:r>
      <w:r>
        <w:rPr>
          <w:rStyle w:val="CodeChar"/>
        </w:rPr>
        <w:t xml:space="preserve">num_global_key_value_heads</w:t>
      </w:r>
      <w:r>
        <w:t xml:space="preserve"> e </w:t>
      </w:r>
      <w:r>
        <w:rPr>
          <w:rStyle w:val="CodeChar"/>
        </w:rPr>
        <w:t xml:space="preserve">global_head_dim</w:t>
      </w:r>
      <w:r>
        <w:t xml:space="preserve">.</w:t>
      </w:r>
    </w:p>
    <w:p>
      <w:pPr/>
      <w:r>
        <w:t xml:space="preserve">llama.cpp alloca per i layer locali la finestra più il micro-batch, per esempio 1.024 + 512 celle. Con </w:t>
      </w:r>
      <w:r>
        <w:rPr>
          <w:rStyle w:val="CodeChar"/>
        </w:rPr>
        <w:t xml:space="preserve">--swa-full</w:t>
      </w:r>
      <w:r>
        <w:t xml:space="preserve"> li alloca su tutto il contesto: in quel caso vanno contati in L_KV.</w:t>
      </w:r>
    </w:p>
    <w:p>
      <w:pPr>
        <w:pStyle w:val="Heading3"/>
      </w:pPr>
      <w:r>
        <w:t xml:space="preserve">MLA (GLM-4.7-Flash, famiglia DeepSeek)</w:t>
      </w:r>
    </w:p>
    <w:p>
      <w:pPr/>
      <w:r>
        <w:t xml:space="preserve">Si riconosce dalla presenza di </w:t>
      </w:r>
      <w:r>
        <w:rPr>
          <w:rStyle w:val="CodeChar"/>
        </w:rPr>
        <w:t xml:space="preserve">kv_lora_rank</w:t>
      </w:r>
      <w:r>
        <w:t xml:space="preserve">. Per ogni token e layer si salva un vettore compresso, non K e V per ogni testa:</w:t>
      </w:r>
    </w:p>
    <w:p>
      <w:pPr>
        <w:pStyle w:val="Code"/>
      </w:pPr>
      <w:bookmarkStart w:id="6" w:name="bongo_lang_latex_6"/>
      <w:bookmarkEnd w:id="6"/>
      <w:r>
        <w:t xml:space="preserve">\mathrm{KV}_{\mathrm{token}} = L \cdot (r_{kv} + d_{\mathrm{rope}}) \cdot b</w:t>
      </w:r>
    </w:p>
    <w:p>
      <w:pPr/>
      <w:r>
        <w:t xml:space="preserve">Qui r_kv = </w:t>
      </w:r>
      <w:r>
        <w:rPr>
          <w:rStyle w:val="CodeChar"/>
        </w:rPr>
        <w:t xml:space="preserve">kv_lora_rank</w:t>
      </w:r>
      <w:r>
        <w:t xml:space="preserve"> e d_rope = </w:t>
      </w:r>
      <w:r>
        <w:rPr>
          <w:rStyle w:val="CodeChar"/>
        </w:rPr>
        <w:t xml:space="preserve">qk_rope_head_dim</w:t>
      </w:r>
      <w:r>
        <w:t xml:space="preserve"> (GLM-4.7-Flash: 512 + 64). Il risultato reale dipende dal motore:</w:t>
      </w:r>
    </w:p>
    <w:p>
      <w:pPr>
        <w:pStyle w:val="ListParagraph"/>
        <w:numPr>
          <w:ilvl w:val="0"/>
          <w:numId w:val="3"/>
        </w:numPr>
      </w:pPr>
      <w:r>
        <w:t xml:space="preserve">llama.cpp (log di gennaio 2026) salva anche una V da r_kv valori: L × (2 × r_kv + d_rope) × b.</w:t>
      </w:r>
    </w:p>
    <w:p>
      <w:pPr>
        <w:pStyle w:val="ListParagraph"/>
        <w:numPr>
          <w:ilvl w:val="0"/>
          <w:numId w:val="3"/>
        </w:numPr>
      </w:pPr>
      <w:r>
        <w:t xml:space="preserve">Un motore senza MLA salva K e V completi: L × </w:t>
      </w:r>
      <w:r>
        <w:rPr>
          <w:rStyle w:val="CodeChar"/>
        </w:rPr>
        <w:t xml:space="preserve">num_attention_heads</w:t>
      </w:r>
      <w:r>
        <w:t xml:space="preserve"> × (</w:t>
      </w:r>
      <w:r>
        <w:rPr>
          <w:rStyle w:val="CodeChar"/>
        </w:rPr>
        <w:t xml:space="preserve">qk_nope_head_dim</w:t>
      </w:r>
      <w:r>
        <w:t xml:space="preserve"> + </w:t>
      </w:r>
      <w:r>
        <w:rPr>
          <w:rStyle w:val="CodeChar"/>
        </w:rPr>
        <w:t xml:space="preserve">qk_rope_head_dim</w:t>
      </w:r>
      <w:r>
        <w:t xml:space="preserve"> + </w:t>
      </w:r>
      <w:r>
        <w:rPr>
          <w:rStyle w:val="CodeChar"/>
        </w:rPr>
        <w:t xml:space="preserve">v_head_dim</w:t>
      </w:r>
      <w:r>
        <w:t xml:space="preserve">) × b.</w:t>
      </w:r>
    </w:p>
    <w:p>
      <w:pPr>
        <w:pStyle w:val="Heading3"/>
      </w:pPr>
      <w:r>
        <w:t xml:space="preserve">Teste MTP</w:t>
      </w:r>
    </w:p>
    <w:p>
      <w:pPr/>
      <w:r>
        <w:t xml:space="preserve">Ogni layer MTP con attenzione piena aggiunge 1 a L_KV. I campi sono </w:t>
      </w:r>
      <w:r>
        <w:rPr>
          <w:rStyle w:val="CodeChar"/>
        </w:rPr>
        <w:t xml:space="preserve">mtp_num_hidden_layers</w:t>
      </w:r>
      <w:r>
        <w:t xml:space="preserve"> (Qwen) e </w:t>
      </w:r>
      <w:r>
        <w:rPr>
          <w:rStyle w:val="CodeChar"/>
        </w:rPr>
        <w:t xml:space="preserve">num_nextn_predict_layers</w:t>
      </w:r>
      <w:r>
        <w:t xml:space="preserve"> (GLM, Nemotron); in Nemotron il tipo di layer è in </w:t>
      </w:r>
      <w:r>
        <w:rPr>
          <w:rStyle w:val="CodeChar"/>
        </w:rPr>
        <w:t xml:space="preserve">mtp_hybrid_override_pattern</w:t>
      </w:r>
      <w:r>
        <w:t xml:space="preserve"> o </w:t>
      </w:r>
      <w:r>
        <w:rPr>
          <w:rStyle w:val="CodeChar"/>
        </w:rPr>
        <w:t xml:space="preserve">mtp_layers_block_type</w:t>
      </w:r>
      <w:r>
        <w:t xml:space="preserve">. Verifica che il checkpoint contenga i tensori </w:t>
      </w:r>
      <w:r>
        <w:rPr>
          <w:rStyle w:val="CodeChar"/>
        </w:rPr>
        <w:t xml:space="preserve">mtp.*</w:t>
      </w:r>
      <w:r>
        <w:t xml:space="preserve">: molte quantizzazioni li perdono senza segnalarlo.</w:t>
      </w:r>
    </w:p>
    <w:p>
      <w:pPr>
        <w:pStyle w:val="Heading3"/>
      </w:pPr>
      <w:r>
        <w:t xml:space="preserve">K = V (Gemma 4)</w:t>
      </w:r>
    </w:p>
    <w:p>
      <w:pPr/>
      <w:r>
        <w:t xml:space="preserve">Con </w:t>
      </w:r>
      <w:r>
        <w:rPr>
          <w:rStyle w:val="CodeChar"/>
        </w:rPr>
        <w:t xml:space="preserve">attention_k_eq_v: true</w:t>
      </w:r>
      <w:r>
        <w:t xml:space="preserve"> i layer globali riusano le chiavi come valori. Il technical report dichiara −37,5% sulla parte globale, ma llama.cpp alloca comunque la V: per una stima prudente tieni il fattore 2.</w:t>
      </w:r>
    </w:p>
    <w:p>
      <w:pPr>
        <w:pStyle w:val="Heading3"/>
      </w:pPr>
      <w:r>
        <w:t xml:space="preserve">Contesto oltre il nativo</w:t>
      </w:r>
    </w:p>
    <w:p>
      <w:pPr/>
      <w:r>
        <w:t xml:space="preserve">Con YaRN (</w:t>
      </w:r>
      <w:r>
        <w:rPr>
          <w:rStyle w:val="CodeChar"/>
        </w:rPr>
        <w:t xml:space="preserve">rope_scaling</w:t>
      </w:r>
      <w:r>
        <w:t xml:space="preserve">) puoi superare </w:t>
      </w:r>
      <w:r>
        <w:rPr>
          <w:rStyle w:val="CodeChar"/>
        </w:rPr>
        <w:t xml:space="preserve">max_position_embeddings</w:t>
      </w:r>
      <w:r>
        <w:t xml:space="preserve">. La formula non cambia, ma la qualità oltre il contesto nativo non è garantita.</w:t>
      </w:r>
    </w:p>
    <w:p>
      <w:pPr>
        <w:pStyle w:val="Heading2"/>
      </w:pPr>
      <w:r>
        <w:t xml:space="preserve">Esempio guidato</w:t>
      </w:r>
    </w:p>
    <w:p>
      <w:pPr/>
      <w:r>
        <w:t xml:space="preserve">Due esempi coprono i casi più comuni: un ibrido lineare (Qwen3.6-35B-A3B) e un modello con finestra scorrevole (Gemma-4-31B).</w:t>
      </w:r>
    </w:p>
    <w:p>
      <w:pPr>
        <w:pStyle w:val="Heading3"/>
      </w:pPr>
      <w:r>
        <w:t xml:space="preserve">Qwen3.6-35B-A3B (ibrido DeltaNet)</w:t>
      </w:r>
    </w:p>
    <w:p>
      <w:pPr>
        <w:pStyle w:val="ListParagraph"/>
        <w:numPr>
          <w:ilvl w:val="0"/>
          <w:numId w:val="4"/>
        </w:numPr>
      </w:pPr>
      <w:r>
        <w:t xml:space="preserve">Apri il </w:t>
      </w:r>
      <w:r>
        <w:rPr>
          <w:rStyle w:val="CodeChar"/>
        </w:rPr>
        <w:t xml:space="preserve">config.json</w:t>
      </w:r>
      <w:r>
        <w:t xml:space="preserve">: il modello è multimodale, quindi i parametri sono dentro </w:t>
      </w:r>
      <w:r>
        <w:rPr>
          <w:rStyle w:val="CodeChar"/>
        </w:rPr>
        <w:t xml:space="preserve">text_config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Conta le voci </w:t>
      </w:r>
      <w:r>
        <w:rPr>
          <w:rStyle w:val="CodeChar"/>
        </w:rPr>
        <w:t xml:space="preserve">full_attention</w:t>
      </w:r>
      <w:r>
        <w:t xml:space="preserve"> in </w:t>
      </w:r>
      <w:r>
        <w:rPr>
          <w:rStyle w:val="CodeChar"/>
        </w:rPr>
        <w:t xml:space="preserve">layer_types</w:t>
      </w:r>
      <w:r>
        <w:t xml:space="preserve">: 10 su 40. Controllo: 40 / </w:t>
      </w:r>
      <w:r>
        <w:rPr>
          <w:rStyle w:val="CodeChar"/>
        </w:rPr>
        <w:t xml:space="preserve">full_attention_interval</w:t>
      </w:r>
      <w:r>
        <w:t xml:space="preserve"> (4) = 10.</w:t>
      </w:r>
    </w:p>
    <w:p>
      <w:pPr>
        <w:pStyle w:val="ListParagraph"/>
        <w:numPr>
          <w:ilvl w:val="0"/>
          <w:numId w:val="4"/>
        </w:numPr>
      </w:pPr>
      <w:r>
        <w:t xml:space="preserve">Leggi </w:t>
      </w:r>
      <w:r>
        <w:rPr>
          <w:rStyle w:val="CodeChar"/>
        </w:rPr>
        <w:t xml:space="preserve">num_key_value_heads</w:t>
      </w:r>
      <w:r>
        <w:t xml:space="preserve"> = 2 e </w:t>
      </w:r>
      <w:r>
        <w:rPr>
          <w:rStyle w:val="CodeChar"/>
        </w:rPr>
        <w:t xml:space="preserve">head_dim</w:t>
      </w:r>
      <w:r>
        <w:t xml:space="preserve"> = 256. Attenzione: </w:t>
      </w:r>
      <w:r>
        <w:rPr>
          <w:rStyle w:val="CodeChar"/>
        </w:rPr>
        <w:t xml:space="preserve">hidden_size</w:t>
      </w:r>
      <w:r>
        <w:t xml:space="preserve"> / </w:t>
      </w:r>
      <w:r>
        <w:rPr>
          <w:rStyle w:val="CodeChar"/>
        </w:rPr>
        <w:t xml:space="preserve">num_attention_heads</w:t>
      </w:r>
      <w:r>
        <w:t xml:space="preserve"> darebbe 128, un valore sbagliato.</w:t>
      </w:r>
    </w:p>
    <w:p>
      <w:pPr>
        <w:pStyle w:val="ListParagraph"/>
        <w:numPr>
          <w:ilvl w:val="0"/>
          <w:numId w:val="4"/>
        </w:numPr>
      </w:pPr>
      <w:r>
        <w:t xml:space="preserve">KV per token = 2 × 10 × 2 × 256 × 2 byte = 20.480 B = 20 KiB.</w:t>
      </w:r>
    </w:p>
    <w:p>
      <w:pPr>
        <w:pStyle w:val="ListParagraph"/>
        <w:numPr>
          <w:ilvl w:val="0"/>
          <w:numId w:val="4"/>
        </w:numPr>
      </w:pPr>
      <w:r>
        <w:t xml:space="preserve">A 128K: 20 KiB × 131.072 = 2,5 GiB (scorciatoia: 20 / 8).</w:t>
      </w:r>
    </w:p>
    <w:p>
      <w:pPr>
        <w:pStyle w:val="ListParagraph"/>
        <w:numPr>
          <w:ilvl w:val="0"/>
          <w:numId w:val="4"/>
        </w:numPr>
      </w:pPr>
      <w:r>
        <w:t xml:space="preserve">MTP: </w:t>
      </w:r>
      <w:r>
        <w:rPr>
          <w:rStyle w:val="CodeChar"/>
        </w:rPr>
        <w:t xml:space="preserve">mtp_num_hidden_layers</w:t>
      </w:r>
      <w:r>
        <w:t xml:space="preserve"> = 1 aggiunge 2 KiB per token, per un totale di 2,75 GiB.</w:t>
      </w:r>
    </w:p>
    <w:p>
      <w:pPr>
        <w:pStyle w:val="ListParagraph"/>
        <w:numPr>
          <w:ilvl w:val="0"/>
          <w:numId w:val="4"/>
        </w:numPr>
      </w:pPr>
      <w:r>
        <w:t xml:space="preserve">Stato fisso: 30 layer × 32 × 128 × 128 × 4 byte = 60 MiB, più 1-3 MiB di convoluzione.</w:t>
      </w:r>
    </w:p>
    <w:p>
      <w:pPr>
        <w:pStyle w:val="Heading3"/>
      </w:pPr>
      <w:r>
        <w:t xml:space="preserve">Gemma-4-31B (finestra scorrevole)</w:t>
      </w:r>
    </w:p>
    <w:p>
      <w:pPr>
        <w:pStyle w:val="ListParagraph"/>
        <w:numPr>
          <w:ilvl w:val="0"/>
          <w:numId w:val="5"/>
        </w:numPr>
      </w:pPr>
      <w:r>
        <w:t xml:space="preserve">In </w:t>
      </w:r>
      <w:r>
        <w:rPr>
          <w:rStyle w:val="CodeChar"/>
        </w:rPr>
        <w:t xml:space="preserve">text_config</w:t>
      </w:r>
      <w:r>
        <w:t xml:space="preserve">, </w:t>
      </w:r>
      <w:r>
        <w:rPr>
          <w:rStyle w:val="CodeChar"/>
        </w:rPr>
        <w:t xml:space="preserve">layer_types</w:t>
      </w:r>
      <w:r>
        <w:t xml:space="preserve"> contiene 50 voci </w:t>
      </w:r>
      <w:r>
        <w:rPr>
          <w:rStyle w:val="CodeChar"/>
        </w:rPr>
        <w:t xml:space="preserve">sliding_attention</w:t>
      </w:r>
      <w:r>
        <w:t xml:space="preserve"> e 10 </w:t>
      </w:r>
      <w:r>
        <w:rPr>
          <w:rStyle w:val="CodeChar"/>
        </w:rPr>
        <w:t xml:space="preserve">full_attention</w:t>
      </w:r>
      <w:r>
        <w:t xml:space="preserve">; </w:t>
      </w:r>
      <w:r>
        <w:rPr>
          <w:rStyle w:val="CodeChar"/>
        </w:rPr>
        <w:t xml:space="preserve">sliding_window</w:t>
      </w:r>
      <w:r>
        <w:t xml:space="preserve"> = 1.024.</w:t>
      </w:r>
    </w:p>
    <w:p>
      <w:pPr>
        <w:pStyle w:val="ListParagraph"/>
        <w:numPr>
          <w:ilvl w:val="0"/>
          <w:numId w:val="5"/>
        </w:numPr>
      </w:pPr>
      <w:r>
        <w:t xml:space="preserve">Globali: 2 × 10 × 4 (</w:t>
      </w:r>
      <w:r>
        <w:rPr>
          <w:rStyle w:val="CodeChar"/>
        </w:rPr>
        <w:t xml:space="preserve">num_global_key_value_heads</w:t>
      </w:r>
      <w:r>
        <w:t xml:space="preserve">) × 512 (</w:t>
      </w:r>
      <w:r>
        <w:rPr>
          <w:rStyle w:val="CodeChar"/>
        </w:rPr>
        <w:t xml:space="preserve">global_head_dim</w:t>
      </w:r>
      <w:r>
        <w:t xml:space="preserve">) × 2 byte = 80 KiB per token, cioè 10 GiB a 128K.</w:t>
      </w:r>
    </w:p>
    <w:p>
      <w:pPr>
        <w:pStyle w:val="ListParagraph"/>
        <w:numPr>
          <w:ilvl w:val="0"/>
          <w:numId w:val="5"/>
        </w:numPr>
      </w:pPr>
      <w:r>
        <w:t xml:space="preserve">Locali: 2 × 50 × 16 (</w:t>
      </w:r>
      <w:r>
        <w:rPr>
          <w:rStyle w:val="CodeChar"/>
        </w:rPr>
        <w:t xml:space="preserve">num_key_value_heads</w:t>
      </w:r>
      <w:r>
        <w:t xml:space="preserve">) × 256 (</w:t>
      </w:r>
      <w:r>
        <w:rPr>
          <w:rStyle w:val="CodeChar"/>
        </w:rPr>
        <w:t xml:space="preserve">head_dim</w:t>
      </w:r>
      <w:r>
        <w:t xml:space="preserve">) × 2 byte × 1.024 token = 800 MiB fissi.</w:t>
      </w:r>
    </w:p>
    <w:p>
      <w:pPr>
        <w:pStyle w:val="ListParagraph"/>
        <w:numPr>
          <w:ilvl w:val="0"/>
          <w:numId w:val="5"/>
        </w:numPr>
      </w:pPr>
      <w:r>
        <w:t xml:space="preserve">Totale a 128K: 10 GiB + 800 MiB ≈ 10,8 GiB.</w:t>
      </w:r>
    </w:p>
    <w:p>
      <w:pPr>
        <w:pStyle w:val="ListParagraph"/>
        <w:numPr>
          <w:ilvl w:val="0"/>
          <w:numId w:val="5"/>
        </w:numPr>
      </w:pPr>
      <w:r>
        <w:t xml:space="preserve">Con </w:t>
      </w:r>
      <w:r>
        <w:rPr>
          <w:rStyle w:val="CodeChar"/>
        </w:rPr>
        <w:t xml:space="preserve">--swa-full</w:t>
      </w:r>
      <w:r>
        <w:t xml:space="preserve"> i locali coprono tutto il contesto: 100 GiB invece di 800 MiB, per un totale di 110 GiB.</w:t>
      </w:r>
    </w:p>
    <w:p>
      <w:pPr>
        <w:pStyle w:val="Heading2"/>
      </w:pPr>
      <w:r>
        <w:t xml:space="preserve">Dove trovare i parametri e trappole comuni</w:t>
      </w:r>
    </w:p>
    <w:p>
      <w:pPr/>
      <w:r>
        <w:t xml:space="preserve">Quasi sempre basta il </w:t>
      </w:r>
      <w:r>
        <w:rPr>
          <w:rStyle w:val="CodeChar"/>
        </w:rPr>
        <w:t xml:space="preserve">config.json</w:t>
      </w:r>
      <w:r>
        <w:t xml:space="preserve"> su Hugging Face. Il valore reale si verifica poi nel log di avvio del motore.</w:t>
      </w:r>
    </w:p>
    <w:p>
      <w:pPr>
        <w:pStyle w:val="Heading3"/>
      </w:pPr>
      <w:r>
        <w:t xml:space="preserve">Fonti</w:t>
      </w:r>
    </w:p>
    <w:p>
      <w:pPr>
        <w:pStyle w:val="ListParagraph"/>
        <w:numPr>
          <w:ilvl w:val="0"/>
          <w:numId w:val="6"/>
        </w:numPr>
      </w:pPr>
      <w:r>
        <w:t xml:space="preserve">Hugging Face, scheda Files and versions → </w:t>
      </w:r>
      <w:r>
        <w:rPr>
          <w:rStyle w:val="CodeChar"/>
        </w:rPr>
        <w:t xml:space="preserve">config.json</w:t>
      </w:r>
      <w:r>
        <w:t xml:space="preserve">. Nei modelli multimodali i campi stanno dentro </w:t>
      </w:r>
      <w:r>
        <w:rPr>
          <w:rStyle w:val="CodeChar"/>
        </w:rPr>
        <w:t xml:space="preserve">text_config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Repo ad accesso riservato (per esempio Meta): le copie pubbliche di Unsloth o mlx-community riportano gli stessi parametri architetturali.</w:t>
      </w:r>
    </w:p>
    <w:p>
      <w:pPr>
        <w:pStyle w:val="ListParagraph"/>
        <w:numPr>
          <w:ilvl w:val="0"/>
          <w:numId w:val="6"/>
        </w:numPr>
      </w:pPr>
      <w:r>
        <w:t xml:space="preserve">File GGUF: gli stessi dati sono nei metadati, per esempio </w:t>
      </w:r>
      <w:r>
        <w:rPr>
          <w:rStyle w:val="CodeChar"/>
        </w:rPr>
        <w:t xml:space="preserve">&lt;arch&gt;.block_count</w:t>
      </w:r>
      <w:r>
        <w:t xml:space="preserve">, </w:t>
      </w:r>
      <w:r>
        <w:rPr>
          <w:rStyle w:val="CodeChar"/>
        </w:rPr>
        <w:t xml:space="preserve">&lt;arch&gt;.attention.head_count_kv</w:t>
      </w:r>
      <w:r>
        <w:t xml:space="preserve">, </w:t>
      </w:r>
      <w:r>
        <w:rPr>
          <w:rStyle w:val="CodeChar"/>
        </w:rPr>
        <w:t xml:space="preserve">&lt;arch&gt;.attention.key_length</w:t>
      </w:r>
      <w:r>
        <w:t xml:space="preserve">, </w:t>
      </w:r>
      <w:r>
        <w:rPr>
          <w:rStyle w:val="CodeChar"/>
        </w:rPr>
        <w:t xml:space="preserve">&lt;arch&gt;.attention.sliding_window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Verifica sul campo: llama.cpp all'avvio stampa la riga </w:t>
      </w:r>
      <w:r>
        <w:rPr>
          <w:rStyle w:val="CodeChar"/>
        </w:rPr>
        <w:t xml:space="preserve">llama_kv_cache: size = …</w:t>
      </w:r>
      <w:r>
        <w:t xml:space="preserve"> con K e V separati; vLLM stampa quanti token entrano nella cache.</w:t>
      </w:r>
    </w:p>
    <w:p>
      <w:pPr>
        <w:pStyle w:val="Heading3"/>
      </w:pPr>
      <w:r>
        <w:t xml:space="preserve">Trappole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num_attention_heads</w:t>
      </w:r>
      <w:r>
        <w:t xml:space="preserve"> non è il numero di teste KV: usa </w:t>
      </w:r>
      <w:r>
        <w:rPr>
          <w:rStyle w:val="CodeChar"/>
        </w:rPr>
        <w:t xml:space="preserve">num_key_value_heads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Un </w:t>
      </w:r>
      <w:r>
        <w:rPr>
          <w:rStyle w:val="CodeChar"/>
        </w:rPr>
        <w:t xml:space="preserve">head_dim</w:t>
      </w:r>
      <w:r>
        <w:t xml:space="preserve"> esplicito vince su </w:t>
      </w:r>
      <w:r>
        <w:rPr>
          <w:rStyle w:val="CodeChar"/>
        </w:rPr>
        <w:t xml:space="preserve">hidden_size / num_attention_heads</w:t>
      </w:r>
      <w:r>
        <w:t xml:space="preserve"> (Qwen3.6: 256 invece di 128).</w:t>
      </w:r>
    </w:p>
    <w:p>
      <w:pPr>
        <w:pStyle w:val="ListParagraph"/>
        <w:numPr>
          <w:ilvl w:val="0"/>
          <w:numId w:val="7"/>
        </w:numPr>
      </w:pPr>
      <w:r>
        <w:t xml:space="preserve">256K = 262.144 token e 128K = 131.072; 1 GiB = 2³⁰ byte ≈ 1,074 GB.</w:t>
      </w:r>
    </w:p>
    <w:p>
      <w:pPr>
        <w:pStyle w:val="ListParagraph"/>
        <w:numPr>
          <w:ilvl w:val="0"/>
          <w:numId w:val="7"/>
        </w:numPr>
      </w:pPr>
      <w:r>
        <w:t xml:space="preserve">Layer locali senza limite di finestra (per esempio </w:t>
      </w:r>
      <w:r>
        <w:rPr>
          <w:rStyle w:val="CodeChar"/>
        </w:rPr>
        <w:t xml:space="preserve">--swa-full</w:t>
      </w:r>
      <w:r>
        <w:t xml:space="preserve">): la cache cresce di un ordine di grandezza (Gemma-4-31B: da 10,8 a 110 GiB a 128K).</w:t>
      </w:r>
    </w:p>
    <w:p>
      <w:pPr>
        <w:pStyle w:val="ListParagraph"/>
        <w:numPr>
          <w:ilvl w:val="0"/>
          <w:numId w:val="7"/>
        </w:numPr>
      </w:pPr>
      <w:r>
        <w:t xml:space="preserve">MLA: il valore cambia col motore fino a 18 volte (GLM-4.7-Flash a 128K: 6,6, 12,5 o 117,5 GiB).</w:t>
      </w:r>
    </w:p>
    <w:p>
      <w:pPr>
        <w:pStyle w:val="ListParagraph"/>
        <w:numPr>
          <w:ilvl w:val="0"/>
          <w:numId w:val="7"/>
        </w:numPr>
      </w:pPr>
      <w:r>
        <w:t xml:space="preserve">KV quantizzata: b scende a circa 1,06 (q8_0) o 0,56 (q4_0). Lo stato ricorrente segue invece il proprio tipo, in vLLM </w:t>
      </w:r>
      <w:r>
        <w:rPr>
          <w:rStyle w:val="CodeChar"/>
        </w:rPr>
        <w:t xml:space="preserve">--mamba-ssm-cache-dtype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Teste MTP: contale solo se i tensori </w:t>
      </w:r>
      <w:r>
        <w:rPr>
          <w:rStyle w:val="CodeChar"/>
        </w:rPr>
        <w:t xml:space="preserve">mtp.*</w:t>
      </w:r>
      <w:r>
        <w:t xml:space="preserve"> sono presenti nel file che usi.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huggingface.co/nvidia/NVIDIA-Nemotron-3.5-Lightning-30B-A3B-BF16" TargetMode="External"/><Relationship Id="rId4" Type="http://schemas.openxmlformats.org/officeDocument/2006/relationships/hyperlink" Target="https://huggingface.co/nvidia/NVIDIA-Nemotron-3-Super-120B-A12B-BF16" TargetMode="External"/><Relationship Id="rId5" Type="http://schemas.openxmlformats.org/officeDocument/2006/relationships/hyperlink" Target="https://huggingface.co/Qwen/Qwen3.6-35B-A3B" TargetMode="External"/><Relationship Id="rId6" Type="http://schemas.openxmlformats.org/officeDocument/2006/relationships/hyperlink" Target="https://huggingface.co/ornith-ai/Ornith-1.5-35B-A3B" TargetMode="External"/><Relationship Id="rId7" Type="http://schemas.openxmlformats.org/officeDocument/2006/relationships/hyperlink" Target="https://huggingface.co/google/gemma-4-26B-A4B-it/blob/main/config.json" TargetMode="External"/><Relationship Id="rId8" Type="http://schemas.openxmlformats.org/officeDocument/2006/relationships/hyperlink" Target="https://huggingface.co/unsloth/Qwen3-Coder-Next-FP8-Dynamic/blob/main/config.json" TargetMode="External"/><Relationship Id="rId9" Type="http://schemas.openxmlformats.org/officeDocument/2006/relationships/hyperlink" Target="https://huggingface.co/openai/gpt-oss-120b/blob/main/config.json" TargetMode="External"/><Relationship Id="rId10" Type="http://schemas.openxmlformats.org/officeDocument/2006/relationships/hyperlink" Target="https://huggingface.co/zai-org/GLM-4.7-Flash/blob/main/config.json" TargetMode="External"/><Relationship Id="rId11" Type="http://schemas.openxmlformats.org/officeDocument/2006/relationships/hyperlink" Target="https://huggingface.co/unsloth/Llama-4-Scout-17B-16E-Instruct-GGUF/blob/main/config.json" TargetMode="External"/><Relationship Id="rId12" Type="http://schemas.openxmlformats.org/officeDocument/2006/relationships/hyperlink" Target="https://huggingface.co/Qwen/Qwen3.8-27B" TargetMode="External"/><Relationship Id="rId13" Type="http://schemas.openxmlformats.org/officeDocument/2006/relationships/hyperlink" Target="https://huggingface.co/google/gemma-4-31B-it/blob/main/config.json" TargetMode="External"/><Relationship Id="rId14" Type="http://schemas.openxmlformats.org/officeDocument/2006/relationships/hyperlink" Target="https://huggingface.co/meta-llama/Llama-3.3-70B-Instruct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KV cache dei modelli LLM tabella e formula di calcolo</dc:title>
  <dc:description>Claude Docs node/ab288aec-9035@6 docx-w6</dc:description>
  <cp:revision>6</cp:revision>
</cp:coreProperties>
</file>