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AnnoGlyph: configurable parallel annotation of non-model eukaryotic genomes</w:t>
      </w:r>
    </w:p>
    <w:p>
      <w:r>
        <w:rPr>
          <w:color w:val="000000"/>
        </w:rPr>
        <w:t>Dorine Merlat¹, Arnaud Kress¹, Yannis Nevers¹, Julie Thompson¹, Miklós Bálint²,³,⁴, Odile Lecompte¹</w:t>
      </w:r>
    </w:p>
    <w:p>
      <w:r>
        <w:rPr>
          <w:color w:val="1F4E79"/>
        </w:rPr>
        <w:t>¹ Complex Systems and Translational Bioinformatics (CSTB) – ICube UMR7357, University of Strasbourg, 4 rue Kirschleger, 67085 Strasbourg, France</w:t>
      </w:r>
    </w:p>
    <w:p>
      <w:r>
        <w:rPr>
          <w:color w:val="000000"/>
        </w:rPr>
        <w:t>² LOEWE Centre for Translational Biodiversity Genomics (LOEWE-TBG), Senckenberg Research Institute, Frankfurt am Main, Germany</w:t>
      </w:r>
    </w:p>
    <w:p>
      <w:r>
        <w:rPr>
          <w:color w:val="1F4E79"/>
        </w:rPr>
        <w:t>³ Institute for Insect Biotechnology, Justus Liebig University Gießen, Heinrich-Buff-Ring 26, 35392 Gießen, Germany</w:t>
      </w:r>
    </w:p>
    <w:p>
      <w:r>
        <w:rPr>
          <w:color w:val="1F4E79"/>
        </w:rPr>
        <w:t>⁴ Senckenberg Biodiversity and Climate Research Centre, Georg-Voigt-Str. 14–16, 60325 Frankfurt am Main, Germany</w:t>
      </w:r>
    </w:p>
    <w:p>
      <w:r>
        <w:rPr>
          <w:color w:val="1F4E79"/>
        </w:rPr>
        <w:t>Corresponding author: Odile Lecompte (odile.lecompte@unistra.fr)</w:t>
      </w:r>
    </w:p>
    <w:p>
      <w:pPr>
        <w:pStyle w:val="Heading1"/>
      </w:pPr>
      <w:r>
        <w:rPr>
          <w:color w:val="000000"/>
        </w:rPr>
        <w:t>Abstract</w:t>
      </w:r>
    </w:p>
    <w:p>
      <w:pPr>
        <w:pStyle w:val="Heading2"/>
      </w:pPr>
      <w:r>
        <w:rPr>
          <w:color w:val="1F4E79"/>
        </w:rPr>
        <w:t>Summary</w:t>
      </w:r>
    </w:p>
    <w:p>
      <w:r>
        <w:rPr>
          <w:color w:val="1F4E79"/>
        </w:rPr>
        <w:t>AnnoGlyph is a configurable Nextflow workflow that coordinates established methods for repeat, protein-coding and non-coding gene annotation across multiple eukaryotic genomes in parallel. It combines alternative prediction strategies, transparent quality-based selection, reusable intermediate analyses and standardized sequence, annotation and comparative-report exports.</w:t>
      </w:r>
    </w:p>
    <w:p>
      <w:pPr>
        <w:pStyle w:val="Heading2"/>
      </w:pPr>
      <w:r>
        <w:rPr>
          <w:color w:val="1F4E79"/>
        </w:rPr>
        <w:t>Availability and implementation</w:t>
      </w:r>
    </w:p>
    <w:p>
      <w:r>
        <w:rPr>
          <w:color w:val="1F4E79"/>
        </w:rPr>
        <w:t xml:space="preserve">AnnoGlyph is available at </w:t>
      </w:r>
      <w:hyperlink r:id="rId10">
        <w:r>
          <w:rPr>
            <w:color w:val="1F4E79"/>
            <w:u w:val="single"/>
          </w:rPr>
          <w:t>https://github.com/dorinemerlat/annoglyph</w:t>
        </w:r>
      </w:hyperlink>
      <w:r>
        <w:rPr>
          <w:color w:val="1F4E79"/>
        </w:rPr>
        <w:t xml:space="preserve"> under the Massachusetts Institute of Technology (MIT) license, with documentation and minimal/full test profiles. Dependencies use Docker or Singularity/Apptainer containers; individual dependencies retain their own licensing requirements.</w:t>
      </w:r>
    </w:p>
    <w:p>
      <w:pPr>
        <w:pStyle w:val="Heading2"/>
      </w:pPr>
      <w:r>
        <w:rPr>
          <w:color w:val="000000"/>
        </w:rPr>
        <w:t>Contact</w:t>
      </w:r>
    </w:p>
    <w:p>
      <w:r>
        <w:rPr>
          <w:color w:val="1F4E79"/>
        </w:rPr>
        <w:t>odile.lecompte@unistra.fr</w:t>
      </w:r>
    </w:p>
    <w:p>
      <w:pPr>
        <w:pStyle w:val="Heading2"/>
      </w:pPr>
      <w:r>
        <w:rPr>
          <w:color w:val="1F4E79"/>
        </w:rPr>
        <w:t>Supplementary information</w:t>
      </w:r>
    </w:p>
    <w:p>
      <w:r>
        <w:rPr>
          <w:color w:val="1F4E79"/>
        </w:rPr>
        <w:t>Supplementary methods and assembly descriptions accompany this article.</w:t>
      </w:r>
    </w:p>
    <w:p>
      <w:pPr>
        <w:pStyle w:val="Heading1"/>
      </w:pPr>
      <w:r>
        <w:rPr>
          <w:color w:val="1F4E79"/>
        </w:rPr>
        <w:t>1 Introduction</w:t>
      </w:r>
    </w:p>
    <w:p>
      <w:r>
        <w:rPr>
          <w:color w:val="1F4E79"/>
        </w:rPr>
        <w:t>Eukaryotic genome annotation requires the coordination of repeat detection, gene prediction, functional assignment and quality assessment. Non-model species often lack curated gene models or comprehensive transcriptomic evidence, making the choice and integration of suitable methods difficult (Yandell and Ence, 2012). Comparative projects add the practical burden of applying consistent settings to many genomes, managing alternative predictions and consolidating outputs.</w:t>
      </w:r>
    </w:p>
    <w:p>
      <w:r>
        <w:rPr>
          <w:color w:val="1F4E79"/>
        </w:rPr>
        <w:t>Integrated frameworks such as MAKER2 and Funannotate already combine established annotation methods (Holt and Yandell, 2011; Palmer and Stajich, 2020). AnnoGlyph complements these approaches by emphasizing multi-genome orchestration, alternative-strategy comparison and shared intermediate analyses.</w:t>
      </w:r>
    </w:p>
    <w:p>
      <w:r>
        <w:rPr>
          <w:color w:val="1F4E79"/>
        </w:rPr>
        <w:t>AnnoGlyph addresses this integration problem rather than introducing a new gene-prediction algorithm. Its contribution is a configurable, ready-to-run workflow that connects established methods, processes multiple assemblies concurrently and compares candidate annotations using complementary quality criteria. Repeat annotation, protein-coding prediction and non-coding ribonucleic acid (RNA) annotation share genome metadata and feed standardized final exports. Configurable resources, reference databases and program options support adaptation to different biological groups and computing environments.</w:t>
      </w:r>
    </w:p>
    <w:p>
      <w:pPr>
        <w:pStyle w:val="Heading1"/>
      </w:pPr>
      <w:r>
        <w:rPr>
          <w:color w:val="1F4E79"/>
        </w:rPr>
        <w:t>2 Implementation</w:t>
      </w:r>
    </w:p>
    <w:p>
      <w:r>
        <w:rPr>
          <w:color w:val="1F4E79"/>
        </w:rPr>
        <w:t>AnnoGlyph uses Nextflow 25.10.2 and its second-generation domain-specific language to organize preprocessing, repeats, protein-coding genes, non-coding RNA (ncRNA) and post-processing into modular subworkflows (Di Tommaso et al., 2017). It combines nf-core modules with local wrappers and scripts (Ewels et al., 2020). A validated samplesheet supplies assemblies, taxonomy identifiers and optional evidence. Channels carry a metadata dictionary and associated files, enabling concurrent genome-specific tasks while sharing reference resources.</w:t>
      </w:r>
    </w:p>
    <w:p>
      <w:r>
        <w:rPr>
          <w:color w:val="1F4E79"/>
        </w:rPr>
        <w:t>Preprocessing retrieves National Center for Biotechnology Information (NCBI) taxonomy and UniProt mnemonics, standardizes sequence identifiers and preserves their correspondence to the originals. SeqKit calculates assembly statistics; a taxonomy-derived tree supports comparative reporting. Benchmarking Universal Single-Copy Orthologs (BUSCO) assesses assembly completeness using a user-specified or automatically selected shared lineage (Manni et al., 2021). This taxonomy-derived tree is not an inferred species phylogeny.</w:t>
      </w:r>
    </w:p>
    <w:p>
      <w:r>
        <w:rPr>
          <w:color w:val="1F4E79"/>
        </w:rPr>
        <w:t>RepeatModeler2 generates de novo repeat libraries with structural detection of long terminal repeat elements enabled (Flynn et al., 2020). MCHelper curates consensus sequences, complemented by screening against conserved protein and ribosomal profiles (Orozco-Arias et al., 2024). Curated libraries remain genome-specific or are pooled across related genomes, optionally with a supplied reference library. CD-HIT-EST reduces redundancy at 80% identity and 80% coverage of the shorter sequence. RepeatMasker produces soft-masked genomes, repeat annotations and divergence summaries, reused across downstream prediction strategies.</w:t>
      </w:r>
    </w:p>
    <w:p>
      <w:r>
        <w:rPr>
          <w:color w:val="1F4E79"/>
        </w:rPr>
        <w:t>Protein evidence is supplied by the user or retrieved from taxonomically selected OrthoDB and UniProt resources. RNA sequencing (RNA-seq) evidence can be provided locally or retrieved from the Sequence Read Archive (SRA). Spliced Transcripts Alignment to a Reference (STAR) aligns selected runs; an optional VARUS branch samples evidence adaptively. The protein-only BRAKER branch implements the BRAKER2 strategy, while the combined-evidence branch uses BRAKER3; Genome Annotation with Miniprot and AUGUSTUS (GALBA) provides another protein-guided strategy (Brůna et al., 2021, 2023; Gabriel et al., 2024a). The configured BRAKER executable is shared between the two branches. Candidate models are standardized, filtered by configurable minimum gene length and reduced to their longest coding isoform using Another Gtf/Gff Analysis Toolkit (AGAT).</w:t>
      </w:r>
    </w:p>
    <w:p>
      <w:r>
        <w:rPr>
          <w:color w:val="1F4E79"/>
        </w:rPr>
        <w:t>BUSCO and OMArk evaluate completeness, duplication, repertoire consistency and potential contamination of predicted proteins (Nevers et al., 2025). Models flagged through the OMArk filtering procedure can be removed, followed by repeated protein-level assessment. Automatic selection combines configurable thresholds for these metrics, protein lengths, start-codon recovery and optional expected gene counts. Rank-based comparisons, BUSCO completeness and a deterministic method-order rule resolve ties. Scores, thresholds and selections are exported. This heuristic selects among available candidates; it does not establish biological correctness. Functional annotation uses Basic Local Alignment Search Tool protein searches (BLASTP) against Swiss-Prot, InterProScan and eggNOG-mapper (Jones et al., 2014; Cantalapiedra et al., 2021).</w:t>
      </w:r>
    </w:p>
    <w:p>
      <w:r>
        <w:rPr>
          <w:color w:val="1F4E79"/>
        </w:rPr>
        <w:t>Transfer RNA (tRNA) genes are detected with tRNAscan-SE, ribosomal RNA (rRNA) genes with Barrnap, and other structured RNAs with Infernal and Rfam (Chan et al., 2021; Nawrocki and Eddy, 2013). Overlapping same-strand Infernal tRNA or rRNA predictions yield respectively to tRNAscan-SE or Barrnap. Other RNA classes and opposite-strand calls are retained, and reconciliation decisions are recorded. The merged ncRNA annotation supports per-genome counts and comparative summaries, including tRNA isotype/anticodon heatmaps and associations with genome size.</w:t>
      </w:r>
    </w:p>
    <w:p>
      <w:r>
        <w:rPr>
          <w:color w:val="1F4E79"/>
        </w:rPr>
        <w:t>Post-processing combines repeats, selected protein-coding models and ncRNAs in one General Feature Format version 3 (GFF3) file per genome. Exports include masked assemblies, coding sequences (CDSs), proteins and ncRNA sequences, organized by species alongside statistics and figures; multi-species summaries are published separately. Submission-oriented files include feature tables, metadata and checksums. Optional local NCBI validation requires user-provided metadata, a submission template and a pinned validator; archive acceptance is not assumed.</w:t>
      </w:r>
    </w:p>
    <w:p>
      <w:r>
        <w:rPr>
          <w:color w:val="1F4E79"/>
        </w:rPr>
        <w:t>Program options, computational resources, database paths, genetic codes and selection thresholds are configurable. Nextflow resumption and persistent intermediate storage support reuse of costly analyses. Provenance reports record parameters, source and input checksums, available software versions and database identities; full database hashing is optional. Rfam and the default orthology resource use specified releases, whereas live UniProt evidence retrieval records its release and can enforce an expected release. Existing persistent results require deliberate cache management after parameter changes.</w:t>
      </w:r>
    </w:p>
    <w:p>
      <w:pPr>
        <w:pStyle w:val="Heading1"/>
      </w:pPr>
      <w:r>
        <w:rPr>
          <w:color w:val="1F4E79"/>
        </w:rPr>
        <w:t>3 Materials and methods</w:t>
      </w:r>
    </w:p>
    <w:p>
      <w:r>
        <w:rPr>
          <w:color w:val="1F4E79"/>
        </w:rPr>
        <w:t>Integration datasets comprise 11 assemblies from three genera representing examples of fungi (</w:t>
      </w:r>
      <w:r>
        <w:rPr>
          <w:i/>
          <w:color w:val="1F4E79"/>
        </w:rPr>
        <w:t>Hanseniaspora</w:t>
      </w:r>
      <w:r>
        <w:rPr>
          <w:color w:val="1F4E79"/>
        </w:rPr>
        <w:t>; five species), animals (</w:t>
      </w:r>
      <w:r>
        <w:rPr>
          <w:i/>
          <w:color w:val="1F4E79"/>
        </w:rPr>
        <w:t>Pieris</w:t>
      </w:r>
      <w:r>
        <w:rPr>
          <w:color w:val="1F4E79"/>
        </w:rPr>
        <w:t>; three species) and land plants (</w:t>
      </w:r>
      <w:r>
        <w:rPr>
          <w:i/>
          <w:color w:val="1F4E79"/>
        </w:rPr>
        <w:t>Utricularia</w:t>
      </w:r>
      <w:r>
        <w:rPr>
          <w:color w:val="1F4E79"/>
        </w:rPr>
        <w:t>; three species), rather than the full diversity of eukaryotes. Assemblies were selected with a preference for Reference Sequence (RefSeq) records, complete or chromosome-level assemblies and high N50 values where available. N50 is the sequence length at which sequences of that length or longer account for at least half of the assembly. Accessions, assembly levels and statistics are provided in Supplementary Table S1.</w:t>
      </w:r>
    </w:p>
    <w:p>
      <w:r>
        <w:rPr>
          <w:color w:val="1F4E79"/>
        </w:rPr>
        <w:t xml:space="preserve">The yeast assemblies are designated complete genomes and span 8.91–11.70 megabases (Mb), with sequence N50 values of 1.49–1.75 Mb. The three </w:t>
      </w:r>
      <w:r>
        <w:rPr>
          <w:i/>
          <w:color w:val="1F4E79"/>
        </w:rPr>
        <w:t>Pieris</w:t>
      </w:r>
      <w:r>
        <w:rPr>
          <w:color w:val="1F4E79"/>
        </w:rPr>
        <w:t xml:space="preserve"> assemblies are chromosome-level RefSeq records (256.37–319.19 Mb; sequence N50, 10.65–21.55 Mb). </w:t>
      </w:r>
      <w:r>
        <w:rPr>
          <w:i/>
          <w:color w:val="1F4E79"/>
        </w:rPr>
        <w:t>Utricularia aurea</w:t>
      </w:r>
      <w:r>
        <w:rPr>
          <w:color w:val="1F4E79"/>
        </w:rPr>
        <w:t xml:space="preserve"> and </w:t>
      </w:r>
      <w:r>
        <w:rPr>
          <w:i/>
          <w:color w:val="1F4E79"/>
        </w:rPr>
        <w:t>Utricularia gibba</w:t>
      </w:r>
      <w:r>
        <w:rPr>
          <w:color w:val="1F4E79"/>
        </w:rPr>
        <w:t xml:space="preserve"> provide relatively contiguous plant assemblies, whereas </w:t>
      </w:r>
      <w:r>
        <w:rPr>
          <w:i/>
          <w:color w:val="1F4E79"/>
        </w:rPr>
        <w:t>Utricularia reniformis</w:t>
      </w:r>
      <w:r>
        <w:rPr>
          <w:color w:val="1F4E79"/>
        </w:rPr>
        <w:t xml:space="preserve"> supplies a more fragmented comparison: 304.54 Mb across 1,825 FASTA records, with sequence N50 of 0.488 Mb and NCBI contig N50 of 0.161 Mb. Assemblies are retained in full in both test modes.</w:t>
      </w:r>
    </w:p>
    <w:p>
      <w:r>
        <w:rPr>
          <w:color w:val="1F4E79"/>
        </w:rPr>
        <w:t xml:space="preserve">Minimal profiles use 2,000 distinct proteins per genus and at most three eligible SRA runs per species, excluding runs exceeding one billion bases. Full profiles use all usable, non-redundant proteins in the downloaded annotation packages and remove these two STAR run-selection limits. The prepared full sets contain 21,786, 56,761 and 74,162 proteins for </w:t>
      </w:r>
      <w:r>
        <w:rPr>
          <w:i/>
          <w:color w:val="1F4E79"/>
        </w:rPr>
        <w:t>Hanseniaspora</w:t>
      </w:r>
      <w:r>
        <w:rPr>
          <w:color w:val="1F4E79"/>
        </w:rPr>
        <w:t xml:space="preserve">, </w:t>
      </w:r>
      <w:r>
        <w:rPr>
          <w:i/>
          <w:color w:val="1F4E79"/>
        </w:rPr>
        <w:t>Pieris</w:t>
      </w:r>
      <w:r>
        <w:rPr>
          <w:color w:val="1F4E79"/>
        </w:rPr>
        <w:t xml:space="preserve"> and </w:t>
      </w:r>
      <w:r>
        <w:rPr>
          <w:i/>
          <w:color w:val="1F4E79"/>
        </w:rPr>
        <w:t>Utricularia</w:t>
      </w:r>
      <w:r>
        <w:rPr>
          <w:color w:val="1F4E79"/>
        </w:rPr>
        <w:t xml:space="preserve">, respectively. Both modes use STAR. Proteins derive from the tested assemblies, with </w:t>
      </w:r>
      <w:r>
        <w:rPr>
          <w:i/>
          <w:color w:val="1F4E79"/>
        </w:rPr>
        <w:t>U. reniformis</w:t>
      </w:r>
      <w:r>
        <w:rPr>
          <w:color w:val="1F4E79"/>
        </w:rPr>
        <w:t xml:space="preserve"> relying on the other </w:t>
      </w:r>
      <w:r>
        <w:rPr>
          <w:i/>
          <w:color w:val="1F4E79"/>
        </w:rPr>
        <w:t>Utricularia</w:t>
      </w:r>
      <w:r>
        <w:rPr>
          <w:color w:val="1F4E79"/>
        </w:rPr>
        <w:t xml:space="preserve"> annotations; these fixtures assess integration and resource use, not independent prediction accuracy. Supplementary Methods describe the evaluation plan.</w:t>
      </w:r>
    </w:p>
    <w:p>
      <w:pPr>
        <w:pStyle w:val="Heading1"/>
      </w:pPr>
      <w:r>
        <w:rPr>
          <w:color w:val="1F4E79"/>
        </w:rPr>
        <w:t>4 Results</w:t>
      </w:r>
    </w:p>
    <w:p>
      <w:r>
        <w:rPr>
          <w:color w:val="C65911"/>
        </w:rPr>
        <w:t>[À compléter quand les tests seront terminés : présenter les résultats de chaque assemblage en mode minimal et full, les méthodes qui ont abouti ou échoué, le temps de calcul et la mémoire utilisée. Ajouter le nombre d’annotations, les scores BUSCO et OMArk, ainsi que la méthode retenue automatiquement. Décrire aussi les résultats obtenus pour la plante dont l’assemblage est plus fragmenté. Préciser si les images et les banques étaient déjà disponibles ou s’il a fallu les télécharger.]</w:t>
      </w:r>
    </w:p>
    <w:p>
      <w:pPr>
        <w:pStyle w:val="Heading1"/>
      </w:pPr>
      <w:r>
        <w:rPr>
          <w:color w:val="1F4E79"/>
        </w:rPr>
        <w:t>5 Discussion</w:t>
      </w:r>
    </w:p>
    <w:p>
      <w:r>
        <w:rPr>
          <w:color w:val="1F4E79"/>
        </w:rPr>
        <w:t>AnnoGlyph provides a configurable entry point for parallel, multi-genome annotation by coordinating established programs and harmonizing evidence, candidate comparison and exports. Its intended benefit is reduced workflow assembly and repeated manual intervention, rather than a new prediction model. Shared intermediate analyses and explicit configuration provide a practical basis for comparative projects; their computational benefit remains to be quantified.</w:t>
      </w:r>
    </w:p>
    <w:p>
      <w:r>
        <w:rPr>
          <w:color w:val="1F4E79"/>
        </w:rPr>
        <w:t>Prediction quality remains dependent on assembly continuity, available evidence and taxonomic coverage of reference resources. Expected gene counts and other selection thresholds must be adapted to the study, or the gene-count criterion disabled. Completeness and consistency scores complement, but cannot replace, independent accuracy assessment. OMArk operates on predicted proteins and does not replace assembly contamination screening. Persistently failing predictors may be excluded after retries, so successful workflow termination does not guarantee that every strategy produced models. Organellar genes and unusual genetic codes require explicit metadata and biological review.</w:t>
      </w:r>
    </w:p>
    <w:p>
      <w:r>
        <w:rPr>
          <w:color w:val="C65911"/>
        </w:rPr>
        <w:t>[À compléter à partir des résultats : expliquer ce qu’apporte le mode full par rapport au mode minimal, si les différentes méthodes donnent des annotations proches et si la sélection automatique fait des choix pertinents. Revenir sur les difficultés rencontrées avec les assemblages fragmentés. Comme les assemblages comparés appartiennent à des espèces différentes, les écarts observés ne pourront pas être attribués uniquement à leur fragmentation.]</w:t>
      </w:r>
    </w:p>
    <w:p>
      <w:r>
        <w:rPr>
          <w:color w:val="1F4E79"/>
        </w:rPr>
        <w:t>The modular design also provides a route to integrating newer deep-learning predictors, notably Helixer and Tiberius (Holst et al., 2026; Gabriel et al., 2024b). Such additions could broaden the available strategies when external evidence is sparse, but would require evaluation of lineage coverage, computing requirements and compatibility with the existing comparison framework. These predictors are prospective additions, not current AnnoGlyph modules.</w:t>
      </w:r>
    </w:p>
    <w:p>
      <w:pPr>
        <w:pStyle w:val="Heading1"/>
      </w:pPr>
      <w:r>
        <w:rPr>
          <w:color w:val="000000"/>
        </w:rPr>
        <w:t>Availability</w:t>
      </w:r>
    </w:p>
    <w:p>
      <w:r>
        <w:rPr>
          <w:color w:val="1F4E79"/>
        </w:rPr>
        <w:t xml:space="preserve">Source code, documentation and test preparation scripts are available at </w:t>
      </w:r>
      <w:hyperlink r:id="rId10">
        <w:r>
          <w:rPr>
            <w:color w:val="1F4E79"/>
            <w:u w:val="single"/>
          </w:rPr>
          <w:t>https://github.com/dorinemerlat/annoglyph</w:t>
        </w:r>
      </w:hyperlink>
      <w:r>
        <w:rPr>
          <w:color w:val="1F4E79"/>
        </w:rPr>
        <w:t>.</w:t>
      </w:r>
      <w:r>
        <w:rPr>
          <w:color w:val="1F4E79"/>
        </w:rPr>
        <w:t xml:space="preserve"> AnnoGlyph is distributed under the MIT license. Container and reference-resource requirements are documented; third-party licenses apply independently.</w:t>
      </w:r>
    </w:p>
    <w:p>
      <w:pPr>
        <w:pStyle w:val="Heading1"/>
      </w:pPr>
      <w:r>
        <w:rPr>
          <w:color w:val="000000"/>
        </w:rPr>
        <w:t>Funding</w:t>
      </w:r>
    </w:p>
    <w:p>
      <w:r>
        <w:rPr>
          <w:color w:val="C65911"/>
        </w:rPr>
        <w:t>[À compléter : indiquer les organismes qui ont financé ce travail et les numéros de projet, s’il y en a. Sinon, préciser qu’aucun financement spécifique n’a été reçu.]</w:t>
      </w:r>
    </w:p>
    <w:p>
      <w:pPr>
        <w:pStyle w:val="Heading1"/>
      </w:pPr>
      <w:r>
        <w:rPr>
          <w:color w:val="1F4E79"/>
        </w:rPr>
        <w:t>Conflict of interest</w:t>
      </w:r>
    </w:p>
    <w:p>
      <w:r>
        <w:rPr>
          <w:color w:val="1F4E79"/>
        </w:rPr>
        <w:t>The authors declare no conflicts of interest.</w:t>
      </w:r>
    </w:p>
    <w:p>
      <w:pPr>
        <w:pStyle w:val="Heading1"/>
      </w:pPr>
      <w:r>
        <w:rPr>
          <w:color w:val="000000"/>
        </w:rPr>
        <w:t>References</w:t>
      </w:r>
    </w:p>
    <w:p>
      <w:r>
        <w:rPr>
          <w:color w:val="1F4E79"/>
        </w:rPr>
        <w:t xml:space="preserve">Brůna T et al. (2021) BRAKER2: automatic eukaryotic genome annotation with GeneMark-EP+ and AUGUSTUS supported by a protein database. NAR Genom Bioinform 3:lqaa108. </w:t>
      </w:r>
      <w:hyperlink r:id="rId11">
        <w:r>
          <w:rPr>
            <w:color w:val="1F4E79"/>
            <w:u w:val="single"/>
          </w:rPr>
          <w:t>https://doi.org/10.1093/nargab/lqaa108</w:t>
        </w:r>
      </w:hyperlink>
    </w:p>
    <w:p>
      <w:r>
        <w:rPr>
          <w:color w:val="1F4E79"/>
        </w:rPr>
        <w:t xml:space="preserve">Brůna T et al. (2023) Galba: genome annotation with miniprot and AUGUSTUS. BMC Bioinformatics 24:327. </w:t>
      </w:r>
      <w:hyperlink r:id="rId12">
        <w:r>
          <w:rPr>
            <w:color w:val="1F4E79"/>
            <w:u w:val="single"/>
          </w:rPr>
          <w:t>https://doi.org/10.1186/s12859-023-05449-z</w:t>
        </w:r>
      </w:hyperlink>
    </w:p>
    <w:p>
      <w:r>
        <w:rPr>
          <w:color w:val="1F4E79"/>
        </w:rPr>
        <w:t xml:space="preserve">Cantalapiedra CP et al. (2021) eggNOG-mapper v2: functional annotation, orthology assignments, and domain prediction at the metagenomic scale. Mol Biol Evol 38:5825–5829. </w:t>
      </w:r>
      <w:hyperlink r:id="rId13">
        <w:r>
          <w:rPr>
            <w:color w:val="1F4E79"/>
            <w:u w:val="single"/>
          </w:rPr>
          <w:t>https://doi.org/10.1093/molbev/msab293</w:t>
        </w:r>
      </w:hyperlink>
    </w:p>
    <w:p>
      <w:r>
        <w:rPr>
          <w:color w:val="1F4E79"/>
        </w:rPr>
        <w:t xml:space="preserve">Chan PP et al. (2021) tRNAscan-SE 2.0: improved detection and functional classification of transfer RNA genes. Nucleic Acids Res 49:9077–9096. </w:t>
      </w:r>
      <w:hyperlink r:id="rId14">
        <w:r>
          <w:rPr>
            <w:color w:val="1F4E79"/>
            <w:u w:val="single"/>
          </w:rPr>
          <w:t>https://doi.org/10.1093/nar/gkab688</w:t>
        </w:r>
      </w:hyperlink>
    </w:p>
    <w:p>
      <w:r>
        <w:rPr>
          <w:color w:val="1F4E79"/>
        </w:rPr>
        <w:t xml:space="preserve">Di Tommaso P et al. (2017) Nextflow enables reproducible computational workflows. Nat Biotechnol 35:316–319. </w:t>
      </w:r>
      <w:hyperlink r:id="rId15">
        <w:r>
          <w:rPr>
            <w:color w:val="1F4E79"/>
            <w:u w:val="single"/>
          </w:rPr>
          <w:t>https://doi.org/10.1038/nbt.3820</w:t>
        </w:r>
      </w:hyperlink>
    </w:p>
    <w:p>
      <w:r>
        <w:rPr>
          <w:color w:val="1F4E79"/>
        </w:rPr>
        <w:t xml:space="preserve">Ewels PA et al. (2020) The nf-core framework for community-curated bioinformatics pipelines. Nat Biotechnol 38:276–278. </w:t>
      </w:r>
      <w:hyperlink r:id="rId16">
        <w:r>
          <w:rPr>
            <w:color w:val="1F4E79"/>
            <w:u w:val="single"/>
          </w:rPr>
          <w:t>https://doi.org/10.1038/s41587-020-0439-x</w:t>
        </w:r>
      </w:hyperlink>
    </w:p>
    <w:p>
      <w:r>
        <w:rPr>
          <w:color w:val="1F4E79"/>
        </w:rPr>
        <w:t xml:space="preserve">Flynn JM et al. (2020) RepeatModeler2 for automated genomic discovery of transposable element families. Proc Natl Acad Sci USA 117:9451–9457. </w:t>
      </w:r>
      <w:hyperlink r:id="rId17">
        <w:r>
          <w:rPr>
            <w:color w:val="1F4E79"/>
            <w:u w:val="single"/>
          </w:rPr>
          <w:t>https://doi.org/10.1073/pnas.1921046117</w:t>
        </w:r>
      </w:hyperlink>
    </w:p>
    <w:p>
      <w:r>
        <w:rPr>
          <w:color w:val="1F4E79"/>
        </w:rPr>
        <w:t xml:space="preserve">Gabriel L et al. (2024a) BRAKER3: fully automated genome annotation using RNA-seq and protein evidence with GeneMark-ETP, AUGUSTUS, and TSEBRA. Genome Res 34:769–777. </w:t>
      </w:r>
      <w:hyperlink r:id="rId18">
        <w:r>
          <w:rPr>
            <w:color w:val="1F4E79"/>
            <w:u w:val="single"/>
          </w:rPr>
          <w:t>https://doi.org/10.1101/gr.278090.123</w:t>
        </w:r>
      </w:hyperlink>
    </w:p>
    <w:p>
      <w:r>
        <w:rPr>
          <w:color w:val="1F4E79"/>
        </w:rPr>
        <w:t xml:space="preserve">Gabriel L et al. (2024b) Tiberius: end-to-end deep learning with an HMM for gene prediction. Bioinformatics 40:btae685. </w:t>
      </w:r>
      <w:hyperlink r:id="rId19">
        <w:r>
          <w:rPr>
            <w:color w:val="1F4E79"/>
            <w:u w:val="single"/>
          </w:rPr>
          <w:t>https://doi.org/10.1093/bioinformatics/btae685</w:t>
        </w:r>
      </w:hyperlink>
    </w:p>
    <w:p>
      <w:r>
        <w:rPr>
          <w:color w:val="1F4E79"/>
        </w:rPr>
        <w:t xml:space="preserve">Holst F et al. (2026) Helixer: ab initio prediction of primary eukaryotic gene models combining deep learning and a hidden Markov model. Nat Methods 23:732–739. </w:t>
      </w:r>
      <w:hyperlink r:id="rId20">
        <w:r>
          <w:rPr>
            <w:color w:val="1F4E79"/>
            <w:u w:val="single"/>
          </w:rPr>
          <w:t>https://doi.org/10.1038/s41592-025-02939-1</w:t>
        </w:r>
      </w:hyperlink>
    </w:p>
    <w:p>
      <w:r>
        <w:rPr>
          <w:color w:val="1F4E79"/>
        </w:rPr>
        <w:t xml:space="preserve">Holt C, Yandell M (2011) MAKER2: an annotation pipeline and genome-database management tool for second-generation genome projects. BMC Bioinformatics 12:491. </w:t>
      </w:r>
      <w:hyperlink r:id="rId21">
        <w:r>
          <w:rPr>
            <w:color w:val="1F4E79"/>
            <w:u w:val="single"/>
          </w:rPr>
          <w:t>https://doi.org/10.1186/1471-2105-12-491</w:t>
        </w:r>
      </w:hyperlink>
    </w:p>
    <w:p>
      <w:r>
        <w:rPr>
          <w:color w:val="1F4E79"/>
        </w:rPr>
        <w:t xml:space="preserve">Jones P et al. (2014) InterProScan 5: genome-scale protein function classification. Bioinformatics 30:1236–1240. </w:t>
      </w:r>
      <w:hyperlink r:id="rId22">
        <w:r>
          <w:rPr>
            <w:color w:val="1F4E79"/>
            <w:u w:val="single"/>
          </w:rPr>
          <w:t>https://doi.org/10.1093/bioinformatics/btu031</w:t>
        </w:r>
      </w:hyperlink>
    </w:p>
    <w:p>
      <w:r>
        <w:rPr>
          <w:color w:val="1F4E79"/>
        </w:rPr>
        <w:t xml:space="preserve">Manni M et al. (2021) BUSCO update: novel and streamlined workflows along with broader and deeper phylogenetic coverage for scoring of eukaryotic, prokaryotic, and viral genomes. Mol Biol Evol 38:4647–4654. </w:t>
      </w:r>
      <w:hyperlink r:id="rId23">
        <w:r>
          <w:rPr>
            <w:color w:val="1F4E79"/>
            <w:u w:val="single"/>
          </w:rPr>
          <w:t>https://doi.org/10.1093/molbev/msab199</w:t>
        </w:r>
      </w:hyperlink>
    </w:p>
    <w:p>
      <w:r>
        <w:rPr>
          <w:color w:val="1F4E79"/>
        </w:rPr>
        <w:t xml:space="preserve">Nawrocki EP, Eddy SR (2013) Infernal 1.1: 100-fold faster RNA homology searches. Bioinformatics 29:2933–2935. </w:t>
      </w:r>
      <w:hyperlink r:id="rId24">
        <w:r>
          <w:rPr>
            <w:color w:val="1F4E79"/>
            <w:u w:val="single"/>
          </w:rPr>
          <w:t>https://doi.org/10.1093/bioinformatics/btt509</w:t>
        </w:r>
      </w:hyperlink>
    </w:p>
    <w:p>
      <w:r>
        <w:rPr>
          <w:color w:val="1F4E79"/>
        </w:rPr>
        <w:t xml:space="preserve">Nevers Y et al. (2025) Quality assessment of gene repertoire annotations with OMArk. Nat Biotechnol 43:124–133. </w:t>
      </w:r>
      <w:hyperlink r:id="rId25">
        <w:r>
          <w:rPr>
            <w:color w:val="1F4E79"/>
            <w:u w:val="single"/>
          </w:rPr>
          <w:t>https://doi.org/10.1038/s41587-024-02147-w</w:t>
        </w:r>
      </w:hyperlink>
    </w:p>
    <w:p>
      <w:r>
        <w:rPr>
          <w:color w:val="1F4E79"/>
        </w:rPr>
        <w:t xml:space="preserve">Orozco-Arias S et al. (2024) MCHelper automatically curates transposable element libraries across eukaryotic species. Genome Res 34:2256–2268. </w:t>
      </w:r>
      <w:hyperlink r:id="rId26">
        <w:r>
          <w:rPr>
            <w:color w:val="1F4E79"/>
            <w:u w:val="single"/>
          </w:rPr>
          <w:t>https://doi.org/10.1101/gr.278821.123</w:t>
        </w:r>
      </w:hyperlink>
    </w:p>
    <w:p>
      <w:r>
        <w:rPr>
          <w:color w:val="1F4E79"/>
        </w:rPr>
        <w:t xml:space="preserve">Palmer JM, Stajich JE (2020) Funannotate v1.8.1: eukaryotic genome annotation. Zenodo. </w:t>
      </w:r>
      <w:hyperlink r:id="rId27">
        <w:r>
          <w:rPr>
            <w:color w:val="1F4E79"/>
            <w:u w:val="single"/>
          </w:rPr>
          <w:t>https://doi.org/10.5281/zenodo.1134477</w:t>
        </w:r>
      </w:hyperlink>
    </w:p>
    <w:p>
      <w:r>
        <w:rPr>
          <w:color w:val="1F4E79"/>
        </w:rPr>
        <w:t xml:space="preserve">Yandell M, Ence D (2012) A beginner’s guide to eukaryotic genome annotation. Nat Rev Genet 13:329–342. </w:t>
      </w:r>
      <w:hyperlink r:id="rId28">
        <w:r>
          <w:rPr>
            <w:color w:val="1F4E79"/>
            <w:u w:val="single"/>
          </w:rPr>
          <w:t>https://doi.org/10.1038/nrg3174</w:t>
        </w:r>
      </w:hyperlink>
    </w:p>
    <w:sectPr w:rsidR="00FC693F" w:rsidRPr="0006063C" w:rsidSect="00034616">
      <w:footerReference w:type="default" r:id="rId9"/>
      <w:pgSz w:w="11909" w:h="16834"/>
      <w:pgMar w:top="1152" w:right="1224" w:bottom="1152" w:left="1224"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dorinemerlat/annoglyph" TargetMode="External"/><Relationship Id="rId11" Type="http://schemas.openxmlformats.org/officeDocument/2006/relationships/hyperlink" Target="https://doi.org/10.1093/nargab/lqaa108" TargetMode="External"/><Relationship Id="rId12" Type="http://schemas.openxmlformats.org/officeDocument/2006/relationships/hyperlink" Target="https://doi.org/10.1186/s12859-023-05449-z" TargetMode="External"/><Relationship Id="rId13" Type="http://schemas.openxmlformats.org/officeDocument/2006/relationships/hyperlink" Target="https://doi.org/10.1093/molbev/msab293" TargetMode="External"/><Relationship Id="rId14" Type="http://schemas.openxmlformats.org/officeDocument/2006/relationships/hyperlink" Target="https://doi.org/10.1093/nar/gkab688" TargetMode="External"/><Relationship Id="rId15" Type="http://schemas.openxmlformats.org/officeDocument/2006/relationships/hyperlink" Target="https://doi.org/10.1038/nbt.3820" TargetMode="External"/><Relationship Id="rId16" Type="http://schemas.openxmlformats.org/officeDocument/2006/relationships/hyperlink" Target="https://doi.org/10.1038/s41587-020-0439-x" TargetMode="External"/><Relationship Id="rId17" Type="http://schemas.openxmlformats.org/officeDocument/2006/relationships/hyperlink" Target="https://doi.org/10.1073/pnas.1921046117" TargetMode="External"/><Relationship Id="rId18" Type="http://schemas.openxmlformats.org/officeDocument/2006/relationships/hyperlink" Target="https://doi.org/10.1101/gr.278090.123" TargetMode="External"/><Relationship Id="rId19" Type="http://schemas.openxmlformats.org/officeDocument/2006/relationships/hyperlink" Target="https://doi.org/10.1093/bioinformatics/btae685" TargetMode="External"/><Relationship Id="rId20" Type="http://schemas.openxmlformats.org/officeDocument/2006/relationships/hyperlink" Target="https://doi.org/10.1038/s41592-025-02939-1" TargetMode="External"/><Relationship Id="rId21" Type="http://schemas.openxmlformats.org/officeDocument/2006/relationships/hyperlink" Target="https://doi.org/10.1186/1471-2105-12-491" TargetMode="External"/><Relationship Id="rId22" Type="http://schemas.openxmlformats.org/officeDocument/2006/relationships/hyperlink" Target="https://doi.org/10.1093/bioinformatics/btu031" TargetMode="External"/><Relationship Id="rId23" Type="http://schemas.openxmlformats.org/officeDocument/2006/relationships/hyperlink" Target="https://doi.org/10.1093/molbev/msab199" TargetMode="External"/><Relationship Id="rId24" Type="http://schemas.openxmlformats.org/officeDocument/2006/relationships/hyperlink" Target="https://doi.org/10.1093/bioinformatics/btt509" TargetMode="External"/><Relationship Id="rId25" Type="http://schemas.openxmlformats.org/officeDocument/2006/relationships/hyperlink" Target="https://doi.org/10.1038/s41587-024-02147-w" TargetMode="External"/><Relationship Id="rId26" Type="http://schemas.openxmlformats.org/officeDocument/2006/relationships/hyperlink" Target="https://doi.org/10.1101/gr.278821.123" TargetMode="External"/><Relationship Id="rId27" Type="http://schemas.openxmlformats.org/officeDocument/2006/relationships/hyperlink" Target="https://doi.org/10.5281/zenodo.1134477" TargetMode="External"/><Relationship Id="rId28" Type="http://schemas.openxmlformats.org/officeDocument/2006/relationships/hyperlink" Target="https://doi.org/10.1038/nrg31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AnnoGlyph: configurable parallel annotation of non-model eukaryotic genomes</dc:title>
  <dc:subject/>
  <dc:creator>Dorine Merlat et al.</dc:creator>
  <cp:keywords/>
  <dc:description>generated by python-docx</dc:description>
  <cp:lastModifiedBy/>
  <cp:revision>1</cp:revision>
  <dcterms:created xsi:type="dcterms:W3CDTF">2013-12-23T23:15:00Z</dcterms:created>
  <dcterms:modified xsi:type="dcterms:W3CDTF">2013-12-23T23:15:00Z</dcterms:modified>
  <cp:category/>
</cp:coreProperties>
</file>