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AnnoGlyph: supplementary methods and assembly descriptions</w:t>
      </w:r>
    </w:p>
    <w:p>
      <w:pPr/>
      <w:r>
        <w:rPr>
          <w:color w:val="1F4E79"/>
        </w:rPr>
        <w:t>Le supplément a été ajouté lors de cette révision et apparaît en bleu. Les passages en orange indiquent ce qu’il reste à compléter.</w:t>
      </w:r>
    </w:p>
    <w:p>
      <w:pPr>
        <w:pStyle w:val="Heading1"/>
      </w:pPr>
      <w:r>
        <w:rPr>
          <w:color w:val="1F4E79"/>
        </w:rPr>
        <w:t>Supplementary Methods</w:t>
      </w:r>
    </w:p>
    <w:p>
      <w:pPr>
        <w:pStyle w:val="Heading2"/>
      </w:pPr>
      <w:r>
        <w:rPr>
          <w:color w:val="1F4E79"/>
        </w:rPr>
        <w:t>S1 Scope and data selection</w:t>
      </w:r>
    </w:p>
    <w:p>
      <w:r>
        <w:rPr>
          <w:color w:val="1F4E79"/>
        </w:rPr>
        <w:t>The three test genera sample fungi (</w:t>
      </w:r>
      <w:r>
        <w:rPr>
          <w:i/>
          <w:color w:val="1F4E79"/>
        </w:rPr>
        <w:t>Hanseniaspora</w:t>
      </w:r>
      <w:r>
        <w:rPr>
          <w:color w:val="1F4E79"/>
        </w:rPr>
        <w:t>), animals (</w:t>
      </w:r>
      <w:r>
        <w:rPr>
          <w:i/>
          <w:color w:val="1F4E79"/>
        </w:rPr>
        <w:t>Pieris</w:t>
      </w:r>
      <w:r>
        <w:rPr>
          <w:color w:val="1F4E79"/>
        </w:rPr>
        <w:t>) and land plants (</w:t>
      </w:r>
      <w:r>
        <w:rPr>
          <w:i/>
          <w:color w:val="1F4E79"/>
        </w:rPr>
        <w:t>Utricularia</w:t>
      </w:r>
      <w:r>
        <w:rPr>
          <w:color w:val="1F4E79"/>
        </w:rPr>
        <w:t xml:space="preserve">). They do not represent all major eukaryotic lineages. Selection prioritized Reference Sequence (RefSeq) records where available, complete or chromosome-level assemblies and high contig/scaffold N50, with inclusion of </w:t>
      </w:r>
      <w:r>
        <w:rPr>
          <w:i/>
          <w:color w:val="1F4E79"/>
        </w:rPr>
        <w:t>Utricularia reniformis</w:t>
      </w:r>
      <w:r>
        <w:rPr>
          <w:color w:val="1F4E79"/>
        </w:rPr>
        <w:t xml:space="preserve"> to examine a fragmented plant assembly. This is a documented selection strategy, not evidence of an exhaustive ranking of all public assemblies. The fixed accession versions in Table S1 identify the actual downloaded material; no claim that they remain the highest-quality available records is made.</w:t>
      </w:r>
    </w:p>
    <w:p>
      <w:pPr>
        <w:pStyle w:val="Heading2"/>
      </w:pPr>
      <w:r>
        <w:rPr>
          <w:color w:val="1F4E79"/>
        </w:rPr>
        <w:t>S2 Assembly statistics</w:t>
      </w:r>
    </w:p>
    <w:p>
      <w:r>
        <w:rPr>
          <w:color w:val="1F4E79"/>
        </w:rPr>
        <w:t>The downloaded genome FASTAs were summarized by test/prepare_test_sets.py. Record counts, total length and sequence N50 include every supplied FASTA record, including organellar records if present. Sequence N50 is computed by sorting record lengths and identifying the length at which cumulative length reaches half the total; it must not be interpreted as contig N50 for scaffolded assemblies. Contig N50 and assembly levels are taken from the installed National Center for Biotechnology Information (NCBI) metadata snapshot. GCA accessions identify GenBank assemblies; GCF accessions identify RefSeq assemblies. NCBI component counts may differ from the FASTA record count because of organellar sequences. Guanine–cytosine (GC) content uses guanine/cytosine bases divided by adenine/cytosine/guanine/thymine bases; ambiguous bases are reported separately in the accompanying table.</w:t>
      </w:r>
    </w:p>
    <w:p>
      <w:pPr>
        <w:pStyle w:val="Heading2"/>
      </w:pPr>
      <w:r>
        <w:rPr>
          <w:color w:val="1F4E79"/>
        </w:rPr>
        <w:t>S3 Evidence preparation and profiles</w:t>
      </w:r>
    </w:p>
    <w:p>
      <w:r>
        <w:rPr>
          <w:color w:val="1F4E79"/>
        </w:rPr>
        <w:t xml:space="preserve">Protein sequences are pooled by genus from the downloaded protein.faa annotations, converted to uppercase and stripped of trailing stop symbols. Empty sequences, unsupported amino-acid characters and internal stop symbols are excluded. Exact sequence duplicates are collapsed using 256-bit Secure Hash Algorithm (SHA256) checksums. Minimal evidence comprises 2,000 distinct sequences of 90–5,000 amino acids selected deterministically in round-robin order across annotated assemblies. Full evidence retains all valid distinct sequences without a length cutoff. Adjacent tab-separated provenance files record the originating assembly, original header, length and checksum. Full pools contain 21,786, 56,761 and 74,162 sequences for </w:t>
      </w:r>
      <w:r>
        <w:rPr>
          <w:i/>
          <w:color w:val="1F4E79"/>
        </w:rPr>
        <w:t>Hanseniaspora</w:t>
      </w:r>
      <w:r>
        <w:rPr>
          <w:color w:val="1F4E79"/>
        </w:rPr>
        <w:t xml:space="preserve">, </w:t>
      </w:r>
      <w:r>
        <w:rPr>
          <w:i/>
          <w:color w:val="1F4E79"/>
        </w:rPr>
        <w:t>Pieris</w:t>
      </w:r>
      <w:r>
        <w:rPr>
          <w:color w:val="1F4E79"/>
        </w:rPr>
        <w:t xml:space="preserve"> and </w:t>
      </w:r>
      <w:r>
        <w:rPr>
          <w:i/>
          <w:color w:val="1F4E79"/>
        </w:rPr>
        <w:t>Utricularia</w:t>
      </w:r>
      <w:r>
        <w:rPr>
          <w:color w:val="1F4E79"/>
        </w:rPr>
        <w:t xml:space="preserve">. </w:t>
      </w:r>
      <w:r>
        <w:rPr>
          <w:i/>
          <w:color w:val="1F4E79"/>
        </w:rPr>
        <w:t>U. reniformis</w:t>
      </w:r>
      <w:r>
        <w:rPr>
          <w:color w:val="1F4E79"/>
        </w:rPr>
        <w:t xml:space="preserve"> has no protein annotation in its installed package and uses homologs from </w:t>
      </w:r>
      <w:r>
        <w:rPr>
          <w:i/>
          <w:color w:val="1F4E79"/>
        </w:rPr>
        <w:t>U. aurea</w:t>
      </w:r>
      <w:r>
        <w:rPr>
          <w:color w:val="1F4E79"/>
        </w:rPr>
        <w:t xml:space="preserve"> and </w:t>
      </w:r>
      <w:r>
        <w:rPr>
          <w:i/>
          <w:color w:val="1F4E79"/>
        </w:rPr>
        <w:t>U. gibba</w:t>
      </w:r>
      <w:r>
        <w:rPr>
          <w:color w:val="1F4E79"/>
        </w:rPr>
        <w:t>. Because evidence derives from the assemblies under evaluation, these profiles are integration fixtures, not independent accuracy benchmarks.</w:t>
      </w:r>
    </w:p>
    <w:p>
      <w:pPr>
        <w:pStyle w:val="Heading2"/>
      </w:pPr>
      <w:r>
        <w:rPr>
          <w:color w:val="1F4E79"/>
        </w:rPr>
        <w:t>S4 Transcriptomic evidence</w:t>
      </w:r>
    </w:p>
    <w:p>
      <w:r>
        <w:rPr>
          <w:color w:val="1F4E79"/>
        </w:rPr>
        <w:t>Ribonucleic acid sequencing (RNA-seq) runs are discovered through the Sequence Read Archive (SRA), with run metadata retained. Both test modes use Spliced Transcripts Alignment to a Reference (STAR) (Dobin et al., 2013). Minimal profiles retain at most three eligible runs per species and reject runs above one billion bases; these are complete-run selection filters rather than read truncation or subsampling. Full profiles disable both limits, retaining all technically eligible runs discovered by the search. Color-space runs remain excluded. No eligible run means no downloaded RNA-seq evidence for that species. The supplied samplesheets contain no local FASTQ files; adding local reads does not subject them to these SRA limits. VARUS is an alternative adaptive strategy in AnnoGlyph, but is not enabled by these six profiles.</w:t>
      </w:r>
    </w:p>
    <w:p>
      <w:pPr>
        <w:pStyle w:val="Heading2"/>
      </w:pPr>
      <w:r>
        <w:rPr>
          <w:color w:val="1F4E79"/>
        </w:rPr>
        <w:t>S5 Configured annotation methods</w:t>
      </w:r>
    </w:p>
    <w:p>
      <w:r>
        <w:rPr>
          <w:color w:val="1F4E79"/>
        </w:rPr>
        <w:t>The tested configuration enables repeats, protein-coding and non-coding annotation and comparative reports while retaining complete assemblies. Preprocessing uses SeqKit for assembly summaries (Shen et al., 2016), standardized identifiers with mapping tables, and an NCBI taxonomy-derived tree generated with ETE 3 (Huerta-Cepas et al., 2016). Genome completeness uses Benchmarking Universal Single-Copy Orthologs (BUSCO). RepeatModeler2 uses -engine ncbi -LTRStruct; consensus curation combines MCHelper and HMMER profile searches (Eddy, 2011). Libraries are pooled by default in the three genus profiles. CD-HIT-EST uses -c 0.8 -aS 0.8 -l 80 to reduce redundancy (Li and Godzik, 2006). RepeatMasker uses -e ncbi -s -xsmall -norna -excln -a -gccalc -gff. It produces soft masking and repeat annotation; divergence summaries are generated with its utilities. These are configuration defaults, not measurements of a completed experiment.</w:t>
      </w:r>
    </w:p>
    <w:p>
      <w:pPr>
        <w:pStyle w:val="Heading2"/>
      </w:pPr>
      <w:r>
        <w:rPr>
          <w:color w:val="1F4E79"/>
        </w:rPr>
        <w:t>S6 Candidate gene annotations and functional analyses</w:t>
      </w:r>
    </w:p>
    <w:p>
      <w:r>
        <w:rPr>
          <w:color w:val="1F4E79"/>
        </w:rPr>
        <w:t>The workflow branch named BRAKER2 runs the configured BRAKER executable in protein-only mode, whereas BRAKER3 uses protein evidence and RNA-seq alignments. Both currently use the same BRAKER3 container; the branch name does not imply a separately installed BRAKER2 executable. GALBA generates an additional protein-guided candidate. The default minimum gene length is 90 nucleotides; the longest coding isoform is retained for protein comparisons. Basic Local Alignment Search Tool protein searches (BLASTP) target Swiss-Prot with an expectation-value threshold of 10⁻⁶, at most three target sequences and 20% query coverage (Camacho et al., 2009). InterProScan and eggNOG-mapper add domain/signature and orthology-based functional assignments. Available software versions and exact arguments must be reported from the completed run, not inferred solely from container tags.</w:t>
      </w:r>
    </w:p>
    <w:p>
      <w:pPr>
        <w:pStyle w:val="Heading2"/>
      </w:pPr>
      <w:r>
        <w:rPr>
          <w:color w:val="1F4E79"/>
        </w:rPr>
        <w:t>S7 Selection and failed predictors</w:t>
      </w:r>
    </w:p>
    <w:p>
      <w:r>
        <w:rPr>
          <w:color w:val="1F4E79"/>
        </w:rPr>
        <w:t>Candidate protein sets are assessed before and, where applicable, after the OMArk contamination-filtering procedure. The selection script sums threshold scores for protein-length first quartile, BUSCO completeness and duplication, OMArk consistency, contamination and unknown proteins, start-codon recovery and distance from an optional expected gene number. The historical expected-gene default is 15,000 and should not be treated as appropriate for all three groups; setting expected_gene_number to null disables this criterion. Rank-sum comparisons resolve initial ties, then BUSCO completeness and stable method-name ordering provide a single deterministic selection. The score table and resolved thresholds are retained. Biological interpretation requires thresholds chosen independently of the desired outcome. BRAKER/GALBA wrappers may emit an empty annotation after five failed attempts; empty outputs are excluded from candidate evaluation. A completed workflow is therefore distinct from successful execution of every method.</w:t>
      </w:r>
    </w:p>
    <w:p>
      <w:pPr>
        <w:pStyle w:val="Heading2"/>
      </w:pPr>
      <w:r>
        <w:rPr>
          <w:color w:val="1F4E79"/>
        </w:rPr>
        <w:t>S8 Non-coding annotation and reports</w:t>
      </w:r>
    </w:p>
    <w:p>
      <w:r>
        <w:rPr>
          <w:color w:val="1F4E79"/>
        </w:rPr>
        <w:t>Transfer RNA (tRNA) genes are predicted with tRNAscan-SE in eukaryotic mode (-E). Barrnap runs eukaryotic and mitochondrial models for ribosomal RNA (rRNA) genes. Infernal searches Rfam with gathering thresholds and clan-aware filtering (--cut_ga --rfam --nohmmonly --fmt 2 --oclan --oskip). Exact duplicate Barrnap calls are removed. Infernal tRNA and rRNA calls overlapping the corresponding specialized-tool prediction on the same sequence and strand are removed; other classes and opposite-strand calls are retained. An audit table records reconciliation decisions. Non-coding RNA (ncRNA) reports include per-genome counts, tRNA isotypes and available anticodons, rRNA classes, heatmaps and genome-size associations. Grouping/ordering uses taxonomy metadata and a taxonomy-derived tree; these descriptive analyses are not phylogenetically corrected tests. Repeat and protein-coding summaries accompany the species-level and cross-species reports.</w:t>
      </w:r>
    </w:p>
    <w:p>
      <w:pPr>
        <w:pStyle w:val="Heading2"/>
      </w:pPr>
      <w:r>
        <w:rPr>
          <w:color w:val="1F4E79"/>
        </w:rPr>
        <w:t>S9 Exports, provenance and reproducibility</w:t>
      </w:r>
    </w:p>
    <w:p>
      <w:r>
        <w:rPr>
          <w:color w:val="1F4E79"/>
        </w:rPr>
        <w:t>Post-processing writes a unified General Feature Format version 3 (GFF3) annotation, masked and unmasked assembly sequences, coding sequences (CDSs), protein sequences and a combined ncRNA FASTA for each species. Additional category-level annotations, statistics and plots are organized under species/&lt;genome_id&gt;; comparative results and provenance occupy separate directories. Submission metadata can specify locus-tag prefixes, organism information and per-sequence genetic codes, topology and organelle status. Translation anomalies and organellar predictions require review. Optional NCBI table2asn validation uses a supplied submission template and a validator executable pinned by SHA256. This prepares and checks files locally; it does not submit data or certify acceptance by NCBI, UniProt or Ensembl.</w:t>
      </w:r>
    </w:p>
    <w:p>
      <w:pPr>
        <w:pStyle w:val="Heading2"/>
      </w:pPr>
      <w:r>
        <w:rPr>
          <w:color w:val="1F4E79"/>
        </w:rPr>
        <w:t>S10 Resource identities and analysis reuse</w:t>
      </w:r>
    </w:p>
    <w:p>
      <w:r>
        <w:rPr>
          <w:color w:val="1F4E79"/>
        </w:rPr>
        <w:t>Current defaults specify Rfam 15.0 and an archived OMAmer LUCA-v2.0.0 database with a download checksum. OMAmer is part of the Orthologous MAtrix resource ecosystem. UniProt evidence retrieval records its release and can enforce an expected release; a live endpoint does not provide arbitrary historical snapshots. Database paths and program resources/options are configured centrally. Provenance captures original inputs, source checksums, parameters, configured resources and available task-emitted versions; optional full database hashing is expensive. Cached-image version probes are distinguished from evidence of task execution. Nextflow resumption and persistent intermediate directories enable reuse. Automatic invalidation of all persistent analyses after changing program arguments or database contents is not implemented; completed experiments must document their cache state and ensure reused results match the intended settings.</w:t>
      </w:r>
    </w:p>
    <w:p>
      <w:pPr>
        <w:pStyle w:val="Heading2"/>
      </w:pPr>
      <w:r>
        <w:rPr>
          <w:color w:val="1F4E79"/>
        </w:rPr>
        <w:t>S11 Evaluation plan and information pending</w:t>
      </w:r>
    </w:p>
    <w:p>
      <w:r>
        <w:rPr>
          <w:color w:val="C65911"/>
        </w:rPr>
        <w:t>[À compléter après les tests : noter la version du pipeline, les empreintes des fichiers d’entrée, les dates de téléchargement et de recherche, les identifiants SRA retenus pour chaque génome, les versions des programmes et des banques, les options modifiées, la lignée BUSCO et les seuils utilisés pour la sélection. Décrire les machines, le système de soumission des tâches et les ressources allouées, en précisant ce qui était déjà en cache. Pour chaque test minimal et full, rassembler les temps de calcul, la mémoire utilisée, les méthodes qui ont réussi ou échoué, la couverture des repeats, les nombres de gènes codants et non codants, les scores de qualité et le choix final. Si les journaux permettent de mesurer le gain lié au parallélisme ou à la réutilisation des calculs, ajouter ces mesures. Une comparaison de précision et de rappel demanderait des références indépendantes des preuves utilisées pour prédire les gènes. Pour isoler l’effet de la fragmentation, il faudrait comparer un même génome avant et après fragmentation, plutôt que des espèces différentes.]</w:t>
      </w:r>
    </w:p>
    <w:p>
      <w:pPr>
        <w:sectPr>
          <w:footerReference w:type="default" r:id="rId9"/>
          <w:pgSz w:w="11909" w:h="16834"/>
          <w:pgMar w:top="1152" w:right="1224" w:bottom="1152" w:left="1224" w:header="720" w:footer="720" w:gutter="0"/>
          <w:cols w:space="720"/>
          <w:docGrid w:linePitch="360"/>
          <w:lnNumType w:countBy="1" w:restart="continuous"/>
        </w:sectPr>
      </w:pPr>
    </w:p>
    <w:p>
      <w:pPr>
        <w:pStyle w:val="Heading1"/>
      </w:pPr>
      <w:r>
        <w:rPr>
          <w:color w:val="1F4E79"/>
        </w:rPr>
        <w:t>Supplementary Table S1. Assemblies and continuity statistics</w:t>
      </w:r>
    </w:p>
    <w:p>
      <w:r>
        <w:rPr>
          <w:color w:val="1F4E79"/>
        </w:rPr>
        <w:t>Statistics describe the installed assemblies; all are used in full in both test modes. Sizes are in megabases (Mb); N50 values are in kilobases (kb). Sequence N50 is calculated on FASTA records; contig N50 and assembly level come from NCBI metadata. These distinct quantities should not be interchanged.</w:t>
      </w:r>
    </w:p>
    <w:p>
      <w:pPr>
        <w:pStyle w:val="Heading2"/>
      </w:pPr>
      <w:r>
        <w:rPr>
          <w:i/>
          <w:color w:val="1F4E79"/>
        </w:rPr>
        <w:t>Hanseniaspora</w:t>
      </w:r>
    </w:p>
    <w:tbl>
      <w:tblPr>
        <w:tblStyle w:val="TableGrid"/>
        <w:tblW w:type="auto" w:w="0"/>
        <w:tblLook w:firstColumn="1" w:firstRow="1" w:lastColumn="0" w:lastRow="0" w:noHBand="0" w:noVBand="1" w:val="04A0"/>
      </w:tblPr>
      <w:tblGrid>
        <w:gridCol w:w="2055"/>
        <w:gridCol w:w="2055"/>
        <w:gridCol w:w="2055"/>
        <w:gridCol w:w="2055"/>
        <w:gridCol w:w="2055"/>
        <w:gridCol w:w="2055"/>
        <w:gridCol w:w="2055"/>
      </w:tblGrid>
      <w:tr>
        <w:trPr>
          <w:tblHeader/>
        </w:trPr>
        <w:tc>
          <w:tcPr>
            <w:tcW w:type="dxa" w:w="2055"/>
          </w:tcPr>
          <w:p>
            <w:pPr>
              <w:spacing w:line="240" w:lineRule="auto"/>
            </w:pPr>
            <w:r>
              <w:rPr>
                <w:color w:val="1F4E79"/>
                <w:sz w:val="18"/>
              </w:rPr>
              <w:t>Species / accession</w:t>
            </w:r>
          </w:p>
        </w:tc>
        <w:tc>
          <w:tcPr>
            <w:tcW w:type="dxa" w:w="2055"/>
          </w:tcPr>
          <w:p>
            <w:pPr>
              <w:spacing w:line="240" w:lineRule="auto"/>
            </w:pPr>
            <w:r>
              <w:rPr>
                <w:color w:val="1F4E79"/>
                <w:sz w:val="18"/>
              </w:rPr>
              <w:t>Source / level</w:t>
            </w:r>
          </w:p>
        </w:tc>
        <w:tc>
          <w:tcPr>
            <w:tcW w:type="dxa" w:w="2055"/>
          </w:tcPr>
          <w:p>
            <w:pPr>
              <w:spacing w:line="240" w:lineRule="auto"/>
            </w:pPr>
            <w:r>
              <w:rPr>
                <w:color w:val="1F4E79"/>
                <w:sz w:val="18"/>
              </w:rPr>
              <w:t>FASTA records</w:t>
            </w:r>
          </w:p>
        </w:tc>
        <w:tc>
          <w:tcPr>
            <w:tcW w:type="dxa" w:w="2055"/>
          </w:tcPr>
          <w:p>
            <w:pPr>
              <w:spacing w:line="240" w:lineRule="auto"/>
            </w:pPr>
            <w:r>
              <w:rPr>
                <w:color w:val="1F4E79"/>
                <w:sz w:val="18"/>
              </w:rPr>
              <w:t>Size (Mb)</w:t>
            </w:r>
          </w:p>
        </w:tc>
        <w:tc>
          <w:tcPr>
            <w:tcW w:type="dxa" w:w="2055"/>
          </w:tcPr>
          <w:p>
            <w:pPr>
              <w:spacing w:line="240" w:lineRule="auto"/>
            </w:pPr>
            <w:r>
              <w:rPr>
                <w:color w:val="1F4E79"/>
                <w:sz w:val="18"/>
              </w:rPr>
              <w:t>Sequence N50 (kb)</w:t>
            </w:r>
          </w:p>
        </w:tc>
        <w:tc>
          <w:tcPr>
            <w:tcW w:type="dxa" w:w="2055"/>
          </w:tcPr>
          <w:p>
            <w:pPr>
              <w:spacing w:line="240" w:lineRule="auto"/>
            </w:pPr>
            <w:r>
              <w:rPr>
                <w:color w:val="1F4E79"/>
                <w:sz w:val="18"/>
              </w:rPr>
              <w:t>Contig N50 (kb)</w:t>
            </w:r>
          </w:p>
        </w:tc>
        <w:tc>
          <w:tcPr>
            <w:tcW w:type="dxa" w:w="2055"/>
          </w:tcPr>
          <w:p>
            <w:pPr>
              <w:spacing w:line="240" w:lineRule="auto"/>
            </w:pPr>
            <w:r>
              <w:rPr>
                <w:color w:val="1F4E79"/>
                <w:sz w:val="18"/>
              </w:rPr>
              <w:t>Ambiguous bases</w:t>
            </w:r>
          </w:p>
        </w:tc>
      </w:tr>
      <w:tr>
        <w:tc>
          <w:tcPr>
            <w:tcW w:type="dxa" w:w="2055"/>
          </w:tcPr>
          <w:p>
            <w:pPr>
              <w:spacing w:line="240" w:lineRule="auto"/>
            </w:pPr>
            <w:r>
              <w:rPr>
                <w:color w:val="1F4E79"/>
                <w:sz w:val="18"/>
              </w:rPr>
              <w:t>Hanseniaspora guilliermondii</w:t>
              <w:br/>
              <w:t>GCA_050947605.1</w:t>
            </w:r>
          </w:p>
        </w:tc>
        <w:tc>
          <w:tcPr>
            <w:tcW w:type="dxa" w:w="2055"/>
          </w:tcPr>
          <w:p>
            <w:pPr>
              <w:spacing w:line="240" w:lineRule="auto"/>
            </w:pPr>
            <w:r>
              <w:rPr>
                <w:color w:val="1F4E79"/>
                <w:sz w:val="18"/>
              </w:rPr>
              <w:t>GenBank</w:t>
              <w:br/>
              <w:t>Complete Genome</w:t>
            </w:r>
          </w:p>
        </w:tc>
        <w:tc>
          <w:tcPr>
            <w:tcW w:type="dxa" w:w="2055"/>
          </w:tcPr>
          <w:p>
            <w:pPr>
              <w:spacing w:line="240" w:lineRule="auto"/>
            </w:pPr>
            <w:r>
              <w:rPr>
                <w:color w:val="1F4E79"/>
                <w:sz w:val="18"/>
              </w:rPr>
              <w:t>7</w:t>
            </w:r>
          </w:p>
        </w:tc>
        <w:tc>
          <w:tcPr>
            <w:tcW w:type="dxa" w:w="2055"/>
          </w:tcPr>
          <w:p>
            <w:pPr>
              <w:spacing w:line="240" w:lineRule="auto"/>
            </w:pPr>
            <w:r>
              <w:rPr>
                <w:color w:val="1F4E79"/>
                <w:sz w:val="18"/>
              </w:rPr>
              <w:t>9.303</w:t>
            </w:r>
          </w:p>
        </w:tc>
        <w:tc>
          <w:tcPr>
            <w:tcW w:type="dxa" w:w="2055"/>
          </w:tcPr>
          <w:p>
            <w:pPr>
              <w:spacing w:line="240" w:lineRule="auto"/>
            </w:pPr>
            <w:r>
              <w:rPr>
                <w:color w:val="1F4E79"/>
                <w:sz w:val="18"/>
              </w:rPr>
              <w:t>1551.527</w:t>
            </w:r>
          </w:p>
        </w:tc>
        <w:tc>
          <w:tcPr>
            <w:tcW w:type="dxa" w:w="2055"/>
          </w:tcPr>
          <w:p>
            <w:pPr>
              <w:spacing w:line="240" w:lineRule="auto"/>
            </w:pPr>
            <w:r>
              <w:rPr>
                <w:color w:val="1F4E79"/>
                <w:sz w:val="18"/>
              </w:rPr>
              <w:t>1551.527</w:t>
            </w:r>
          </w:p>
        </w:tc>
        <w:tc>
          <w:tcPr>
            <w:tcW w:type="dxa" w:w="2055"/>
          </w:tcPr>
          <w:p>
            <w:pPr>
              <w:spacing w:line="240" w:lineRule="auto"/>
            </w:pPr>
            <w:r>
              <w:rPr>
                <w:color w:val="1F4E79"/>
                <w:sz w:val="18"/>
              </w:rPr>
              <w:t>0</w:t>
            </w:r>
          </w:p>
        </w:tc>
      </w:tr>
      <w:tr>
        <w:tc>
          <w:tcPr>
            <w:tcW w:type="dxa" w:w="2055"/>
          </w:tcPr>
          <w:p>
            <w:pPr>
              <w:spacing w:line="240" w:lineRule="auto"/>
            </w:pPr>
            <w:r>
              <w:rPr>
                <w:color w:val="1F4E79"/>
                <w:sz w:val="18"/>
              </w:rPr>
              <w:t>Hanseniaspora menglaensis</w:t>
              <w:br/>
              <w:t>GCA_040256855.1</w:t>
            </w:r>
          </w:p>
        </w:tc>
        <w:tc>
          <w:tcPr>
            <w:tcW w:type="dxa" w:w="2055"/>
          </w:tcPr>
          <w:p>
            <w:pPr>
              <w:spacing w:line="240" w:lineRule="auto"/>
            </w:pPr>
            <w:r>
              <w:rPr>
                <w:color w:val="1F4E79"/>
                <w:sz w:val="18"/>
              </w:rPr>
              <w:t>GenBank</w:t>
              <w:br/>
              <w:t>Complete Genome</w:t>
            </w:r>
          </w:p>
        </w:tc>
        <w:tc>
          <w:tcPr>
            <w:tcW w:type="dxa" w:w="2055"/>
          </w:tcPr>
          <w:p>
            <w:pPr>
              <w:spacing w:line="240" w:lineRule="auto"/>
            </w:pPr>
            <w:r>
              <w:rPr>
                <w:color w:val="1F4E79"/>
                <w:sz w:val="18"/>
              </w:rPr>
              <w:t>8</w:t>
            </w:r>
          </w:p>
        </w:tc>
        <w:tc>
          <w:tcPr>
            <w:tcW w:type="dxa" w:w="2055"/>
          </w:tcPr>
          <w:p>
            <w:pPr>
              <w:spacing w:line="240" w:lineRule="auto"/>
            </w:pPr>
            <w:r>
              <w:rPr>
                <w:color w:val="1F4E79"/>
                <w:sz w:val="18"/>
              </w:rPr>
              <w:t>9.558</w:t>
            </w:r>
          </w:p>
        </w:tc>
        <w:tc>
          <w:tcPr>
            <w:tcW w:type="dxa" w:w="2055"/>
          </w:tcPr>
          <w:p>
            <w:pPr>
              <w:spacing w:line="240" w:lineRule="auto"/>
            </w:pPr>
            <w:r>
              <w:rPr>
                <w:color w:val="1F4E79"/>
                <w:sz w:val="18"/>
              </w:rPr>
              <w:t>1490.982</w:t>
            </w:r>
          </w:p>
        </w:tc>
        <w:tc>
          <w:tcPr>
            <w:tcW w:type="dxa" w:w="2055"/>
          </w:tcPr>
          <w:p>
            <w:pPr>
              <w:spacing w:line="240" w:lineRule="auto"/>
            </w:pPr>
            <w:r>
              <w:rPr>
                <w:color w:val="1F4E79"/>
                <w:sz w:val="18"/>
              </w:rPr>
              <w:t>1490.982</w:t>
            </w:r>
          </w:p>
        </w:tc>
        <w:tc>
          <w:tcPr>
            <w:tcW w:type="dxa" w:w="2055"/>
          </w:tcPr>
          <w:p>
            <w:pPr>
              <w:spacing w:line="240" w:lineRule="auto"/>
            </w:pPr>
            <w:r>
              <w:rPr>
                <w:color w:val="1F4E79"/>
                <w:sz w:val="18"/>
              </w:rPr>
              <w:t>0</w:t>
            </w:r>
          </w:p>
        </w:tc>
      </w:tr>
      <w:tr>
        <w:tc>
          <w:tcPr>
            <w:tcW w:type="dxa" w:w="2055"/>
          </w:tcPr>
          <w:p>
            <w:pPr>
              <w:spacing w:line="240" w:lineRule="auto"/>
            </w:pPr>
            <w:r>
              <w:rPr>
                <w:color w:val="1F4E79"/>
                <w:sz w:val="18"/>
              </w:rPr>
              <w:t>Hanseniaspora opuntiae</w:t>
              <w:br/>
              <w:t>GCA_050947625.1</w:t>
            </w:r>
          </w:p>
        </w:tc>
        <w:tc>
          <w:tcPr>
            <w:tcW w:type="dxa" w:w="2055"/>
          </w:tcPr>
          <w:p>
            <w:pPr>
              <w:spacing w:line="240" w:lineRule="auto"/>
            </w:pPr>
            <w:r>
              <w:rPr>
                <w:color w:val="1F4E79"/>
                <w:sz w:val="18"/>
              </w:rPr>
              <w:t>GenBank</w:t>
              <w:br/>
              <w:t>Complete Genome</w:t>
            </w:r>
          </w:p>
        </w:tc>
        <w:tc>
          <w:tcPr>
            <w:tcW w:type="dxa" w:w="2055"/>
          </w:tcPr>
          <w:p>
            <w:pPr>
              <w:spacing w:line="240" w:lineRule="auto"/>
            </w:pPr>
            <w:r>
              <w:rPr>
                <w:color w:val="1F4E79"/>
                <w:sz w:val="18"/>
              </w:rPr>
              <w:t>8</w:t>
            </w:r>
          </w:p>
        </w:tc>
        <w:tc>
          <w:tcPr>
            <w:tcW w:type="dxa" w:w="2055"/>
          </w:tcPr>
          <w:p>
            <w:pPr>
              <w:spacing w:line="240" w:lineRule="auto"/>
            </w:pPr>
            <w:r>
              <w:rPr>
                <w:color w:val="1F4E79"/>
                <w:sz w:val="18"/>
              </w:rPr>
              <w:t>8.910</w:t>
            </w:r>
          </w:p>
        </w:tc>
        <w:tc>
          <w:tcPr>
            <w:tcW w:type="dxa" w:w="2055"/>
          </w:tcPr>
          <w:p>
            <w:pPr>
              <w:spacing w:line="240" w:lineRule="auto"/>
            </w:pPr>
            <w:r>
              <w:rPr>
                <w:color w:val="1F4E79"/>
                <w:sz w:val="18"/>
              </w:rPr>
              <w:t>1500.692</w:t>
            </w:r>
          </w:p>
        </w:tc>
        <w:tc>
          <w:tcPr>
            <w:tcW w:type="dxa" w:w="2055"/>
          </w:tcPr>
          <w:p>
            <w:pPr>
              <w:spacing w:line="240" w:lineRule="auto"/>
            </w:pPr>
            <w:r>
              <w:rPr>
                <w:color w:val="1F4E79"/>
                <w:sz w:val="18"/>
              </w:rPr>
              <w:t>1500.692</w:t>
            </w:r>
          </w:p>
        </w:tc>
        <w:tc>
          <w:tcPr>
            <w:tcW w:type="dxa" w:w="2055"/>
          </w:tcPr>
          <w:p>
            <w:pPr>
              <w:spacing w:line="240" w:lineRule="auto"/>
            </w:pPr>
            <w:r>
              <w:rPr>
                <w:color w:val="1F4E79"/>
                <w:sz w:val="18"/>
              </w:rPr>
              <w:t>0</w:t>
            </w:r>
          </w:p>
        </w:tc>
      </w:tr>
      <w:tr>
        <w:tc>
          <w:tcPr>
            <w:tcW w:type="dxa" w:w="2055"/>
          </w:tcPr>
          <w:p>
            <w:pPr>
              <w:spacing w:line="240" w:lineRule="auto"/>
            </w:pPr>
            <w:r>
              <w:rPr>
                <w:color w:val="1F4E79"/>
                <w:sz w:val="18"/>
              </w:rPr>
              <w:t>Hanseniaspora osmophila</w:t>
              <w:br/>
              <w:t>GCA_050947655.1</w:t>
            </w:r>
          </w:p>
        </w:tc>
        <w:tc>
          <w:tcPr>
            <w:tcW w:type="dxa" w:w="2055"/>
          </w:tcPr>
          <w:p>
            <w:pPr>
              <w:spacing w:line="240" w:lineRule="auto"/>
            </w:pPr>
            <w:r>
              <w:rPr>
                <w:color w:val="1F4E79"/>
                <w:sz w:val="18"/>
              </w:rPr>
              <w:t>GenBank</w:t>
              <w:br/>
              <w:t>Complete Genome</w:t>
            </w:r>
          </w:p>
        </w:tc>
        <w:tc>
          <w:tcPr>
            <w:tcW w:type="dxa" w:w="2055"/>
          </w:tcPr>
          <w:p>
            <w:pPr>
              <w:spacing w:line="240" w:lineRule="auto"/>
            </w:pPr>
            <w:r>
              <w:rPr>
                <w:color w:val="1F4E79"/>
                <w:sz w:val="18"/>
              </w:rPr>
              <w:t>8</w:t>
            </w:r>
          </w:p>
        </w:tc>
        <w:tc>
          <w:tcPr>
            <w:tcW w:type="dxa" w:w="2055"/>
          </w:tcPr>
          <w:p>
            <w:pPr>
              <w:spacing w:line="240" w:lineRule="auto"/>
            </w:pPr>
            <w:r>
              <w:rPr>
                <w:color w:val="1F4E79"/>
                <w:sz w:val="18"/>
              </w:rPr>
              <w:t>11.407</w:t>
            </w:r>
          </w:p>
        </w:tc>
        <w:tc>
          <w:tcPr>
            <w:tcW w:type="dxa" w:w="2055"/>
          </w:tcPr>
          <w:p>
            <w:pPr>
              <w:spacing w:line="240" w:lineRule="auto"/>
            </w:pPr>
            <w:r>
              <w:rPr>
                <w:color w:val="1F4E79"/>
                <w:sz w:val="18"/>
              </w:rPr>
              <w:t>1658.769</w:t>
            </w:r>
          </w:p>
        </w:tc>
        <w:tc>
          <w:tcPr>
            <w:tcW w:type="dxa" w:w="2055"/>
          </w:tcPr>
          <w:p>
            <w:pPr>
              <w:spacing w:line="240" w:lineRule="auto"/>
            </w:pPr>
            <w:r>
              <w:rPr>
                <w:color w:val="1F4E79"/>
                <w:sz w:val="18"/>
              </w:rPr>
              <w:t>1658.769</w:t>
            </w:r>
          </w:p>
        </w:tc>
        <w:tc>
          <w:tcPr>
            <w:tcW w:type="dxa" w:w="2055"/>
          </w:tcPr>
          <w:p>
            <w:pPr>
              <w:spacing w:line="240" w:lineRule="auto"/>
            </w:pPr>
            <w:r>
              <w:rPr>
                <w:color w:val="1F4E79"/>
                <w:sz w:val="18"/>
              </w:rPr>
              <w:t>0</w:t>
            </w:r>
          </w:p>
        </w:tc>
      </w:tr>
      <w:tr>
        <w:tc>
          <w:tcPr>
            <w:tcW w:type="dxa" w:w="2055"/>
          </w:tcPr>
          <w:p>
            <w:pPr>
              <w:spacing w:line="240" w:lineRule="auto"/>
            </w:pPr>
            <w:r>
              <w:rPr>
                <w:color w:val="1F4E79"/>
                <w:sz w:val="18"/>
              </w:rPr>
              <w:t>Hanseniaspora vineae</w:t>
              <w:br/>
              <w:t>GCA_050947685.1</w:t>
            </w:r>
          </w:p>
        </w:tc>
        <w:tc>
          <w:tcPr>
            <w:tcW w:type="dxa" w:w="2055"/>
          </w:tcPr>
          <w:p>
            <w:pPr>
              <w:spacing w:line="240" w:lineRule="auto"/>
            </w:pPr>
            <w:r>
              <w:rPr>
                <w:color w:val="1F4E79"/>
                <w:sz w:val="18"/>
              </w:rPr>
              <w:t>GenBank</w:t>
              <w:br/>
              <w:t>Complete Genome</w:t>
            </w:r>
          </w:p>
        </w:tc>
        <w:tc>
          <w:tcPr>
            <w:tcW w:type="dxa" w:w="2055"/>
          </w:tcPr>
          <w:p>
            <w:pPr>
              <w:spacing w:line="240" w:lineRule="auto"/>
            </w:pPr>
            <w:r>
              <w:rPr>
                <w:color w:val="1F4E79"/>
                <w:sz w:val="18"/>
              </w:rPr>
              <w:t>8</w:t>
            </w:r>
          </w:p>
        </w:tc>
        <w:tc>
          <w:tcPr>
            <w:tcW w:type="dxa" w:w="2055"/>
          </w:tcPr>
          <w:p>
            <w:pPr>
              <w:spacing w:line="240" w:lineRule="auto"/>
            </w:pPr>
            <w:r>
              <w:rPr>
                <w:color w:val="1F4E79"/>
                <w:sz w:val="18"/>
              </w:rPr>
              <w:t>11.700</w:t>
            </w:r>
          </w:p>
        </w:tc>
        <w:tc>
          <w:tcPr>
            <w:tcW w:type="dxa" w:w="2055"/>
          </w:tcPr>
          <w:p>
            <w:pPr>
              <w:spacing w:line="240" w:lineRule="auto"/>
            </w:pPr>
            <w:r>
              <w:rPr>
                <w:color w:val="1F4E79"/>
                <w:sz w:val="18"/>
              </w:rPr>
              <w:t>1753.121</w:t>
            </w:r>
          </w:p>
        </w:tc>
        <w:tc>
          <w:tcPr>
            <w:tcW w:type="dxa" w:w="2055"/>
          </w:tcPr>
          <w:p>
            <w:pPr>
              <w:spacing w:line="240" w:lineRule="auto"/>
            </w:pPr>
            <w:r>
              <w:rPr>
                <w:color w:val="1F4E79"/>
                <w:sz w:val="18"/>
              </w:rPr>
              <w:t>1753.121</w:t>
            </w:r>
          </w:p>
        </w:tc>
        <w:tc>
          <w:tcPr>
            <w:tcW w:type="dxa" w:w="2055"/>
          </w:tcPr>
          <w:p>
            <w:pPr>
              <w:spacing w:line="240" w:lineRule="auto"/>
            </w:pPr>
            <w:r>
              <w:rPr>
                <w:color w:val="1F4E79"/>
                <w:sz w:val="18"/>
              </w:rPr>
              <w:t>0</w:t>
            </w:r>
          </w:p>
        </w:tc>
      </w:tr>
    </w:tbl>
    <w:p>
      <w:pPr>
        <w:pStyle w:val="Heading2"/>
      </w:pPr>
      <w:r>
        <w:rPr>
          <w:i/>
          <w:color w:val="1F4E79"/>
        </w:rPr>
        <w:t>Pieris</w:t>
      </w:r>
    </w:p>
    <w:tbl>
      <w:tblPr>
        <w:tblStyle w:val="TableGrid"/>
        <w:tblW w:type="auto" w:w="0"/>
        <w:tblLook w:firstColumn="1" w:firstRow="1" w:lastColumn="0" w:lastRow="0" w:noHBand="0" w:noVBand="1" w:val="04A0"/>
      </w:tblPr>
      <w:tblGrid>
        <w:gridCol w:w="2055"/>
        <w:gridCol w:w="2055"/>
        <w:gridCol w:w="2055"/>
        <w:gridCol w:w="2055"/>
        <w:gridCol w:w="2055"/>
        <w:gridCol w:w="2055"/>
        <w:gridCol w:w="2055"/>
      </w:tblGrid>
      <w:tr>
        <w:trPr>
          <w:tblHeader/>
        </w:trPr>
        <w:tc>
          <w:tcPr>
            <w:tcW w:type="dxa" w:w="2055"/>
          </w:tcPr>
          <w:p>
            <w:pPr>
              <w:spacing w:line="240" w:lineRule="auto"/>
            </w:pPr>
            <w:r>
              <w:rPr>
                <w:color w:val="1F4E79"/>
                <w:sz w:val="18"/>
              </w:rPr>
              <w:t>Species / accession</w:t>
            </w:r>
          </w:p>
        </w:tc>
        <w:tc>
          <w:tcPr>
            <w:tcW w:type="dxa" w:w="2055"/>
          </w:tcPr>
          <w:p>
            <w:pPr>
              <w:spacing w:line="240" w:lineRule="auto"/>
            </w:pPr>
            <w:r>
              <w:rPr>
                <w:color w:val="1F4E79"/>
                <w:sz w:val="18"/>
              </w:rPr>
              <w:t>Source / level</w:t>
            </w:r>
          </w:p>
        </w:tc>
        <w:tc>
          <w:tcPr>
            <w:tcW w:type="dxa" w:w="2055"/>
          </w:tcPr>
          <w:p>
            <w:pPr>
              <w:spacing w:line="240" w:lineRule="auto"/>
            </w:pPr>
            <w:r>
              <w:rPr>
                <w:color w:val="1F4E79"/>
                <w:sz w:val="18"/>
              </w:rPr>
              <w:t>FASTA records</w:t>
            </w:r>
          </w:p>
        </w:tc>
        <w:tc>
          <w:tcPr>
            <w:tcW w:type="dxa" w:w="2055"/>
          </w:tcPr>
          <w:p>
            <w:pPr>
              <w:spacing w:line="240" w:lineRule="auto"/>
            </w:pPr>
            <w:r>
              <w:rPr>
                <w:color w:val="1F4E79"/>
                <w:sz w:val="18"/>
              </w:rPr>
              <w:t>Size (Mb)</w:t>
            </w:r>
          </w:p>
        </w:tc>
        <w:tc>
          <w:tcPr>
            <w:tcW w:type="dxa" w:w="2055"/>
          </w:tcPr>
          <w:p>
            <w:pPr>
              <w:spacing w:line="240" w:lineRule="auto"/>
            </w:pPr>
            <w:r>
              <w:rPr>
                <w:color w:val="1F4E79"/>
                <w:sz w:val="18"/>
              </w:rPr>
              <w:t>Sequence N50 (kb)</w:t>
            </w:r>
          </w:p>
        </w:tc>
        <w:tc>
          <w:tcPr>
            <w:tcW w:type="dxa" w:w="2055"/>
          </w:tcPr>
          <w:p>
            <w:pPr>
              <w:spacing w:line="240" w:lineRule="auto"/>
            </w:pPr>
            <w:r>
              <w:rPr>
                <w:color w:val="1F4E79"/>
                <w:sz w:val="18"/>
              </w:rPr>
              <w:t>Contig N50 (kb)</w:t>
            </w:r>
          </w:p>
        </w:tc>
        <w:tc>
          <w:tcPr>
            <w:tcW w:type="dxa" w:w="2055"/>
          </w:tcPr>
          <w:p>
            <w:pPr>
              <w:spacing w:line="240" w:lineRule="auto"/>
            </w:pPr>
            <w:r>
              <w:rPr>
                <w:color w:val="1F4E79"/>
                <w:sz w:val="18"/>
              </w:rPr>
              <w:t>Ambiguous bases</w:t>
            </w:r>
          </w:p>
        </w:tc>
      </w:tr>
      <w:tr>
        <w:tc>
          <w:tcPr>
            <w:tcW w:type="dxa" w:w="2055"/>
          </w:tcPr>
          <w:p>
            <w:pPr>
              <w:spacing w:line="240" w:lineRule="auto"/>
            </w:pPr>
            <w:r>
              <w:rPr>
                <w:color w:val="1F4E79"/>
                <w:sz w:val="18"/>
              </w:rPr>
              <w:t>Pieris brassicae</w:t>
              <w:br/>
              <w:t>GCF_905147105.1</w:t>
            </w:r>
          </w:p>
        </w:tc>
        <w:tc>
          <w:tcPr>
            <w:tcW w:type="dxa" w:w="2055"/>
          </w:tcPr>
          <w:p>
            <w:pPr>
              <w:spacing w:line="240" w:lineRule="auto"/>
            </w:pPr>
            <w:r>
              <w:rPr>
                <w:color w:val="1F4E79"/>
                <w:sz w:val="18"/>
              </w:rPr>
              <w:t>RefSeq</w:t>
              <w:br/>
              <w:t>Chromosome</w:t>
            </w:r>
          </w:p>
        </w:tc>
        <w:tc>
          <w:tcPr>
            <w:tcW w:type="dxa" w:w="2055"/>
          </w:tcPr>
          <w:p>
            <w:pPr>
              <w:spacing w:line="240" w:lineRule="auto"/>
            </w:pPr>
            <w:r>
              <w:rPr>
                <w:color w:val="1F4E79"/>
                <w:sz w:val="18"/>
              </w:rPr>
              <w:t>401</w:t>
            </w:r>
          </w:p>
        </w:tc>
        <w:tc>
          <w:tcPr>
            <w:tcW w:type="dxa" w:w="2055"/>
          </w:tcPr>
          <w:p>
            <w:pPr>
              <w:spacing w:line="240" w:lineRule="auto"/>
            </w:pPr>
            <w:r>
              <w:rPr>
                <w:color w:val="1F4E79"/>
                <w:sz w:val="18"/>
              </w:rPr>
              <w:t>292.326</w:t>
            </w:r>
          </w:p>
        </w:tc>
        <w:tc>
          <w:tcPr>
            <w:tcW w:type="dxa" w:w="2055"/>
          </w:tcPr>
          <w:p>
            <w:pPr>
              <w:spacing w:line="240" w:lineRule="auto"/>
            </w:pPr>
            <w:r>
              <w:rPr>
                <w:color w:val="1F4E79"/>
                <w:sz w:val="18"/>
              </w:rPr>
              <w:t>21549.451</w:t>
            </w:r>
          </w:p>
        </w:tc>
        <w:tc>
          <w:tcPr>
            <w:tcW w:type="dxa" w:w="2055"/>
          </w:tcPr>
          <w:p>
            <w:pPr>
              <w:spacing w:line="240" w:lineRule="auto"/>
            </w:pPr>
            <w:r>
              <w:rPr>
                <w:color w:val="1F4E79"/>
                <w:sz w:val="18"/>
              </w:rPr>
              <w:t>21291.167</w:t>
            </w:r>
          </w:p>
        </w:tc>
        <w:tc>
          <w:tcPr>
            <w:tcW w:type="dxa" w:w="2055"/>
          </w:tcPr>
          <w:p>
            <w:pPr>
              <w:spacing w:line="240" w:lineRule="auto"/>
            </w:pPr>
            <w:r>
              <w:rPr>
                <w:color w:val="1F4E79"/>
                <w:sz w:val="18"/>
              </w:rPr>
              <w:t>5,637</w:t>
            </w:r>
          </w:p>
        </w:tc>
      </w:tr>
      <w:tr>
        <w:tc>
          <w:tcPr>
            <w:tcW w:type="dxa" w:w="2055"/>
          </w:tcPr>
          <w:p>
            <w:pPr>
              <w:spacing w:line="240" w:lineRule="auto"/>
            </w:pPr>
            <w:r>
              <w:rPr>
                <w:color w:val="1F4E79"/>
                <w:sz w:val="18"/>
              </w:rPr>
              <w:t>Pieris napi</w:t>
              <w:br/>
              <w:t>GCF_905475465.1</w:t>
            </w:r>
          </w:p>
        </w:tc>
        <w:tc>
          <w:tcPr>
            <w:tcW w:type="dxa" w:w="2055"/>
          </w:tcPr>
          <w:p>
            <w:pPr>
              <w:spacing w:line="240" w:lineRule="auto"/>
            </w:pPr>
            <w:r>
              <w:rPr>
                <w:color w:val="1F4E79"/>
                <w:sz w:val="18"/>
              </w:rPr>
              <w:t>RefSeq</w:t>
              <w:br/>
              <w:t>Chromosome</w:t>
            </w:r>
          </w:p>
        </w:tc>
        <w:tc>
          <w:tcPr>
            <w:tcW w:type="dxa" w:w="2055"/>
          </w:tcPr>
          <w:p>
            <w:pPr>
              <w:spacing w:line="240" w:lineRule="auto"/>
            </w:pPr>
            <w:r>
              <w:rPr>
                <w:color w:val="1F4E79"/>
                <w:sz w:val="18"/>
              </w:rPr>
              <w:t>42</w:t>
            </w:r>
          </w:p>
        </w:tc>
        <w:tc>
          <w:tcPr>
            <w:tcW w:type="dxa" w:w="2055"/>
          </w:tcPr>
          <w:p>
            <w:pPr>
              <w:spacing w:line="240" w:lineRule="auto"/>
            </w:pPr>
            <w:r>
              <w:rPr>
                <w:color w:val="1F4E79"/>
                <w:sz w:val="18"/>
              </w:rPr>
              <w:t>319.187</w:t>
            </w:r>
          </w:p>
        </w:tc>
        <w:tc>
          <w:tcPr>
            <w:tcW w:type="dxa" w:w="2055"/>
          </w:tcPr>
          <w:p>
            <w:pPr>
              <w:spacing w:line="240" w:lineRule="auto"/>
            </w:pPr>
            <w:r>
              <w:rPr>
                <w:color w:val="1F4E79"/>
                <w:sz w:val="18"/>
              </w:rPr>
              <w:t>13068.865</w:t>
            </w:r>
          </w:p>
        </w:tc>
        <w:tc>
          <w:tcPr>
            <w:tcW w:type="dxa" w:w="2055"/>
          </w:tcPr>
          <w:p>
            <w:pPr>
              <w:spacing w:line="240" w:lineRule="auto"/>
            </w:pPr>
            <w:r>
              <w:rPr>
                <w:color w:val="1F4E79"/>
                <w:sz w:val="18"/>
              </w:rPr>
              <w:t>8327.096</w:t>
            </w:r>
          </w:p>
        </w:tc>
        <w:tc>
          <w:tcPr>
            <w:tcW w:type="dxa" w:w="2055"/>
          </w:tcPr>
          <w:p>
            <w:pPr>
              <w:spacing w:line="240" w:lineRule="auto"/>
            </w:pPr>
            <w:r>
              <w:rPr>
                <w:color w:val="1F4E79"/>
                <w:sz w:val="18"/>
              </w:rPr>
              <w:t>4,900</w:t>
            </w:r>
          </w:p>
        </w:tc>
      </w:tr>
      <w:tr>
        <w:tc>
          <w:tcPr>
            <w:tcW w:type="dxa" w:w="2055"/>
          </w:tcPr>
          <w:p>
            <w:pPr>
              <w:spacing w:line="240" w:lineRule="auto"/>
            </w:pPr>
            <w:r>
              <w:rPr>
                <w:color w:val="1F4E79"/>
                <w:sz w:val="18"/>
              </w:rPr>
              <w:t>Pieris rapae</w:t>
              <w:br/>
              <w:t>GCF_905147795.1</w:t>
            </w:r>
          </w:p>
        </w:tc>
        <w:tc>
          <w:tcPr>
            <w:tcW w:type="dxa" w:w="2055"/>
          </w:tcPr>
          <w:p>
            <w:pPr>
              <w:spacing w:line="240" w:lineRule="auto"/>
            </w:pPr>
            <w:r>
              <w:rPr>
                <w:color w:val="1F4E79"/>
                <w:sz w:val="18"/>
              </w:rPr>
              <w:t>RefSeq</w:t>
              <w:br/>
              <w:t>Chromosome</w:t>
            </w:r>
          </w:p>
        </w:tc>
        <w:tc>
          <w:tcPr>
            <w:tcW w:type="dxa" w:w="2055"/>
          </w:tcPr>
          <w:p>
            <w:pPr>
              <w:spacing w:line="240" w:lineRule="auto"/>
            </w:pPr>
            <w:r>
              <w:rPr>
                <w:color w:val="1F4E79"/>
                <w:sz w:val="18"/>
              </w:rPr>
              <w:t>40</w:t>
            </w:r>
          </w:p>
        </w:tc>
        <w:tc>
          <w:tcPr>
            <w:tcW w:type="dxa" w:w="2055"/>
          </w:tcPr>
          <w:p>
            <w:pPr>
              <w:spacing w:line="240" w:lineRule="auto"/>
            </w:pPr>
            <w:r>
              <w:rPr>
                <w:color w:val="1F4E79"/>
                <w:sz w:val="18"/>
              </w:rPr>
              <w:t>256.370</w:t>
            </w:r>
          </w:p>
        </w:tc>
        <w:tc>
          <w:tcPr>
            <w:tcW w:type="dxa" w:w="2055"/>
          </w:tcPr>
          <w:p>
            <w:pPr>
              <w:spacing w:line="240" w:lineRule="auto"/>
            </w:pPr>
            <w:r>
              <w:rPr>
                <w:color w:val="1F4E79"/>
                <w:sz w:val="18"/>
              </w:rPr>
              <w:t>10651.053</w:t>
            </w:r>
          </w:p>
        </w:tc>
        <w:tc>
          <w:tcPr>
            <w:tcW w:type="dxa" w:w="2055"/>
          </w:tcPr>
          <w:p>
            <w:pPr>
              <w:spacing w:line="240" w:lineRule="auto"/>
            </w:pPr>
            <w:r>
              <w:rPr>
                <w:color w:val="1F4E79"/>
                <w:sz w:val="18"/>
              </w:rPr>
              <w:t>10651.053</w:t>
            </w:r>
          </w:p>
        </w:tc>
        <w:tc>
          <w:tcPr>
            <w:tcW w:type="dxa" w:w="2055"/>
          </w:tcPr>
          <w:p>
            <w:pPr>
              <w:spacing w:line="240" w:lineRule="auto"/>
            </w:pPr>
            <w:r>
              <w:rPr>
                <w:color w:val="1F4E79"/>
                <w:sz w:val="18"/>
              </w:rPr>
              <w:t>1,000</w:t>
            </w:r>
          </w:p>
        </w:tc>
      </w:tr>
    </w:tbl>
    <w:p>
      <w:pPr>
        <w:pStyle w:val="Heading2"/>
      </w:pPr>
      <w:r>
        <w:rPr>
          <w:i/>
          <w:color w:val="1F4E79"/>
        </w:rPr>
        <w:t>Utricularia</w:t>
      </w:r>
    </w:p>
    <w:tbl>
      <w:tblPr>
        <w:tblStyle w:val="TableGrid"/>
        <w:tblW w:type="auto" w:w="0"/>
        <w:tblLook w:firstColumn="1" w:firstRow="1" w:lastColumn="0" w:lastRow="0" w:noHBand="0" w:noVBand="1" w:val="04A0"/>
      </w:tblPr>
      <w:tblGrid>
        <w:gridCol w:w="2055"/>
        <w:gridCol w:w="2055"/>
        <w:gridCol w:w="2055"/>
        <w:gridCol w:w="2055"/>
        <w:gridCol w:w="2055"/>
        <w:gridCol w:w="2055"/>
        <w:gridCol w:w="2055"/>
      </w:tblGrid>
      <w:tr>
        <w:trPr>
          <w:tblHeader/>
        </w:trPr>
        <w:tc>
          <w:tcPr>
            <w:tcW w:type="dxa" w:w="2055"/>
          </w:tcPr>
          <w:p>
            <w:pPr>
              <w:spacing w:line="240" w:lineRule="auto"/>
            </w:pPr>
            <w:r>
              <w:rPr>
                <w:color w:val="1F4E79"/>
                <w:sz w:val="18"/>
              </w:rPr>
              <w:t>Species / accession</w:t>
            </w:r>
          </w:p>
        </w:tc>
        <w:tc>
          <w:tcPr>
            <w:tcW w:type="dxa" w:w="2055"/>
          </w:tcPr>
          <w:p>
            <w:pPr>
              <w:spacing w:line="240" w:lineRule="auto"/>
            </w:pPr>
            <w:r>
              <w:rPr>
                <w:color w:val="1F4E79"/>
                <w:sz w:val="18"/>
              </w:rPr>
              <w:t>Source / level</w:t>
            </w:r>
          </w:p>
        </w:tc>
        <w:tc>
          <w:tcPr>
            <w:tcW w:type="dxa" w:w="2055"/>
          </w:tcPr>
          <w:p>
            <w:pPr>
              <w:spacing w:line="240" w:lineRule="auto"/>
            </w:pPr>
            <w:r>
              <w:rPr>
                <w:color w:val="1F4E79"/>
                <w:sz w:val="18"/>
              </w:rPr>
              <w:t>FASTA records</w:t>
            </w:r>
          </w:p>
        </w:tc>
        <w:tc>
          <w:tcPr>
            <w:tcW w:type="dxa" w:w="2055"/>
          </w:tcPr>
          <w:p>
            <w:pPr>
              <w:spacing w:line="240" w:lineRule="auto"/>
            </w:pPr>
            <w:r>
              <w:rPr>
                <w:color w:val="1F4E79"/>
                <w:sz w:val="18"/>
              </w:rPr>
              <w:t>Size (Mb)</w:t>
            </w:r>
          </w:p>
        </w:tc>
        <w:tc>
          <w:tcPr>
            <w:tcW w:type="dxa" w:w="2055"/>
          </w:tcPr>
          <w:p>
            <w:pPr>
              <w:spacing w:line="240" w:lineRule="auto"/>
            </w:pPr>
            <w:r>
              <w:rPr>
                <w:color w:val="1F4E79"/>
                <w:sz w:val="18"/>
              </w:rPr>
              <w:t>Sequence N50 (kb)</w:t>
            </w:r>
          </w:p>
        </w:tc>
        <w:tc>
          <w:tcPr>
            <w:tcW w:type="dxa" w:w="2055"/>
          </w:tcPr>
          <w:p>
            <w:pPr>
              <w:spacing w:line="240" w:lineRule="auto"/>
            </w:pPr>
            <w:r>
              <w:rPr>
                <w:color w:val="1F4E79"/>
                <w:sz w:val="18"/>
              </w:rPr>
              <w:t>Contig N50 (kb)</w:t>
            </w:r>
          </w:p>
        </w:tc>
        <w:tc>
          <w:tcPr>
            <w:tcW w:type="dxa" w:w="2055"/>
          </w:tcPr>
          <w:p>
            <w:pPr>
              <w:spacing w:line="240" w:lineRule="auto"/>
            </w:pPr>
            <w:r>
              <w:rPr>
                <w:color w:val="1F4E79"/>
                <w:sz w:val="18"/>
              </w:rPr>
              <w:t>Ambiguous bases</w:t>
            </w:r>
          </w:p>
        </w:tc>
      </w:tr>
      <w:tr>
        <w:tc>
          <w:tcPr>
            <w:tcW w:type="dxa" w:w="2055"/>
          </w:tcPr>
          <w:p>
            <w:pPr>
              <w:spacing w:line="240" w:lineRule="auto"/>
            </w:pPr>
            <w:r>
              <w:rPr>
                <w:color w:val="1F4E79"/>
                <w:sz w:val="18"/>
              </w:rPr>
              <w:t>Utricularia aurea</w:t>
              <w:br/>
              <w:t>GCA_056322005.1</w:t>
            </w:r>
          </w:p>
        </w:tc>
        <w:tc>
          <w:tcPr>
            <w:tcW w:type="dxa" w:w="2055"/>
          </w:tcPr>
          <w:p>
            <w:pPr>
              <w:spacing w:line="240" w:lineRule="auto"/>
            </w:pPr>
            <w:r>
              <w:rPr>
                <w:color w:val="1F4E79"/>
                <w:sz w:val="18"/>
              </w:rPr>
              <w:t>GenBank</w:t>
              <w:br/>
              <w:t>Chromosome</w:t>
            </w:r>
          </w:p>
        </w:tc>
        <w:tc>
          <w:tcPr>
            <w:tcW w:type="dxa" w:w="2055"/>
          </w:tcPr>
          <w:p>
            <w:pPr>
              <w:spacing w:line="240" w:lineRule="auto"/>
            </w:pPr>
            <w:r>
              <w:rPr>
                <w:color w:val="1F4E79"/>
                <w:sz w:val="18"/>
              </w:rPr>
              <w:t>38</w:t>
            </w:r>
          </w:p>
        </w:tc>
        <w:tc>
          <w:tcPr>
            <w:tcW w:type="dxa" w:w="2055"/>
          </w:tcPr>
          <w:p>
            <w:pPr>
              <w:spacing w:line="240" w:lineRule="auto"/>
            </w:pPr>
            <w:r>
              <w:rPr>
                <w:color w:val="1F4E79"/>
                <w:sz w:val="18"/>
              </w:rPr>
              <w:t>180.315</w:t>
            </w:r>
          </w:p>
        </w:tc>
        <w:tc>
          <w:tcPr>
            <w:tcW w:type="dxa" w:w="2055"/>
          </w:tcPr>
          <w:p>
            <w:pPr>
              <w:spacing w:line="240" w:lineRule="auto"/>
            </w:pPr>
            <w:r>
              <w:rPr>
                <w:color w:val="1F4E79"/>
                <w:sz w:val="18"/>
              </w:rPr>
              <w:t>8730.432</w:t>
            </w:r>
          </w:p>
        </w:tc>
        <w:tc>
          <w:tcPr>
            <w:tcW w:type="dxa" w:w="2055"/>
          </w:tcPr>
          <w:p>
            <w:pPr>
              <w:spacing w:line="240" w:lineRule="auto"/>
            </w:pPr>
            <w:r>
              <w:rPr>
                <w:color w:val="1F4E79"/>
                <w:sz w:val="18"/>
              </w:rPr>
              <w:t>6391.073</w:t>
            </w:r>
          </w:p>
        </w:tc>
        <w:tc>
          <w:tcPr>
            <w:tcW w:type="dxa" w:w="2055"/>
          </w:tcPr>
          <w:p>
            <w:pPr>
              <w:spacing w:line="240" w:lineRule="auto"/>
            </w:pPr>
            <w:r>
              <w:rPr>
                <w:color w:val="1F4E79"/>
                <w:sz w:val="18"/>
              </w:rPr>
              <w:t>2,100</w:t>
            </w:r>
          </w:p>
        </w:tc>
      </w:tr>
      <w:tr>
        <w:tc>
          <w:tcPr>
            <w:tcW w:type="dxa" w:w="2055"/>
          </w:tcPr>
          <w:p>
            <w:pPr>
              <w:spacing w:line="240" w:lineRule="auto"/>
            </w:pPr>
            <w:r>
              <w:rPr>
                <w:color w:val="1F4E79"/>
                <w:sz w:val="18"/>
              </w:rPr>
              <w:t>Utricularia gibba</w:t>
              <w:br/>
              <w:t>GCA_982292365.1</w:t>
            </w:r>
          </w:p>
        </w:tc>
        <w:tc>
          <w:tcPr>
            <w:tcW w:type="dxa" w:w="2055"/>
          </w:tcPr>
          <w:p>
            <w:pPr>
              <w:spacing w:line="240" w:lineRule="auto"/>
            </w:pPr>
            <w:r>
              <w:rPr>
                <w:color w:val="1F4E79"/>
                <w:sz w:val="18"/>
              </w:rPr>
              <w:t>GenBank</w:t>
              <w:br/>
              <w:t>Contig</w:t>
            </w:r>
          </w:p>
        </w:tc>
        <w:tc>
          <w:tcPr>
            <w:tcW w:type="dxa" w:w="2055"/>
          </w:tcPr>
          <w:p>
            <w:pPr>
              <w:spacing w:line="240" w:lineRule="auto"/>
            </w:pPr>
            <w:r>
              <w:rPr>
                <w:color w:val="1F4E79"/>
                <w:sz w:val="18"/>
              </w:rPr>
              <w:t>966</w:t>
            </w:r>
          </w:p>
        </w:tc>
        <w:tc>
          <w:tcPr>
            <w:tcW w:type="dxa" w:w="2055"/>
          </w:tcPr>
          <w:p>
            <w:pPr>
              <w:spacing w:line="240" w:lineRule="auto"/>
            </w:pPr>
            <w:r>
              <w:rPr>
                <w:color w:val="1F4E79"/>
                <w:sz w:val="18"/>
              </w:rPr>
              <w:t>118.554</w:t>
            </w:r>
          </w:p>
        </w:tc>
        <w:tc>
          <w:tcPr>
            <w:tcW w:type="dxa" w:w="2055"/>
          </w:tcPr>
          <w:p>
            <w:pPr>
              <w:spacing w:line="240" w:lineRule="auto"/>
            </w:pPr>
            <w:r>
              <w:rPr>
                <w:color w:val="1F4E79"/>
                <w:sz w:val="18"/>
              </w:rPr>
              <w:t>5593.449</w:t>
            </w:r>
          </w:p>
        </w:tc>
        <w:tc>
          <w:tcPr>
            <w:tcW w:type="dxa" w:w="2055"/>
          </w:tcPr>
          <w:p>
            <w:pPr>
              <w:spacing w:line="240" w:lineRule="auto"/>
            </w:pPr>
            <w:r>
              <w:rPr>
                <w:color w:val="1F4E79"/>
                <w:sz w:val="18"/>
              </w:rPr>
              <w:t>5593.449</w:t>
            </w:r>
          </w:p>
        </w:tc>
        <w:tc>
          <w:tcPr>
            <w:tcW w:type="dxa" w:w="2055"/>
          </w:tcPr>
          <w:p>
            <w:pPr>
              <w:spacing w:line="240" w:lineRule="auto"/>
            </w:pPr>
            <w:r>
              <w:rPr>
                <w:color w:val="1F4E79"/>
                <w:sz w:val="18"/>
              </w:rPr>
              <w:t>0</w:t>
            </w:r>
          </w:p>
        </w:tc>
      </w:tr>
      <w:tr>
        <w:tc>
          <w:tcPr>
            <w:tcW w:type="dxa" w:w="2055"/>
          </w:tcPr>
          <w:p>
            <w:pPr>
              <w:spacing w:line="240" w:lineRule="auto"/>
            </w:pPr>
            <w:r>
              <w:rPr>
                <w:color w:val="1F4E79"/>
                <w:sz w:val="18"/>
              </w:rPr>
              <w:t>Utricularia reniformis</w:t>
              <w:br/>
              <w:t>GCA_009725065.1</w:t>
            </w:r>
          </w:p>
        </w:tc>
        <w:tc>
          <w:tcPr>
            <w:tcW w:type="dxa" w:w="2055"/>
          </w:tcPr>
          <w:p>
            <w:pPr>
              <w:spacing w:line="240" w:lineRule="auto"/>
            </w:pPr>
            <w:r>
              <w:rPr>
                <w:color w:val="1F4E79"/>
                <w:sz w:val="18"/>
              </w:rPr>
              <w:t>GenBank</w:t>
              <w:br/>
              <w:t>Scaffold</w:t>
            </w:r>
          </w:p>
        </w:tc>
        <w:tc>
          <w:tcPr>
            <w:tcW w:type="dxa" w:w="2055"/>
          </w:tcPr>
          <w:p>
            <w:pPr>
              <w:spacing w:line="240" w:lineRule="auto"/>
            </w:pPr>
            <w:r>
              <w:rPr>
                <w:color w:val="1F4E79"/>
                <w:sz w:val="18"/>
              </w:rPr>
              <w:t>1825</w:t>
            </w:r>
          </w:p>
        </w:tc>
        <w:tc>
          <w:tcPr>
            <w:tcW w:type="dxa" w:w="2055"/>
          </w:tcPr>
          <w:p>
            <w:pPr>
              <w:spacing w:line="240" w:lineRule="auto"/>
            </w:pPr>
            <w:r>
              <w:rPr>
                <w:color w:val="1F4E79"/>
                <w:sz w:val="18"/>
              </w:rPr>
              <w:t>304.539</w:t>
            </w:r>
          </w:p>
        </w:tc>
        <w:tc>
          <w:tcPr>
            <w:tcW w:type="dxa" w:w="2055"/>
          </w:tcPr>
          <w:p>
            <w:pPr>
              <w:spacing w:line="240" w:lineRule="auto"/>
            </w:pPr>
            <w:r>
              <w:rPr>
                <w:color w:val="1F4E79"/>
                <w:sz w:val="18"/>
              </w:rPr>
              <w:t>488.004</w:t>
            </w:r>
          </w:p>
        </w:tc>
        <w:tc>
          <w:tcPr>
            <w:tcW w:type="dxa" w:w="2055"/>
          </w:tcPr>
          <w:p>
            <w:pPr>
              <w:spacing w:line="240" w:lineRule="auto"/>
            </w:pPr>
            <w:r>
              <w:rPr>
                <w:color w:val="1F4E79"/>
                <w:sz w:val="18"/>
              </w:rPr>
              <w:t>160.882</w:t>
            </w:r>
          </w:p>
        </w:tc>
        <w:tc>
          <w:tcPr>
            <w:tcW w:type="dxa" w:w="2055"/>
          </w:tcPr>
          <w:p>
            <w:pPr>
              <w:spacing w:line="240" w:lineRule="auto"/>
            </w:pPr>
            <w:r>
              <w:rPr>
                <w:color w:val="1F4E79"/>
                <w:sz w:val="18"/>
              </w:rPr>
              <w:t>5,787,106</w:t>
            </w:r>
          </w:p>
        </w:tc>
      </w:tr>
    </w:tbl>
    <w:p>
      <w:pPr>
        <w:pStyle w:val="Heading1"/>
      </w:pPr>
      <w:r>
        <w:rPr>
          <w:color w:val="1F4E79"/>
        </w:rPr>
        <w:t>Supplementary Table S2. Configured software and resource identities</w:t>
      </w:r>
    </w:p>
    <w:p>
      <w:r>
        <w:rPr>
          <w:color w:val="1F4E79"/>
        </w:rPr>
        <w:t>These entries are taken from source configuration and identify intended resources, not measured software versions from completed tasks. An execution-specific inventory must accompany the final results.</w:t>
      </w:r>
    </w:p>
    <w:tbl>
      <w:tblPr>
        <w:tblStyle w:val="TableGrid"/>
        <w:tblW w:type="auto" w:w="0"/>
        <w:tblLook w:firstColumn="1" w:firstRow="1" w:lastColumn="0" w:lastRow="0" w:noHBand="0" w:noVBand="1" w:val="04A0"/>
      </w:tblPr>
      <w:tblGrid>
        <w:gridCol w:w="4795"/>
        <w:gridCol w:w="4795"/>
        <w:gridCol w:w="4795"/>
      </w:tblGrid>
      <w:tr>
        <w:tc>
          <w:tcPr>
            <w:tcW w:type="dxa" w:w="4795"/>
          </w:tcPr>
          <w:p>
            <w:pPr>
              <w:spacing w:line="240" w:lineRule="auto"/>
            </w:pPr>
            <w:r>
              <w:rPr>
                <w:color w:val="1F4E79"/>
                <w:sz w:val="20"/>
              </w:rPr>
              <w:t>Component</w:t>
            </w:r>
          </w:p>
        </w:tc>
        <w:tc>
          <w:tcPr>
            <w:tcW w:type="dxa" w:w="4795"/>
          </w:tcPr>
          <w:p>
            <w:pPr>
              <w:spacing w:line="240" w:lineRule="auto"/>
            </w:pPr>
            <w:r>
              <w:rPr>
                <w:color w:val="1F4E79"/>
                <w:sz w:val="20"/>
              </w:rPr>
              <w:t>Configured version/resource</w:t>
            </w:r>
          </w:p>
        </w:tc>
        <w:tc>
          <w:tcPr>
            <w:tcW w:type="dxa" w:w="4795"/>
          </w:tcPr>
          <w:p>
            <w:pPr>
              <w:spacing w:line="240" w:lineRule="auto"/>
            </w:pPr>
            <w:r>
              <w:rPr>
                <w:color w:val="1F4E79"/>
                <w:sz w:val="20"/>
              </w:rPr>
              <w:t>Interpretation</w:t>
            </w:r>
          </w:p>
        </w:tc>
      </w:tr>
      <w:tr>
        <w:tc>
          <w:tcPr>
            <w:tcW w:type="dxa" w:w="4795"/>
          </w:tcPr>
          <w:p>
            <w:pPr>
              <w:spacing w:line="240" w:lineRule="auto"/>
            </w:pPr>
            <w:r>
              <w:rPr>
                <w:color w:val="1F4E79"/>
                <w:sz w:val="20"/>
              </w:rPr>
              <w:t>Nextflow</w:t>
            </w:r>
          </w:p>
        </w:tc>
        <w:tc>
          <w:tcPr>
            <w:tcW w:type="dxa" w:w="4795"/>
          </w:tcPr>
          <w:p>
            <w:pPr>
              <w:spacing w:line="240" w:lineRule="auto"/>
            </w:pPr>
            <w:r>
              <w:rPr>
                <w:color w:val="1F4E79"/>
                <w:sz w:val="20"/>
              </w:rPr>
              <w:t>25.10.2</w:t>
            </w:r>
          </w:p>
        </w:tc>
        <w:tc>
          <w:tcPr>
            <w:tcW w:type="dxa" w:w="4795"/>
          </w:tcPr>
          <w:p>
            <w:pPr>
              <w:spacing w:line="240" w:lineRule="auto"/>
            </w:pPr>
            <w:r>
              <w:rPr>
                <w:color w:val="1F4E79"/>
                <w:sz w:val="20"/>
              </w:rPr>
              <w:t>Launcher configuration</w:t>
            </w:r>
          </w:p>
        </w:tc>
      </w:tr>
      <w:tr>
        <w:tc>
          <w:tcPr>
            <w:tcW w:type="dxa" w:w="4795"/>
          </w:tcPr>
          <w:p>
            <w:pPr>
              <w:spacing w:line="240" w:lineRule="auto"/>
            </w:pPr>
            <w:r>
              <w:rPr>
                <w:color w:val="1F4E79"/>
                <w:sz w:val="20"/>
              </w:rPr>
              <w:t>SeqKit</w:t>
            </w:r>
          </w:p>
        </w:tc>
        <w:tc>
          <w:tcPr>
            <w:tcW w:type="dxa" w:w="4795"/>
          </w:tcPr>
          <w:p>
            <w:pPr>
              <w:spacing w:line="240" w:lineRule="auto"/>
            </w:pPr>
            <w:r>
              <w:rPr>
                <w:color w:val="1F4E79"/>
                <w:sz w:val="20"/>
              </w:rPr>
              <w:t>2.8.2</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BUSCO</w:t>
            </w:r>
          </w:p>
        </w:tc>
        <w:tc>
          <w:tcPr>
            <w:tcW w:type="dxa" w:w="4795"/>
          </w:tcPr>
          <w:p>
            <w:pPr>
              <w:spacing w:line="240" w:lineRule="auto"/>
            </w:pPr>
            <w:r>
              <w:rPr>
                <w:color w:val="1F4E79"/>
                <w:sz w:val="20"/>
              </w:rPr>
              <w:t>6.0.0_cv1</w:t>
            </w:r>
          </w:p>
        </w:tc>
        <w:tc>
          <w:tcPr>
            <w:tcW w:type="dxa" w:w="4795"/>
          </w:tcPr>
          <w:p>
            <w:pPr>
              <w:spacing w:line="240" w:lineRule="auto"/>
            </w:pPr>
            <w:r>
              <w:rPr>
                <w:color w:val="1F4E79"/>
                <w:sz w:val="20"/>
              </w:rPr>
              <w:t>Configured container; lineage selected or supplied</w:t>
            </w:r>
          </w:p>
        </w:tc>
      </w:tr>
      <w:tr>
        <w:tc>
          <w:tcPr>
            <w:tcW w:type="dxa" w:w="4795"/>
          </w:tcPr>
          <w:p>
            <w:pPr>
              <w:spacing w:line="240" w:lineRule="auto"/>
            </w:pPr>
            <w:r>
              <w:rPr>
                <w:color w:val="1F4E79"/>
                <w:sz w:val="20"/>
              </w:rPr>
              <w:t>RepeatModeler</w:t>
            </w:r>
          </w:p>
        </w:tc>
        <w:tc>
          <w:tcPr>
            <w:tcW w:type="dxa" w:w="4795"/>
          </w:tcPr>
          <w:p>
            <w:pPr>
              <w:spacing w:line="240" w:lineRule="auto"/>
            </w:pPr>
            <w:r>
              <w:rPr>
                <w:color w:val="1F4E79"/>
                <w:sz w:val="20"/>
              </w:rPr>
              <w:t>2.0.5</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MCHelper</w:t>
            </w:r>
          </w:p>
        </w:tc>
        <w:tc>
          <w:tcPr>
            <w:tcW w:type="dxa" w:w="4795"/>
          </w:tcPr>
          <w:p>
            <w:pPr>
              <w:spacing w:line="240" w:lineRule="auto"/>
            </w:pPr>
            <w:r>
              <w:rPr>
                <w:color w:val="1F4E79"/>
                <w:sz w:val="20"/>
              </w:rPr>
              <w:t>1.7.0</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CD-HIT-EST</w:t>
            </w:r>
          </w:p>
        </w:tc>
        <w:tc>
          <w:tcPr>
            <w:tcW w:type="dxa" w:w="4795"/>
          </w:tcPr>
          <w:p>
            <w:pPr>
              <w:spacing w:line="240" w:lineRule="auto"/>
            </w:pPr>
            <w:r>
              <w:rPr>
                <w:color w:val="1F4E79"/>
                <w:sz w:val="20"/>
              </w:rPr>
              <w:t>4.8.1</w:t>
            </w:r>
          </w:p>
        </w:tc>
        <w:tc>
          <w:tcPr>
            <w:tcW w:type="dxa" w:w="4795"/>
          </w:tcPr>
          <w:p>
            <w:pPr>
              <w:spacing w:line="240" w:lineRule="auto"/>
            </w:pPr>
            <w:r>
              <w:rPr>
                <w:color w:val="1F4E79"/>
                <w:sz w:val="20"/>
              </w:rPr>
              <w:t>Configured container; corrected from 4.7 in the original draft</w:t>
            </w:r>
          </w:p>
        </w:tc>
      </w:tr>
      <w:tr>
        <w:tc>
          <w:tcPr>
            <w:tcW w:type="dxa" w:w="4795"/>
          </w:tcPr>
          <w:p>
            <w:pPr>
              <w:spacing w:line="240" w:lineRule="auto"/>
            </w:pPr>
            <w:r>
              <w:rPr>
                <w:color w:val="1F4E79"/>
                <w:sz w:val="20"/>
              </w:rPr>
              <w:t>RepeatMasker</w:t>
            </w:r>
          </w:p>
        </w:tc>
        <w:tc>
          <w:tcPr>
            <w:tcW w:type="dxa" w:w="4795"/>
          </w:tcPr>
          <w:p>
            <w:pPr>
              <w:spacing w:line="240" w:lineRule="auto"/>
            </w:pPr>
            <w:r>
              <w:rPr>
                <w:color w:val="1F4E79"/>
                <w:sz w:val="20"/>
              </w:rPr>
              <w:t>4.2.1</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BRAKER branches</w:t>
            </w:r>
          </w:p>
        </w:tc>
        <w:tc>
          <w:tcPr>
            <w:tcW w:type="dxa" w:w="4795"/>
          </w:tcPr>
          <w:p>
            <w:pPr>
              <w:spacing w:line="240" w:lineRule="auto"/>
            </w:pPr>
            <w:r>
              <w:rPr>
                <w:color w:val="1F4E79"/>
                <w:sz w:val="20"/>
              </w:rPr>
              <w:t>3.0.7.6</w:t>
            </w:r>
          </w:p>
        </w:tc>
        <w:tc>
          <w:tcPr>
            <w:tcW w:type="dxa" w:w="4795"/>
          </w:tcPr>
          <w:p>
            <w:pPr>
              <w:spacing w:line="240" w:lineRule="auto"/>
            </w:pPr>
            <w:r>
              <w:rPr>
                <w:color w:val="1F4E79"/>
                <w:sz w:val="20"/>
              </w:rPr>
              <w:t>Shared BRAKER3 container for protein-only/combined evidence</w:t>
            </w:r>
          </w:p>
        </w:tc>
      </w:tr>
      <w:tr>
        <w:tc>
          <w:tcPr>
            <w:tcW w:type="dxa" w:w="4795"/>
          </w:tcPr>
          <w:p>
            <w:pPr>
              <w:spacing w:line="240" w:lineRule="auto"/>
            </w:pPr>
            <w:r>
              <w:rPr>
                <w:color w:val="1F4E79"/>
                <w:sz w:val="20"/>
              </w:rPr>
              <w:t>GALBA</w:t>
            </w:r>
          </w:p>
        </w:tc>
        <w:tc>
          <w:tcPr>
            <w:tcW w:type="dxa" w:w="4795"/>
          </w:tcPr>
          <w:p>
            <w:pPr>
              <w:spacing w:line="240" w:lineRule="auto"/>
            </w:pPr>
            <w:r>
              <w:rPr>
                <w:color w:val="1F4E79"/>
                <w:sz w:val="20"/>
              </w:rPr>
              <w:t>1.0.11.2</w:t>
            </w:r>
          </w:p>
        </w:tc>
        <w:tc>
          <w:tcPr>
            <w:tcW w:type="dxa" w:w="4795"/>
          </w:tcPr>
          <w:p>
            <w:pPr>
              <w:spacing w:line="240" w:lineRule="auto"/>
            </w:pPr>
            <w:r>
              <w:rPr>
                <w:color w:val="1F4E79"/>
                <w:sz w:val="20"/>
              </w:rPr>
              <w:t>Configured container tag</w:t>
            </w:r>
          </w:p>
        </w:tc>
      </w:tr>
      <w:tr>
        <w:tc>
          <w:tcPr>
            <w:tcW w:type="dxa" w:w="4795"/>
          </w:tcPr>
          <w:p>
            <w:pPr>
              <w:spacing w:line="240" w:lineRule="auto"/>
            </w:pPr>
            <w:r>
              <w:rPr>
                <w:color w:val="1F4E79"/>
                <w:sz w:val="20"/>
              </w:rPr>
              <w:t>AGAT</w:t>
            </w:r>
          </w:p>
        </w:tc>
        <w:tc>
          <w:tcPr>
            <w:tcW w:type="dxa" w:w="4795"/>
          </w:tcPr>
          <w:p>
            <w:pPr>
              <w:spacing w:line="240" w:lineRule="auto"/>
            </w:pPr>
            <w:r>
              <w:rPr>
                <w:color w:val="1F4E79"/>
                <w:sz w:val="20"/>
              </w:rPr>
              <w:t>1.6.1</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BLAST+</w:t>
            </w:r>
          </w:p>
        </w:tc>
        <w:tc>
          <w:tcPr>
            <w:tcW w:type="dxa" w:w="4795"/>
          </w:tcPr>
          <w:p>
            <w:pPr>
              <w:spacing w:line="240" w:lineRule="auto"/>
            </w:pPr>
            <w:r>
              <w:rPr>
                <w:color w:val="1F4E79"/>
                <w:sz w:val="20"/>
              </w:rPr>
              <w:t>2.17.0</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InterProScan</w:t>
            </w:r>
          </w:p>
        </w:tc>
        <w:tc>
          <w:tcPr>
            <w:tcW w:type="dxa" w:w="4795"/>
          </w:tcPr>
          <w:p>
            <w:pPr>
              <w:spacing w:line="240" w:lineRule="auto"/>
            </w:pPr>
            <w:r>
              <w:rPr>
                <w:color w:val="1F4E79"/>
                <w:sz w:val="20"/>
              </w:rPr>
              <w:t>5.59-91.0</w:t>
            </w:r>
          </w:p>
        </w:tc>
        <w:tc>
          <w:tcPr>
            <w:tcW w:type="dxa" w:w="4795"/>
          </w:tcPr>
          <w:p>
            <w:pPr>
              <w:spacing w:line="240" w:lineRule="auto"/>
            </w:pPr>
            <w:r>
              <w:rPr>
                <w:color w:val="1F4E79"/>
                <w:sz w:val="20"/>
              </w:rPr>
              <w:t>Configured container or supplied site image/data</w:t>
            </w:r>
          </w:p>
        </w:tc>
      </w:tr>
      <w:tr>
        <w:tc>
          <w:tcPr>
            <w:tcW w:type="dxa" w:w="4795"/>
          </w:tcPr>
          <w:p>
            <w:pPr>
              <w:spacing w:line="240" w:lineRule="auto"/>
            </w:pPr>
            <w:r>
              <w:rPr>
                <w:color w:val="1F4E79"/>
                <w:sz w:val="20"/>
              </w:rPr>
              <w:t>eggNOG-mapper</w:t>
            </w:r>
          </w:p>
        </w:tc>
        <w:tc>
          <w:tcPr>
            <w:tcW w:type="dxa" w:w="4795"/>
          </w:tcPr>
          <w:p>
            <w:pPr>
              <w:spacing w:line="240" w:lineRule="auto"/>
            </w:pPr>
            <w:r>
              <w:rPr>
                <w:color w:val="1F4E79"/>
                <w:sz w:val="20"/>
              </w:rPr>
              <w:t>2.1.12</w:t>
            </w:r>
          </w:p>
        </w:tc>
        <w:tc>
          <w:tcPr>
            <w:tcW w:type="dxa" w:w="4795"/>
          </w:tcPr>
          <w:p>
            <w:pPr>
              <w:spacing w:line="240" w:lineRule="auto"/>
            </w:pPr>
            <w:r>
              <w:rPr>
                <w:color w:val="1F4E79"/>
                <w:sz w:val="20"/>
              </w:rPr>
              <w:t>Configured container; supplied database</w:t>
            </w:r>
          </w:p>
        </w:tc>
      </w:tr>
      <w:tr>
        <w:tc>
          <w:tcPr>
            <w:tcW w:type="dxa" w:w="4795"/>
          </w:tcPr>
          <w:p>
            <w:pPr>
              <w:spacing w:line="240" w:lineRule="auto"/>
            </w:pPr>
            <w:r>
              <w:rPr>
                <w:color w:val="1F4E79"/>
                <w:sz w:val="20"/>
              </w:rPr>
              <w:t>OMArk</w:t>
            </w:r>
          </w:p>
        </w:tc>
        <w:tc>
          <w:tcPr>
            <w:tcW w:type="dxa" w:w="4795"/>
          </w:tcPr>
          <w:p>
            <w:pPr>
              <w:spacing w:line="240" w:lineRule="auto"/>
            </w:pPr>
            <w:r>
              <w:rPr>
                <w:color w:val="1F4E79"/>
                <w:sz w:val="20"/>
              </w:rPr>
              <w:t>0.3.1</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tRNAscan-SE</w:t>
            </w:r>
          </w:p>
        </w:tc>
        <w:tc>
          <w:tcPr>
            <w:tcW w:type="dxa" w:w="4795"/>
          </w:tcPr>
          <w:p>
            <w:pPr>
              <w:spacing w:line="240" w:lineRule="auto"/>
            </w:pPr>
            <w:r>
              <w:rPr>
                <w:color w:val="1F4E79"/>
                <w:sz w:val="20"/>
              </w:rPr>
              <w:t>2.0.12</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Infernal</w:t>
            </w:r>
          </w:p>
        </w:tc>
        <w:tc>
          <w:tcPr>
            <w:tcW w:type="dxa" w:w="4795"/>
          </w:tcPr>
          <w:p>
            <w:pPr>
              <w:spacing w:line="240" w:lineRule="auto"/>
            </w:pPr>
            <w:r>
              <w:rPr>
                <w:color w:val="1F4E79"/>
                <w:sz w:val="20"/>
              </w:rPr>
              <w:t>1.1.5</w:t>
            </w:r>
          </w:p>
        </w:tc>
        <w:tc>
          <w:tcPr>
            <w:tcW w:type="dxa" w:w="4795"/>
          </w:tcPr>
          <w:p>
            <w:pPr>
              <w:spacing w:line="240" w:lineRule="auto"/>
            </w:pPr>
            <w:r>
              <w:rPr>
                <w:color w:val="1F4E79"/>
                <w:sz w:val="20"/>
              </w:rPr>
              <w:t>Configured container</w:t>
            </w:r>
          </w:p>
        </w:tc>
      </w:tr>
      <w:tr>
        <w:tc>
          <w:tcPr>
            <w:tcW w:type="dxa" w:w="4795"/>
          </w:tcPr>
          <w:p>
            <w:pPr>
              <w:spacing w:line="240" w:lineRule="auto"/>
            </w:pPr>
            <w:r>
              <w:rPr>
                <w:color w:val="1F4E79"/>
                <w:sz w:val="20"/>
              </w:rPr>
              <w:t>Rfam</w:t>
            </w:r>
          </w:p>
        </w:tc>
        <w:tc>
          <w:tcPr>
            <w:tcW w:type="dxa" w:w="4795"/>
          </w:tcPr>
          <w:p>
            <w:pPr>
              <w:spacing w:line="240" w:lineRule="auto"/>
            </w:pPr>
            <w:r>
              <w:rPr>
                <w:color w:val="1F4E79"/>
                <w:sz w:val="20"/>
              </w:rPr>
              <w:t>15.0</w:t>
            </w:r>
          </w:p>
        </w:tc>
        <w:tc>
          <w:tcPr>
            <w:tcW w:type="dxa" w:w="4795"/>
          </w:tcPr>
          <w:p>
            <w:pPr>
              <w:spacing w:line="240" w:lineRule="auto"/>
            </w:pPr>
            <w:r>
              <w:rPr>
                <w:color w:val="1F4E79"/>
                <w:sz w:val="20"/>
              </w:rPr>
              <w:t>Default database release</w:t>
            </w:r>
          </w:p>
        </w:tc>
      </w:tr>
      <w:tr>
        <w:tc>
          <w:tcPr>
            <w:tcW w:type="dxa" w:w="4795"/>
          </w:tcPr>
          <w:p>
            <w:pPr>
              <w:spacing w:line="240" w:lineRule="auto"/>
            </w:pPr>
            <w:r>
              <w:rPr>
                <w:color w:val="1F4E79"/>
                <w:sz w:val="20"/>
              </w:rPr>
              <w:t>OMAmer database</w:t>
            </w:r>
          </w:p>
        </w:tc>
        <w:tc>
          <w:tcPr>
            <w:tcW w:type="dxa" w:w="4795"/>
          </w:tcPr>
          <w:p>
            <w:pPr>
              <w:spacing w:line="240" w:lineRule="auto"/>
            </w:pPr>
            <w:r>
              <w:rPr>
                <w:color w:val="1F4E79"/>
                <w:sz w:val="20"/>
              </w:rPr>
              <w:t>LUCA-v2.0.0</w:t>
            </w:r>
          </w:p>
        </w:tc>
        <w:tc>
          <w:tcPr>
            <w:tcW w:type="dxa" w:w="4795"/>
          </w:tcPr>
          <w:p>
            <w:pPr>
              <w:spacing w:line="240" w:lineRule="auto"/>
            </w:pPr>
            <w:r>
              <w:rPr>
                <w:color w:val="1F4E79"/>
                <w:sz w:val="20"/>
              </w:rPr>
              <w:t>Archived download; checksum configured</w:t>
            </w:r>
          </w:p>
        </w:tc>
      </w:tr>
      <w:tr>
        <w:tc>
          <w:tcPr>
            <w:tcW w:type="dxa" w:w="4795"/>
          </w:tcPr>
          <w:p>
            <w:pPr>
              <w:spacing w:line="240" w:lineRule="auto"/>
            </w:pPr>
            <w:r>
              <w:rPr>
                <w:color w:val="1F4E79"/>
                <w:sz w:val="20"/>
              </w:rPr>
              <w:t>STAR, VARUS, Barrnap, embedded dependencies</w:t>
            </w:r>
          </w:p>
        </w:tc>
        <w:tc>
          <w:tcPr>
            <w:tcW w:type="dxa" w:w="4795"/>
          </w:tcPr>
          <w:p>
            <w:pPr>
              <w:spacing w:line="240" w:lineRule="auto"/>
            </w:pPr>
            <w:r>
              <w:rPr>
                <w:color w:val="C65911"/>
              </w:rPr>
              <w:t>[À compléter]</w:t>
            </w:r>
          </w:p>
        </w:tc>
        <w:tc>
          <w:tcPr>
            <w:tcW w:type="dxa" w:w="4795"/>
          </w:tcPr>
          <w:p>
            <w:pPr>
              <w:spacing w:line="240" w:lineRule="auto"/>
            </w:pPr>
            <w:r>
              <w:rPr>
                <w:color w:val="1F4E79"/>
                <w:sz w:val="20"/>
              </w:rPr>
              <w:t>Report versions used by completed tasks</w:t>
            </w:r>
          </w:p>
        </w:tc>
      </w:tr>
    </w:tbl>
    <w:p>
      <w:pPr>
        <w:pStyle w:val="Heading1"/>
      </w:pPr>
      <w:r>
        <w:rPr>
          <w:color w:val="1F4E79"/>
        </w:rPr>
        <w:t>Additional supplementary references</w:t>
      </w:r>
    </w:p>
    <w:p>
      <w:r>
        <w:rPr>
          <w:color w:val="1F4E79"/>
        </w:rPr>
        <w:t xml:space="preserve">Camacho C et al. (2009) BLAST+: architecture and applications. BMC Bioinformatics 10:421. </w:t>
      </w:r>
      <w:hyperlink r:id="rId10">
        <w:r>
          <w:rPr>
            <w:color w:val="1F4E79"/>
            <w:u w:val="single"/>
          </w:rPr>
          <w:t>https://doi.org/10.1186/1471-2105-10-421</w:t>
        </w:r>
      </w:hyperlink>
    </w:p>
    <w:p>
      <w:r>
        <w:rPr>
          <w:color w:val="1F4E79"/>
        </w:rPr>
        <w:t xml:space="preserve">Dobin A et al. (2013) STAR: ultrafast universal RNA-seq aligner. Bioinformatics 29:15–21. </w:t>
      </w:r>
      <w:hyperlink r:id="rId11">
        <w:r>
          <w:rPr>
            <w:color w:val="1F4E79"/>
            <w:u w:val="single"/>
          </w:rPr>
          <w:t>https://doi.org/10.1093/bioinformatics/bts635</w:t>
        </w:r>
      </w:hyperlink>
    </w:p>
    <w:p>
      <w:r>
        <w:rPr>
          <w:color w:val="1F4E79"/>
        </w:rPr>
        <w:t xml:space="preserve">Eddy SR (2011) Accelerated profile HMM searches. PLoS Comput Biol 7:e1002195. </w:t>
      </w:r>
      <w:hyperlink r:id="rId12">
        <w:r>
          <w:rPr>
            <w:color w:val="1F4E79"/>
            <w:u w:val="single"/>
          </w:rPr>
          <w:t>https://doi.org/10.1371/journal.pcbi.1002195</w:t>
        </w:r>
      </w:hyperlink>
    </w:p>
    <w:p>
      <w:r>
        <w:rPr>
          <w:color w:val="1F4E79"/>
        </w:rPr>
        <w:t xml:space="preserve">Huerta-Cepas J, Serra F, Bork P (2016) ETE 3: reconstruction, analysis, and visualization of phylogenomic data. Mol Biol Evol 33:1635–1638. </w:t>
      </w:r>
      <w:hyperlink r:id="rId13">
        <w:r>
          <w:rPr>
            <w:color w:val="1F4E79"/>
            <w:u w:val="single"/>
          </w:rPr>
          <w:t>https://doi.org/10.1093/molbev/msw046</w:t>
        </w:r>
      </w:hyperlink>
    </w:p>
    <w:p>
      <w:r>
        <w:rPr>
          <w:color w:val="1F4E79"/>
        </w:rPr>
        <w:t xml:space="preserve">Li W, Godzik A (2006) Cd-hit: a fast program for clustering and comparing large sets of protein or nucleotide sequences. Bioinformatics 22:1658–1659. </w:t>
      </w:r>
      <w:hyperlink r:id="rId14">
        <w:r>
          <w:rPr>
            <w:color w:val="1F4E79"/>
            <w:u w:val="single"/>
          </w:rPr>
          <w:t>https://doi.org/10.1093/bioinformatics/btl158</w:t>
        </w:r>
      </w:hyperlink>
    </w:p>
    <w:p>
      <w:r>
        <w:rPr>
          <w:color w:val="1F4E79"/>
        </w:rPr>
        <w:t xml:space="preserve">Shen W et al. (2016) SeqKit: a cross-platform and ultrafast toolkit for FASTA/Q file manipulation. PLoS ONE 11:e0163962. </w:t>
      </w:r>
      <w:hyperlink r:id="rId15">
        <w:r>
          <w:rPr>
            <w:color w:val="1F4E79"/>
            <w:u w:val="single"/>
          </w:rPr>
          <w:t>https://doi.org/10.1371/journal.pone.0163962</w:t>
        </w:r>
      </w:hyperlink>
    </w:p>
    <w:p>
      <w:r>
        <w:rPr>
          <w:color w:val="1F4E79"/>
        </w:rPr>
        <w:t xml:space="preserve">Barrnap software documentation: </w:t>
      </w:r>
      <w:hyperlink r:id="rId16">
        <w:r>
          <w:rPr>
            <w:color w:val="1F4E79"/>
            <w:u w:val="single"/>
          </w:rPr>
          <w:t>https://github.com/tseemann/barrnap</w:t>
        </w:r>
      </w:hyperlink>
      <w:r>
        <w:rPr>
          <w:color w:val="1F4E79"/>
        </w:rPr>
        <w:t>.</w:t>
      </w:r>
    </w:p>
    <w:p>
      <w:r>
        <w:rPr>
          <w:color w:val="1F4E79"/>
        </w:rPr>
        <w:t xml:space="preserve">RepeatMasker software documentation: </w:t>
      </w:r>
      <w:hyperlink r:id="rId17">
        <w:r>
          <w:rPr>
            <w:color w:val="1F4E79"/>
            <w:u w:val="single"/>
          </w:rPr>
          <w:t>https://www.repeatmasker.org</w:t>
        </w:r>
      </w:hyperlink>
      <w:r>
        <w:rPr>
          <w:color w:val="1F4E79"/>
        </w:rPr>
        <w:t>.</w:t>
      </w:r>
    </w:p>
    <w:p>
      <w:r>
        <w:rPr>
          <w:color w:val="1F4E79"/>
        </w:rPr>
        <w:t xml:space="preserve">AGAT software documentation: </w:t>
      </w:r>
      <w:hyperlink r:id="rId18">
        <w:r>
          <w:rPr>
            <w:color w:val="1F4E79"/>
            <w:u w:val="single"/>
          </w:rPr>
          <w:t>https://github.com/NBISweden/AGAT</w:t>
        </w:r>
      </w:hyperlink>
      <w:r>
        <w:rPr>
          <w:color w:val="1F4E79"/>
        </w:rPr>
        <w:t>.</w:t>
      </w:r>
    </w:p>
    <w:p>
      <w:r>
        <w:rPr>
          <w:color w:val="1F4E79"/>
        </w:rPr>
        <w:t xml:space="preserve">VARUS software documentation: </w:t>
      </w:r>
      <w:hyperlink r:id="rId19">
        <w:r>
          <w:rPr>
            <w:color w:val="1F4E79"/>
            <w:u w:val="single"/>
          </w:rPr>
          <w:t>https://github.com/Gaius-Augustus/VARUS</w:t>
        </w:r>
      </w:hyperlink>
      <w:r>
        <w:rPr>
          <w:color w:val="1F4E79"/>
        </w:rPr>
        <w:t>.</w:t>
      </w:r>
    </w:p>
    <w:p>
      <w:r>
        <w:rPr>
          <w:color w:val="1F4E79"/>
        </w:rPr>
        <w:t xml:space="preserve">Rfam release archive: </w:t>
      </w:r>
      <w:hyperlink r:id="rId20">
        <w:r>
          <w:rPr>
            <w:color w:val="1F4E79"/>
            <w:u w:val="single"/>
          </w:rPr>
          <w:t>https://ftp.ebi.ac.uk/pub/databases/Rfam/15.0/</w:t>
        </w:r>
      </w:hyperlink>
      <w:r>
        <w:rPr>
          <w:color w:val="1F4E79"/>
        </w:rPr>
        <w:t>.</w:t>
      </w:r>
    </w:p>
    <w:p>
      <w:r>
        <w:rPr>
          <w:color w:val="1F4E79"/>
        </w:rPr>
        <w:t xml:space="preserve">NCBI assembly records: </w:t>
      </w:r>
      <w:hyperlink r:id="rId21">
        <w:r>
          <w:rPr>
            <w:color w:val="1F4E79"/>
            <w:u w:val="single"/>
          </w:rPr>
          <w:t>https://www.ncbi.nlm.nih.gov/datasets/genome/</w:t>
        </w:r>
      </w:hyperlink>
      <w:r>
        <w:rPr>
          <w:color w:val="1F4E79"/>
        </w:rPr>
        <w:t xml:space="preserve"> (accession versions in Table S1).</w:t>
      </w:r>
    </w:p>
    <w:sectPr w:rsidR="00FC693F" w:rsidRPr="0006063C" w:rsidSect="00034616">
      <w:pgSz w:w="16834" w:h="11909" w:orient="landscape"/>
      <w:pgMar w:top="1152" w:right="1224" w:bottom="1152" w:left="1224"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Times New Roman" w:hAnsi="Times New Roman"/>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86/1471-2105-10-421" TargetMode="External"/><Relationship Id="rId11" Type="http://schemas.openxmlformats.org/officeDocument/2006/relationships/hyperlink" Target="https://doi.org/10.1093/bioinformatics/bts635" TargetMode="External"/><Relationship Id="rId12" Type="http://schemas.openxmlformats.org/officeDocument/2006/relationships/hyperlink" Target="https://doi.org/10.1371/journal.pcbi.1002195" TargetMode="External"/><Relationship Id="rId13" Type="http://schemas.openxmlformats.org/officeDocument/2006/relationships/hyperlink" Target="https://doi.org/10.1093/molbev/msw046" TargetMode="External"/><Relationship Id="rId14" Type="http://schemas.openxmlformats.org/officeDocument/2006/relationships/hyperlink" Target="https://doi.org/10.1093/bioinformatics/btl158" TargetMode="External"/><Relationship Id="rId15" Type="http://schemas.openxmlformats.org/officeDocument/2006/relationships/hyperlink" Target="https://doi.org/10.1371/journal.pone.0163962" TargetMode="External"/><Relationship Id="rId16" Type="http://schemas.openxmlformats.org/officeDocument/2006/relationships/hyperlink" Target="https://github.com/tseemann/barrnap" TargetMode="External"/><Relationship Id="rId17" Type="http://schemas.openxmlformats.org/officeDocument/2006/relationships/hyperlink" Target="https://www.repeatmasker.org" TargetMode="External"/><Relationship Id="rId18" Type="http://schemas.openxmlformats.org/officeDocument/2006/relationships/hyperlink" Target="https://github.com/NBISweden/AGAT" TargetMode="External"/><Relationship Id="rId19" Type="http://schemas.openxmlformats.org/officeDocument/2006/relationships/hyperlink" Target="https://github.com/Gaius-Augustus/VARUS" TargetMode="External"/><Relationship Id="rId20" Type="http://schemas.openxmlformats.org/officeDocument/2006/relationships/hyperlink" Target="https://ftp.ebi.ac.uk/pub/databases/Rfam/15.0/" TargetMode="External"/><Relationship Id="rId21" Type="http://schemas.openxmlformats.org/officeDocument/2006/relationships/hyperlink" Target="https://www.ncbi.nlm.nih.gov/datasets/gen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AnnoGlyph: configurable parallel annotation of non-model eukaryotic genomes</dc:title>
  <dc:subject/>
  <dc:creator>Dorine Merlat et al.</dc:creator>
  <cp:keywords/>
  <dc:description>generated by python-docx</dc:description>
  <cp:lastModifiedBy/>
  <cp:revision>1</cp:revision>
  <dcterms:created xsi:type="dcterms:W3CDTF">2013-12-23T23:15:00Z</dcterms:created>
  <dcterms:modified xsi:type="dcterms:W3CDTF">2013-12-23T23:15:00Z</dcterms:modified>
  <cp:category/>
</cp:coreProperties>
</file>