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rbnfzcfml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ドリームプロジェクトジャパン株式会社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w0e1r6ban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決裁権限規程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0ym7iko83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第1条（目的）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本規程は、当社における支出・契約等の業務に関して、適切な意思決定および内部統制を確保するため、役職者ごとの決裁権限を定めるものである。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x9ye3z69y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第2条（適用範囲）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本規程は、物品購入、業務委託、契約締結、資産取得等、会社の支出または義務を伴う一切の行為に適用する。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vilvc4ha2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第3条（決裁権限）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3607291346993"/>
        <w:gridCol w:w="2578.029267964569"/>
        <w:gridCol w:w="1609.461262617133"/>
        <w:gridCol w:w="2534.6605513072213"/>
        <w:tblGridChange w:id="0">
          <w:tblGrid>
            <w:gridCol w:w="2303.3607291346993"/>
            <w:gridCol w:w="2578.029267964569"/>
            <w:gridCol w:w="1609.461262617133"/>
            <w:gridCol w:w="2534.6605513072213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決裁金額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決裁者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日常備品・ソフトの購入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～30万円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常勤役員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文具・消耗品・PCなど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高額設備・契約等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～300万円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代表取締役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設備投資、業務委託等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戦略的支出・契約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300万円超～1,000万円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取締役会承認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サービス導入、外注等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特別案件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1,000万円超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取締役会承認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重要案件・資産取得等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8py8sdm2d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第4条（例外規定）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やむを得ない事情により、決裁者が不在の場合は、直上位者が決裁することができる。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jzb7gh1io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第5条（附則）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本規程は、令和7年8月1日より施行する。</w:t>
        <w:br w:type="textWrapping"/>
        <w:t xml:space="preserve">必要に応じて、取締役会の承認をもって改定することができる。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