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4D6B" w14:textId="666FA920" w:rsidR="00D85A0F" w:rsidRPr="0013770A" w:rsidRDefault="00C3330A" w:rsidP="001B5F31">
      <w:pPr>
        <w:pStyle w:val="NoSpacing"/>
        <w:jc w:val="center"/>
        <w:rPr>
          <w:b/>
          <w:bCs/>
          <w:sz w:val="24"/>
          <w:szCs w:val="24"/>
        </w:rPr>
      </w:pPr>
      <w:bookmarkStart w:id="0" w:name="_Hlk127341698"/>
      <w:r w:rsidRPr="0013770A">
        <w:rPr>
          <w:b/>
          <w:bCs/>
          <w:sz w:val="24"/>
          <w:szCs w:val="24"/>
        </w:rPr>
        <w:t>Supplement F</w:t>
      </w:r>
    </w:p>
    <w:p w14:paraId="6998F9D4" w14:textId="22EDCE4F" w:rsidR="00D85A0F" w:rsidRPr="0013770A" w:rsidRDefault="00D85A0F" w:rsidP="001B5F31">
      <w:pPr>
        <w:pStyle w:val="NoSpacing"/>
        <w:jc w:val="center"/>
        <w:rPr>
          <w:b/>
          <w:bCs/>
          <w:sz w:val="24"/>
          <w:szCs w:val="24"/>
        </w:rPr>
      </w:pPr>
      <w:r w:rsidRPr="0013770A">
        <w:rPr>
          <w:b/>
          <w:bCs/>
          <w:sz w:val="24"/>
          <w:szCs w:val="24"/>
        </w:rPr>
        <w:t>C</w:t>
      </w:r>
      <w:r w:rsidR="008F615F">
        <w:rPr>
          <w:b/>
          <w:bCs/>
          <w:sz w:val="24"/>
          <w:szCs w:val="24"/>
        </w:rPr>
        <w:t>hecklist of</w:t>
      </w:r>
      <w:r w:rsidRPr="0013770A">
        <w:rPr>
          <w:b/>
          <w:bCs/>
          <w:sz w:val="24"/>
          <w:szCs w:val="24"/>
        </w:rPr>
        <w:t xml:space="preserve"> </w:t>
      </w:r>
      <w:r w:rsidR="008F615F">
        <w:rPr>
          <w:b/>
          <w:bCs/>
          <w:sz w:val="24"/>
          <w:szCs w:val="24"/>
        </w:rPr>
        <w:t xml:space="preserve">Common </w:t>
      </w:r>
      <w:r w:rsidRPr="0013770A">
        <w:rPr>
          <w:b/>
          <w:bCs/>
          <w:sz w:val="24"/>
          <w:szCs w:val="24"/>
        </w:rPr>
        <w:t>I</w:t>
      </w:r>
      <w:r w:rsidR="008F615F">
        <w:rPr>
          <w:b/>
          <w:bCs/>
          <w:sz w:val="24"/>
          <w:szCs w:val="24"/>
        </w:rPr>
        <w:t>ndexing</w:t>
      </w:r>
      <w:r w:rsidRPr="0013770A">
        <w:rPr>
          <w:b/>
          <w:bCs/>
          <w:sz w:val="24"/>
          <w:szCs w:val="24"/>
        </w:rPr>
        <w:t xml:space="preserve"> E</w:t>
      </w:r>
      <w:r w:rsidR="008F615F">
        <w:rPr>
          <w:b/>
          <w:bCs/>
          <w:sz w:val="24"/>
          <w:szCs w:val="24"/>
        </w:rPr>
        <w:t>rrors</w:t>
      </w:r>
    </w:p>
    <w:bookmarkEnd w:id="0"/>
    <w:p w14:paraId="7D72184E" w14:textId="77777777" w:rsidR="00C3330A" w:rsidRPr="00C3330A" w:rsidRDefault="00C3330A" w:rsidP="00C3330A">
      <w:pPr>
        <w:pStyle w:val="NoSpacing"/>
        <w:rPr>
          <w:sz w:val="24"/>
          <w:szCs w:val="24"/>
        </w:rPr>
      </w:pPr>
    </w:p>
    <w:p w14:paraId="41609277" w14:textId="23603805" w:rsidR="00C3330A" w:rsidRDefault="00D85A0F" w:rsidP="00355B02">
      <w:pPr>
        <w:pStyle w:val="NoSpacing"/>
        <w:rPr>
          <w:sz w:val="24"/>
          <w:szCs w:val="24"/>
        </w:rPr>
      </w:pPr>
      <w:r w:rsidRPr="00C3330A">
        <w:rPr>
          <w:sz w:val="24"/>
          <w:szCs w:val="24"/>
        </w:rPr>
        <w:t xml:space="preserve">It may be helpful to use this checklist to evaluate your own indexing. </w:t>
      </w:r>
    </w:p>
    <w:p w14:paraId="3D51CF57" w14:textId="77777777" w:rsidR="00355B02" w:rsidRPr="00C3330A" w:rsidRDefault="00355B02" w:rsidP="00355B02">
      <w:pPr>
        <w:pStyle w:val="NoSpacing"/>
        <w:rPr>
          <w:sz w:val="24"/>
          <w:szCs w:val="24"/>
        </w:rPr>
      </w:pPr>
    </w:p>
    <w:p w14:paraId="24246AD3" w14:textId="6CABC15B" w:rsidR="00D85A0F" w:rsidRDefault="00D85A0F" w:rsidP="00A129DB">
      <w:pPr>
        <w:pStyle w:val="NoSpacing"/>
        <w:numPr>
          <w:ilvl w:val="0"/>
          <w:numId w:val="1"/>
        </w:numPr>
        <w:rPr>
          <w:sz w:val="24"/>
          <w:szCs w:val="24"/>
        </w:rPr>
      </w:pPr>
      <w:r w:rsidRPr="00C3330A">
        <w:rPr>
          <w:sz w:val="24"/>
          <w:szCs w:val="24"/>
        </w:rPr>
        <w:t xml:space="preserve">Failing to </w:t>
      </w:r>
      <w:r w:rsidR="00A05922">
        <w:rPr>
          <w:sz w:val="24"/>
          <w:szCs w:val="24"/>
        </w:rPr>
        <w:t>annotate</w:t>
      </w:r>
      <w:r w:rsidRPr="00C3330A">
        <w:rPr>
          <w:sz w:val="24"/>
          <w:szCs w:val="24"/>
        </w:rPr>
        <w:t xml:space="preserve"> a significant concept.</w:t>
      </w:r>
    </w:p>
    <w:p w14:paraId="1425BFE4" w14:textId="694FEB35" w:rsidR="00062EDF" w:rsidRDefault="00EE13E0" w:rsidP="00062EDF">
      <w:pPr>
        <w:pStyle w:val="NoSpacing"/>
        <w:numPr>
          <w:ilvl w:val="1"/>
          <w:numId w:val="1"/>
        </w:numPr>
        <w:rPr>
          <w:sz w:val="24"/>
          <w:szCs w:val="24"/>
        </w:rPr>
      </w:pPr>
      <w:r>
        <w:rPr>
          <w:sz w:val="24"/>
          <w:szCs w:val="24"/>
        </w:rPr>
        <w:t xml:space="preserve">Not annotating </w:t>
      </w:r>
      <w:r w:rsidRPr="00EE13E0">
        <w:rPr>
          <w:b/>
          <w:bCs/>
          <w:sz w:val="24"/>
          <w:szCs w:val="24"/>
        </w:rPr>
        <w:t>hops</w:t>
      </w:r>
      <w:r w:rsidR="00E0734F">
        <w:rPr>
          <w:sz w:val="24"/>
          <w:szCs w:val="24"/>
        </w:rPr>
        <w:t xml:space="preserve"> </w:t>
      </w:r>
      <w:r>
        <w:rPr>
          <w:sz w:val="24"/>
          <w:szCs w:val="24"/>
        </w:rPr>
        <w:t>in</w:t>
      </w:r>
      <w:r w:rsidR="00062EDF">
        <w:rPr>
          <w:sz w:val="24"/>
          <w:szCs w:val="24"/>
        </w:rPr>
        <w:t xml:space="preserve"> “</w:t>
      </w:r>
      <w:commentRangeStart w:id="1"/>
      <w:r w:rsidR="00062EDF" w:rsidRPr="00062EDF">
        <w:rPr>
          <w:sz w:val="24"/>
          <w:szCs w:val="24"/>
        </w:rPr>
        <w:t>AHR agonistic effects of 6-PN contribute to potential beneficial effects of Hops extract</w:t>
      </w:r>
      <w:commentRangeEnd w:id="1"/>
      <w:r w:rsidR="006373EE">
        <w:rPr>
          <w:rStyle w:val="CommentReference"/>
        </w:rPr>
        <w:commentReference w:id="1"/>
      </w:r>
      <w:r w:rsidR="00062EDF">
        <w:rPr>
          <w:sz w:val="24"/>
          <w:szCs w:val="24"/>
        </w:rPr>
        <w:t>”</w:t>
      </w:r>
    </w:p>
    <w:p w14:paraId="1A527953" w14:textId="65B3129B" w:rsidR="00062EDF" w:rsidRDefault="00EE13E0" w:rsidP="00062EDF">
      <w:pPr>
        <w:pStyle w:val="NoSpacing"/>
        <w:numPr>
          <w:ilvl w:val="1"/>
          <w:numId w:val="1"/>
        </w:numPr>
        <w:rPr>
          <w:sz w:val="24"/>
          <w:szCs w:val="24"/>
        </w:rPr>
      </w:pPr>
      <w:r>
        <w:rPr>
          <w:sz w:val="24"/>
          <w:szCs w:val="24"/>
        </w:rPr>
        <w:t xml:space="preserve">Not annotating </w:t>
      </w:r>
      <w:r w:rsidRPr="00CD187A">
        <w:rPr>
          <w:b/>
          <w:bCs/>
          <w:sz w:val="24"/>
          <w:szCs w:val="24"/>
        </w:rPr>
        <w:t>rats</w:t>
      </w:r>
      <w:r w:rsidR="00CD187A">
        <w:rPr>
          <w:sz w:val="24"/>
          <w:szCs w:val="24"/>
        </w:rPr>
        <w:t xml:space="preserve"> in </w:t>
      </w:r>
      <w:r w:rsidR="00062EDF">
        <w:rPr>
          <w:sz w:val="24"/>
          <w:szCs w:val="24"/>
        </w:rPr>
        <w:t>“</w:t>
      </w:r>
      <w:r w:rsidR="004452A8">
        <w:rPr>
          <w:sz w:val="24"/>
          <w:szCs w:val="24"/>
        </w:rPr>
        <w:t xml:space="preserve">… </w:t>
      </w:r>
      <w:r w:rsidR="004452A8" w:rsidRPr="004452A8">
        <w:rPr>
          <w:sz w:val="24"/>
          <w:szCs w:val="24"/>
        </w:rPr>
        <w:t>This study assessed whether the ABP or fenofibrate administration for 28 days interferes in lipid, glucose, or inflammatory changes in the enterohepatic axis of rats fed HFD</w:t>
      </w:r>
      <w:r w:rsidR="004452A8">
        <w:rPr>
          <w:sz w:val="24"/>
          <w:szCs w:val="24"/>
        </w:rPr>
        <w:t xml:space="preserve"> …</w:t>
      </w:r>
      <w:r w:rsidR="00062EDF">
        <w:rPr>
          <w:sz w:val="24"/>
          <w:szCs w:val="24"/>
        </w:rPr>
        <w:t>”</w:t>
      </w:r>
    </w:p>
    <w:p w14:paraId="72C1AE60" w14:textId="577DF3F6" w:rsidR="00234F91" w:rsidRPr="00C3330A" w:rsidRDefault="00234F91" w:rsidP="00062EDF">
      <w:pPr>
        <w:pStyle w:val="NoSpacing"/>
        <w:numPr>
          <w:ilvl w:val="1"/>
          <w:numId w:val="1"/>
        </w:numPr>
        <w:rPr>
          <w:sz w:val="24"/>
          <w:szCs w:val="24"/>
        </w:rPr>
      </w:pPr>
      <w:r>
        <w:rPr>
          <w:sz w:val="24"/>
          <w:szCs w:val="24"/>
        </w:rPr>
        <w:t xml:space="preserve">Not annotating </w:t>
      </w:r>
      <w:r w:rsidRPr="00234F91">
        <w:rPr>
          <w:b/>
          <w:bCs/>
          <w:sz w:val="24"/>
          <w:szCs w:val="24"/>
        </w:rPr>
        <w:t>antibiotic residues</w:t>
      </w:r>
      <w:r>
        <w:rPr>
          <w:sz w:val="24"/>
          <w:szCs w:val="24"/>
        </w:rPr>
        <w:t xml:space="preserve"> in “</w:t>
      </w:r>
      <w:commentRangeStart w:id="2"/>
      <w:r w:rsidR="00134542" w:rsidRPr="00134542">
        <w:rPr>
          <w:sz w:val="24"/>
          <w:szCs w:val="24"/>
        </w:rPr>
        <w:t>To explore the responses of soil microbial communities to concentration gradients of antibiotic residues in soil, 32 soil samples were collected from a typical greenhouse vegetable production base</w:t>
      </w:r>
      <w:commentRangeEnd w:id="2"/>
      <w:r w:rsidR="00134542">
        <w:rPr>
          <w:rStyle w:val="CommentReference"/>
        </w:rPr>
        <w:commentReference w:id="2"/>
      </w:r>
      <w:r w:rsidR="00134542">
        <w:rPr>
          <w:sz w:val="24"/>
          <w:szCs w:val="24"/>
        </w:rPr>
        <w:t xml:space="preserve"> …</w:t>
      </w:r>
      <w:r>
        <w:rPr>
          <w:sz w:val="24"/>
          <w:szCs w:val="24"/>
        </w:rPr>
        <w:t>”</w:t>
      </w:r>
    </w:p>
    <w:p w14:paraId="2422EC42" w14:textId="6F466B18" w:rsidR="00D85A0F" w:rsidRDefault="00A05922" w:rsidP="00A129DB">
      <w:pPr>
        <w:pStyle w:val="NoSpacing"/>
        <w:numPr>
          <w:ilvl w:val="0"/>
          <w:numId w:val="1"/>
        </w:numPr>
        <w:rPr>
          <w:sz w:val="24"/>
          <w:szCs w:val="24"/>
        </w:rPr>
      </w:pPr>
      <w:r>
        <w:rPr>
          <w:sz w:val="24"/>
          <w:szCs w:val="24"/>
        </w:rPr>
        <w:t>Annotating</w:t>
      </w:r>
      <w:r w:rsidR="00D85A0F" w:rsidRPr="00C3330A">
        <w:rPr>
          <w:sz w:val="24"/>
          <w:szCs w:val="24"/>
        </w:rPr>
        <w:t xml:space="preserve"> a concept with an inappropriate term.</w:t>
      </w:r>
    </w:p>
    <w:p w14:paraId="7B87676F" w14:textId="0A4DF93F" w:rsidR="00CD7C25" w:rsidRDefault="00CD7C25" w:rsidP="00CD7C25">
      <w:pPr>
        <w:pStyle w:val="NoSpacing"/>
        <w:numPr>
          <w:ilvl w:val="1"/>
          <w:numId w:val="1"/>
        </w:numPr>
        <w:rPr>
          <w:sz w:val="24"/>
          <w:szCs w:val="24"/>
        </w:rPr>
      </w:pPr>
      <w:r>
        <w:rPr>
          <w:sz w:val="24"/>
          <w:szCs w:val="24"/>
        </w:rPr>
        <w:t>Annotating a term which is too broad.</w:t>
      </w:r>
    </w:p>
    <w:p w14:paraId="187BAB12" w14:textId="6C5FACB1" w:rsidR="00CD7C25" w:rsidRDefault="00CD7C25" w:rsidP="00CD7C25">
      <w:pPr>
        <w:pStyle w:val="NoSpacing"/>
        <w:numPr>
          <w:ilvl w:val="1"/>
          <w:numId w:val="1"/>
        </w:numPr>
        <w:rPr>
          <w:sz w:val="24"/>
          <w:szCs w:val="24"/>
        </w:rPr>
      </w:pPr>
      <w:r>
        <w:rPr>
          <w:sz w:val="24"/>
          <w:szCs w:val="24"/>
        </w:rPr>
        <w:t>Annotating a term which is too specific.</w:t>
      </w:r>
    </w:p>
    <w:p w14:paraId="75CA1AC3" w14:textId="7FE348A3" w:rsidR="00EE13E0" w:rsidRDefault="00CD7C25" w:rsidP="00EE13E0">
      <w:pPr>
        <w:pStyle w:val="NoSpacing"/>
        <w:numPr>
          <w:ilvl w:val="1"/>
          <w:numId w:val="1"/>
        </w:numPr>
        <w:rPr>
          <w:sz w:val="24"/>
          <w:szCs w:val="24"/>
        </w:rPr>
      </w:pPr>
      <w:r>
        <w:rPr>
          <w:sz w:val="24"/>
          <w:szCs w:val="24"/>
        </w:rPr>
        <w:t>Annotating a term which is in the wrong hierarchical context.</w:t>
      </w:r>
    </w:p>
    <w:p w14:paraId="358D3385" w14:textId="2AAE595C" w:rsidR="00982799" w:rsidRDefault="00CD187A" w:rsidP="00982799">
      <w:pPr>
        <w:pStyle w:val="NoSpacing"/>
        <w:numPr>
          <w:ilvl w:val="2"/>
          <w:numId w:val="1"/>
        </w:numPr>
        <w:rPr>
          <w:sz w:val="24"/>
          <w:szCs w:val="24"/>
        </w:rPr>
      </w:pPr>
      <w:r w:rsidRPr="00CD187A">
        <w:rPr>
          <w:sz w:val="24"/>
          <w:szCs w:val="24"/>
        </w:rPr>
        <w:t xml:space="preserve">Annotating </w:t>
      </w:r>
      <w:r w:rsidRPr="00CD187A">
        <w:rPr>
          <w:b/>
          <w:bCs/>
          <w:sz w:val="24"/>
          <w:szCs w:val="24"/>
        </w:rPr>
        <w:t>nutrient transport</w:t>
      </w:r>
      <w:r w:rsidRPr="00CD187A">
        <w:rPr>
          <w:sz w:val="24"/>
          <w:szCs w:val="24"/>
        </w:rPr>
        <w:t xml:space="preserve"> (BTs </w:t>
      </w:r>
      <w:r w:rsidRPr="00CD187A">
        <w:rPr>
          <w:b/>
          <w:bCs/>
          <w:sz w:val="24"/>
          <w:szCs w:val="24"/>
        </w:rPr>
        <w:t>nutrition physiology</w:t>
      </w:r>
      <w:r w:rsidRPr="00CD187A">
        <w:rPr>
          <w:sz w:val="24"/>
          <w:szCs w:val="24"/>
        </w:rPr>
        <w:t xml:space="preserve"> and </w:t>
      </w:r>
      <w:r w:rsidRPr="00CD187A">
        <w:rPr>
          <w:b/>
          <w:bCs/>
          <w:sz w:val="24"/>
          <w:szCs w:val="24"/>
        </w:rPr>
        <w:t>physiological transport</w:t>
      </w:r>
      <w:r>
        <w:rPr>
          <w:sz w:val="24"/>
          <w:szCs w:val="24"/>
        </w:rPr>
        <w:t xml:space="preserve">) </w:t>
      </w:r>
      <w:r w:rsidRPr="00CD187A">
        <w:rPr>
          <w:sz w:val="24"/>
          <w:szCs w:val="24"/>
        </w:rPr>
        <w:t>in “</w:t>
      </w:r>
      <w:r w:rsidR="00134542">
        <w:rPr>
          <w:sz w:val="24"/>
          <w:szCs w:val="24"/>
        </w:rPr>
        <w:t xml:space="preserve">… </w:t>
      </w:r>
      <w:commentRangeStart w:id="3"/>
      <w:r w:rsidR="00134542" w:rsidRPr="00134542">
        <w:rPr>
          <w:sz w:val="24"/>
          <w:szCs w:val="24"/>
        </w:rPr>
        <w:t>This study makes a first attempt to quantify the nutrient transport linkages between the mainstream part of the Mekong River and Tonle Sap Lake, and to estimate the nutrient fluxes in the lower reach of the Mekong River at Kratie and Chroy Changva</w:t>
      </w:r>
      <w:r w:rsidR="00134542">
        <w:rPr>
          <w:sz w:val="24"/>
          <w:szCs w:val="24"/>
        </w:rPr>
        <w:t xml:space="preserve"> </w:t>
      </w:r>
      <w:commentRangeEnd w:id="3"/>
      <w:r w:rsidR="00134542">
        <w:rPr>
          <w:rStyle w:val="CommentReference"/>
        </w:rPr>
        <w:commentReference w:id="3"/>
      </w:r>
      <w:r w:rsidR="00134542">
        <w:rPr>
          <w:sz w:val="24"/>
          <w:szCs w:val="24"/>
        </w:rPr>
        <w:t>…</w:t>
      </w:r>
      <w:r w:rsidR="00134542" w:rsidRPr="00134542">
        <w:rPr>
          <w:sz w:val="24"/>
          <w:szCs w:val="24"/>
        </w:rPr>
        <w:t xml:space="preserve"> </w:t>
      </w:r>
      <w:r w:rsidRPr="00CD187A">
        <w:rPr>
          <w:sz w:val="24"/>
          <w:szCs w:val="24"/>
        </w:rPr>
        <w:t>”</w:t>
      </w:r>
    </w:p>
    <w:p w14:paraId="5B69763A" w14:textId="5A1730C7" w:rsidR="00D24804" w:rsidRPr="00982799" w:rsidRDefault="00D24804" w:rsidP="00982799">
      <w:pPr>
        <w:pStyle w:val="NoSpacing"/>
        <w:numPr>
          <w:ilvl w:val="2"/>
          <w:numId w:val="1"/>
        </w:numPr>
        <w:rPr>
          <w:sz w:val="24"/>
          <w:szCs w:val="24"/>
        </w:rPr>
      </w:pPr>
      <w:r>
        <w:rPr>
          <w:sz w:val="24"/>
          <w:szCs w:val="24"/>
        </w:rPr>
        <w:t xml:space="preserve">Annotating </w:t>
      </w:r>
      <w:r w:rsidRPr="00D24804">
        <w:rPr>
          <w:b/>
          <w:bCs/>
          <w:sz w:val="24"/>
          <w:szCs w:val="24"/>
        </w:rPr>
        <w:t xml:space="preserve">biosynthesis </w:t>
      </w:r>
      <w:r>
        <w:rPr>
          <w:sz w:val="24"/>
          <w:szCs w:val="24"/>
        </w:rPr>
        <w:t xml:space="preserve">(BT </w:t>
      </w:r>
      <w:r w:rsidRPr="00D24804">
        <w:rPr>
          <w:b/>
          <w:bCs/>
          <w:sz w:val="24"/>
          <w:szCs w:val="24"/>
        </w:rPr>
        <w:t>metabolism</w:t>
      </w:r>
      <w:r>
        <w:rPr>
          <w:sz w:val="24"/>
          <w:szCs w:val="24"/>
        </w:rPr>
        <w:t xml:space="preserve">) in </w:t>
      </w:r>
      <w:r w:rsidR="00B42110" w:rsidRPr="00B42110">
        <w:rPr>
          <w:sz w:val="24"/>
          <w:szCs w:val="24"/>
        </w:rPr>
        <w:t xml:space="preserve">"... </w:t>
      </w:r>
      <w:commentRangeStart w:id="4"/>
      <w:r w:rsidR="00B42110" w:rsidRPr="00B42110">
        <w:rPr>
          <w:sz w:val="24"/>
          <w:szCs w:val="24"/>
        </w:rPr>
        <w:t xml:space="preserve">in this study we report </w:t>
      </w:r>
      <w:r w:rsidR="00B42110">
        <w:rPr>
          <w:sz w:val="24"/>
          <w:szCs w:val="24"/>
        </w:rPr>
        <w:t xml:space="preserve">… </w:t>
      </w:r>
      <w:r w:rsidR="00B42110" w:rsidRPr="00B42110">
        <w:rPr>
          <w:sz w:val="24"/>
          <w:szCs w:val="24"/>
        </w:rPr>
        <w:t xml:space="preserve">the synthesis of copper nanoparticles from seed extract of Vitis vinifera. The synthesis of copper nanoparticles from plant extracts showed promising results against biological and cytotoxic applications </w:t>
      </w:r>
      <w:commentRangeEnd w:id="4"/>
      <w:r w:rsidR="00B34489">
        <w:rPr>
          <w:rStyle w:val="CommentReference"/>
        </w:rPr>
        <w:commentReference w:id="4"/>
      </w:r>
      <w:r w:rsidR="00B42110" w:rsidRPr="00B42110">
        <w:rPr>
          <w:sz w:val="24"/>
          <w:szCs w:val="24"/>
        </w:rPr>
        <w:t>..."</w:t>
      </w:r>
    </w:p>
    <w:p w14:paraId="2A3686DE" w14:textId="5614215C" w:rsidR="00CD7C25" w:rsidRDefault="00CD7C25" w:rsidP="00CD7C25">
      <w:pPr>
        <w:pStyle w:val="NoSpacing"/>
        <w:numPr>
          <w:ilvl w:val="1"/>
          <w:numId w:val="1"/>
        </w:numPr>
        <w:rPr>
          <w:sz w:val="24"/>
          <w:szCs w:val="24"/>
        </w:rPr>
      </w:pPr>
      <w:r>
        <w:rPr>
          <w:sz w:val="24"/>
          <w:szCs w:val="24"/>
        </w:rPr>
        <w:t>Annotating a term which is inconsistent with scope notes or definitions.</w:t>
      </w:r>
    </w:p>
    <w:p w14:paraId="5D50AF05" w14:textId="4C3C71C3" w:rsidR="00982799" w:rsidRPr="00C3330A" w:rsidRDefault="00982799" w:rsidP="00982799">
      <w:pPr>
        <w:pStyle w:val="NoSpacing"/>
        <w:numPr>
          <w:ilvl w:val="2"/>
          <w:numId w:val="1"/>
        </w:numPr>
        <w:rPr>
          <w:sz w:val="24"/>
          <w:szCs w:val="24"/>
        </w:rPr>
      </w:pPr>
      <w:r>
        <w:rPr>
          <w:sz w:val="24"/>
          <w:szCs w:val="24"/>
        </w:rPr>
        <w:t xml:space="preserve">Annotating </w:t>
      </w:r>
      <w:r w:rsidRPr="00982799">
        <w:rPr>
          <w:b/>
          <w:bCs/>
          <w:sz w:val="24"/>
          <w:szCs w:val="24"/>
        </w:rPr>
        <w:t>postpartum period</w:t>
      </w:r>
      <w:r>
        <w:rPr>
          <w:sz w:val="24"/>
          <w:szCs w:val="24"/>
        </w:rPr>
        <w:t xml:space="preserve"> (Scope Note: </w:t>
      </w:r>
      <w:r w:rsidRPr="00982799">
        <w:rPr>
          <w:sz w:val="24"/>
          <w:szCs w:val="24"/>
        </w:rPr>
        <w:t xml:space="preserve">Use for humans; For animals USE </w:t>
      </w:r>
      <w:r w:rsidRPr="00982799">
        <w:rPr>
          <w:b/>
          <w:bCs/>
          <w:sz w:val="24"/>
          <w:szCs w:val="24"/>
        </w:rPr>
        <w:t>postpartum interval</w:t>
      </w:r>
      <w:r>
        <w:rPr>
          <w:sz w:val="24"/>
          <w:szCs w:val="24"/>
        </w:rPr>
        <w:t xml:space="preserve">) </w:t>
      </w:r>
      <w:r w:rsidR="00EE70AD">
        <w:rPr>
          <w:sz w:val="24"/>
          <w:szCs w:val="24"/>
        </w:rPr>
        <w:t>in</w:t>
      </w:r>
      <w:r>
        <w:rPr>
          <w:sz w:val="24"/>
          <w:szCs w:val="24"/>
        </w:rPr>
        <w:t xml:space="preserve"> “</w:t>
      </w:r>
      <w:r w:rsidR="008060F5">
        <w:rPr>
          <w:sz w:val="24"/>
          <w:szCs w:val="24"/>
        </w:rPr>
        <w:t xml:space="preserve">… </w:t>
      </w:r>
      <w:commentRangeStart w:id="5"/>
      <w:r w:rsidR="008060F5" w:rsidRPr="008060F5">
        <w:rPr>
          <w:sz w:val="24"/>
          <w:szCs w:val="24"/>
        </w:rPr>
        <w:t xml:space="preserve">The results </w:t>
      </w:r>
      <w:r w:rsidR="008060F5">
        <w:rPr>
          <w:sz w:val="24"/>
          <w:szCs w:val="24"/>
        </w:rPr>
        <w:t>…</w:t>
      </w:r>
      <w:r w:rsidR="008060F5" w:rsidRPr="008060F5">
        <w:rPr>
          <w:sz w:val="24"/>
          <w:szCs w:val="24"/>
        </w:rPr>
        <w:t xml:space="preserve"> demonstrate that during the postpartum period, lactating mares have some similarities in follicular and hormonal profiles around emergence and deviation when compared with non-postpartum cycling mares</w:t>
      </w:r>
      <w:r w:rsidR="008060F5">
        <w:rPr>
          <w:sz w:val="24"/>
          <w:szCs w:val="24"/>
        </w:rPr>
        <w:t xml:space="preserve"> </w:t>
      </w:r>
      <w:commentRangeEnd w:id="5"/>
      <w:r w:rsidR="008060F5">
        <w:rPr>
          <w:rStyle w:val="CommentReference"/>
        </w:rPr>
        <w:commentReference w:id="5"/>
      </w:r>
      <w:r w:rsidR="008060F5">
        <w:rPr>
          <w:sz w:val="24"/>
          <w:szCs w:val="24"/>
        </w:rPr>
        <w:t>…</w:t>
      </w:r>
      <w:r>
        <w:rPr>
          <w:sz w:val="24"/>
          <w:szCs w:val="24"/>
        </w:rPr>
        <w:t>”</w:t>
      </w:r>
    </w:p>
    <w:p w14:paraId="6ACE5E04" w14:textId="71212D3D" w:rsidR="00D85A0F" w:rsidRDefault="00A05922" w:rsidP="00A129DB">
      <w:pPr>
        <w:pStyle w:val="NoSpacing"/>
        <w:numPr>
          <w:ilvl w:val="0"/>
          <w:numId w:val="1"/>
        </w:numPr>
        <w:rPr>
          <w:sz w:val="24"/>
          <w:szCs w:val="24"/>
        </w:rPr>
      </w:pPr>
      <w:r>
        <w:rPr>
          <w:sz w:val="24"/>
          <w:szCs w:val="24"/>
        </w:rPr>
        <w:t>Annotating</w:t>
      </w:r>
      <w:r w:rsidR="00D85A0F" w:rsidRPr="00C3330A">
        <w:rPr>
          <w:sz w:val="24"/>
          <w:szCs w:val="24"/>
        </w:rPr>
        <w:t xml:space="preserve"> a concept that should be ignored</w:t>
      </w:r>
      <w:r w:rsidR="00134542">
        <w:rPr>
          <w:sz w:val="24"/>
          <w:szCs w:val="24"/>
        </w:rPr>
        <w:t xml:space="preserve"> (e.g., information provided as background information or reference standards)</w:t>
      </w:r>
      <w:r w:rsidR="00D85A0F" w:rsidRPr="00C3330A">
        <w:rPr>
          <w:sz w:val="24"/>
          <w:szCs w:val="24"/>
        </w:rPr>
        <w:t>.</w:t>
      </w:r>
    </w:p>
    <w:p w14:paraId="22B4F1BE" w14:textId="54624113" w:rsidR="00CD7C25" w:rsidRDefault="00253FD7" w:rsidP="00CD7C25">
      <w:pPr>
        <w:pStyle w:val="NoSpacing"/>
        <w:numPr>
          <w:ilvl w:val="1"/>
          <w:numId w:val="1"/>
        </w:numPr>
        <w:rPr>
          <w:sz w:val="24"/>
          <w:szCs w:val="24"/>
        </w:rPr>
      </w:pPr>
      <w:r w:rsidRPr="00253FD7">
        <w:rPr>
          <w:sz w:val="24"/>
          <w:szCs w:val="24"/>
        </w:rPr>
        <w:t>Insufficient information on concept to warrant retrieval effort.</w:t>
      </w:r>
    </w:p>
    <w:p w14:paraId="446935FF" w14:textId="4E5E1E6F" w:rsidR="007838E0" w:rsidRDefault="007838E0" w:rsidP="007838E0">
      <w:pPr>
        <w:pStyle w:val="NoSpacing"/>
        <w:numPr>
          <w:ilvl w:val="2"/>
          <w:numId w:val="1"/>
        </w:numPr>
        <w:rPr>
          <w:sz w:val="24"/>
          <w:szCs w:val="24"/>
        </w:rPr>
      </w:pPr>
      <w:r>
        <w:rPr>
          <w:sz w:val="24"/>
          <w:szCs w:val="24"/>
        </w:rPr>
        <w:t xml:space="preserve">Annotating </w:t>
      </w:r>
      <w:r w:rsidRPr="007838E0">
        <w:rPr>
          <w:b/>
          <w:bCs/>
          <w:sz w:val="24"/>
          <w:szCs w:val="24"/>
        </w:rPr>
        <w:t xml:space="preserve">forests </w:t>
      </w:r>
      <w:r>
        <w:rPr>
          <w:sz w:val="24"/>
          <w:szCs w:val="24"/>
        </w:rPr>
        <w:t xml:space="preserve">in “… </w:t>
      </w:r>
      <w:commentRangeStart w:id="6"/>
      <w:r w:rsidRPr="007838E0">
        <w:rPr>
          <w:sz w:val="24"/>
          <w:szCs w:val="24"/>
        </w:rPr>
        <w:t xml:space="preserve">Inspired by the natural geotexture of forests, a novel Ni/Co-based layered double hydroxide (Ni/Co-LDH) derived from the metal-organic framework grown on ZnO nanotubes </w:t>
      </w:r>
      <w:commentRangeEnd w:id="6"/>
      <w:r w:rsidR="00673F5C">
        <w:rPr>
          <w:rStyle w:val="CommentReference"/>
        </w:rPr>
        <w:commentReference w:id="6"/>
      </w:r>
      <w:r>
        <w:rPr>
          <w:sz w:val="24"/>
          <w:szCs w:val="24"/>
        </w:rPr>
        <w:t>…”</w:t>
      </w:r>
    </w:p>
    <w:p w14:paraId="0BC25D39" w14:textId="2D9DDF1A" w:rsidR="0055500E" w:rsidRDefault="0055500E" w:rsidP="007838E0">
      <w:pPr>
        <w:pStyle w:val="NoSpacing"/>
        <w:numPr>
          <w:ilvl w:val="2"/>
          <w:numId w:val="1"/>
        </w:numPr>
        <w:rPr>
          <w:sz w:val="24"/>
          <w:szCs w:val="24"/>
        </w:rPr>
      </w:pPr>
      <w:r>
        <w:rPr>
          <w:sz w:val="24"/>
          <w:szCs w:val="24"/>
        </w:rPr>
        <w:t>Annotat</w:t>
      </w:r>
      <w:r w:rsidR="00132FC0">
        <w:rPr>
          <w:sz w:val="24"/>
          <w:szCs w:val="24"/>
        </w:rPr>
        <w:t>ing</w:t>
      </w:r>
      <w:r>
        <w:rPr>
          <w:sz w:val="24"/>
          <w:szCs w:val="24"/>
        </w:rPr>
        <w:t xml:space="preserve"> </w:t>
      </w:r>
      <w:r w:rsidRPr="00132FC0">
        <w:rPr>
          <w:b/>
          <w:bCs/>
          <w:sz w:val="24"/>
          <w:szCs w:val="24"/>
        </w:rPr>
        <w:t>United States Environmental Protection Agency</w:t>
      </w:r>
      <w:r>
        <w:rPr>
          <w:sz w:val="24"/>
          <w:szCs w:val="24"/>
        </w:rPr>
        <w:t xml:space="preserve"> in “</w:t>
      </w:r>
      <w:commentRangeStart w:id="7"/>
      <w:r w:rsidR="00253FD7" w:rsidRPr="00253FD7">
        <w:rPr>
          <w:sz w:val="24"/>
          <w:szCs w:val="24"/>
        </w:rPr>
        <w:t xml:space="preserve">Surface sediments along the Southern Terengganu coast </w:t>
      </w:r>
      <w:r w:rsidR="00253FD7">
        <w:rPr>
          <w:sz w:val="24"/>
          <w:szCs w:val="24"/>
        </w:rPr>
        <w:t>…</w:t>
      </w:r>
      <w:r w:rsidR="00253FD7" w:rsidRPr="00253FD7">
        <w:rPr>
          <w:sz w:val="24"/>
          <w:szCs w:val="24"/>
        </w:rPr>
        <w:t xml:space="preserve"> were analyzed for polycyclic aromatic hydrocarbons (PAHs). The concentrations of 16 USEPA priority polycyclic aromatic hydrocarbons (ΣPAH₁₆) ranged </w:t>
      </w:r>
      <w:commentRangeEnd w:id="7"/>
      <w:r w:rsidR="00253FD7">
        <w:rPr>
          <w:rStyle w:val="CommentReference"/>
        </w:rPr>
        <w:commentReference w:id="7"/>
      </w:r>
      <w:r w:rsidR="00253FD7">
        <w:rPr>
          <w:sz w:val="24"/>
          <w:szCs w:val="24"/>
        </w:rPr>
        <w:t>…</w:t>
      </w:r>
      <w:r>
        <w:rPr>
          <w:sz w:val="24"/>
          <w:szCs w:val="24"/>
        </w:rPr>
        <w:t xml:space="preserve">” </w:t>
      </w:r>
    </w:p>
    <w:p w14:paraId="585B4067" w14:textId="41DEA191" w:rsidR="00CD7C25" w:rsidRDefault="00253FD7" w:rsidP="00CD7C25">
      <w:pPr>
        <w:pStyle w:val="NoSpacing"/>
        <w:numPr>
          <w:ilvl w:val="1"/>
          <w:numId w:val="1"/>
        </w:numPr>
        <w:rPr>
          <w:sz w:val="24"/>
          <w:szCs w:val="24"/>
        </w:rPr>
      </w:pPr>
      <w:r w:rsidRPr="00253FD7">
        <w:rPr>
          <w:sz w:val="24"/>
          <w:szCs w:val="24"/>
        </w:rPr>
        <w:t>Work not conducted as part of the research described in the full-text article.</w:t>
      </w:r>
    </w:p>
    <w:p w14:paraId="486659F4" w14:textId="075B209F" w:rsidR="00132FC0" w:rsidRDefault="00132FC0" w:rsidP="00132FC0">
      <w:pPr>
        <w:pStyle w:val="NoSpacing"/>
        <w:numPr>
          <w:ilvl w:val="2"/>
          <w:numId w:val="1"/>
        </w:numPr>
        <w:rPr>
          <w:sz w:val="24"/>
          <w:szCs w:val="24"/>
        </w:rPr>
      </w:pPr>
      <w:r>
        <w:rPr>
          <w:sz w:val="24"/>
          <w:szCs w:val="24"/>
        </w:rPr>
        <w:lastRenderedPageBreak/>
        <w:t xml:space="preserve">Annotating </w:t>
      </w:r>
      <w:r w:rsidRPr="00132FC0">
        <w:rPr>
          <w:b/>
          <w:bCs/>
          <w:sz w:val="24"/>
          <w:szCs w:val="24"/>
        </w:rPr>
        <w:t xml:space="preserve">oils </w:t>
      </w:r>
      <w:r>
        <w:rPr>
          <w:sz w:val="24"/>
          <w:szCs w:val="24"/>
        </w:rPr>
        <w:t>in “</w:t>
      </w:r>
      <w:r w:rsidR="007D3F7F" w:rsidRPr="007D3F7F">
        <w:rPr>
          <w:sz w:val="24"/>
          <w:szCs w:val="24"/>
        </w:rPr>
        <w:t xml:space="preserve">... </w:t>
      </w:r>
      <w:commentRangeStart w:id="8"/>
      <w:r w:rsidR="007D3F7F" w:rsidRPr="007D3F7F">
        <w:rPr>
          <w:sz w:val="24"/>
          <w:szCs w:val="24"/>
        </w:rPr>
        <w:t>Three marine ecological examples using ANOSIM to analyse an ordered factor in one‐way designs are provided. These are: (1) changes in macrofaunal composition with increasing distance from an oil rig; (2) differences in phytal meiofaunal community composition</w:t>
      </w:r>
      <w:r w:rsidR="007D3F7F">
        <w:rPr>
          <w:sz w:val="24"/>
          <w:szCs w:val="24"/>
        </w:rPr>
        <w:t xml:space="preserve"> </w:t>
      </w:r>
      <w:commentRangeEnd w:id="8"/>
      <w:r w:rsidR="007D3F7F">
        <w:rPr>
          <w:rStyle w:val="CommentReference"/>
        </w:rPr>
        <w:commentReference w:id="8"/>
      </w:r>
      <w:r w:rsidR="007D3F7F">
        <w:rPr>
          <w:sz w:val="24"/>
          <w:szCs w:val="24"/>
        </w:rPr>
        <w:t>…</w:t>
      </w:r>
      <w:r w:rsidRPr="00132FC0">
        <w:rPr>
          <w:sz w:val="24"/>
          <w:szCs w:val="24"/>
        </w:rPr>
        <w:t>"</w:t>
      </w:r>
    </w:p>
    <w:p w14:paraId="7163779F" w14:textId="5D467554" w:rsidR="00A60959" w:rsidRPr="00CD7C25" w:rsidRDefault="00A60959" w:rsidP="00132FC0">
      <w:pPr>
        <w:pStyle w:val="NoSpacing"/>
        <w:numPr>
          <w:ilvl w:val="2"/>
          <w:numId w:val="1"/>
        </w:numPr>
        <w:rPr>
          <w:sz w:val="24"/>
          <w:szCs w:val="24"/>
        </w:rPr>
      </w:pPr>
      <w:r>
        <w:rPr>
          <w:sz w:val="24"/>
          <w:szCs w:val="24"/>
        </w:rPr>
        <w:t xml:space="preserve">Annotating </w:t>
      </w:r>
      <w:r w:rsidRPr="00A60959">
        <w:rPr>
          <w:b/>
          <w:bCs/>
          <w:sz w:val="24"/>
          <w:szCs w:val="24"/>
        </w:rPr>
        <w:t>metallurgy</w:t>
      </w:r>
      <w:r>
        <w:rPr>
          <w:sz w:val="24"/>
          <w:szCs w:val="24"/>
        </w:rPr>
        <w:t xml:space="preserve"> in </w:t>
      </w:r>
    </w:p>
    <w:p w14:paraId="09F9A895" w14:textId="0BBFC73B" w:rsidR="00D85A0F" w:rsidRDefault="00A05922" w:rsidP="00A129DB">
      <w:pPr>
        <w:pStyle w:val="NoSpacing"/>
        <w:numPr>
          <w:ilvl w:val="0"/>
          <w:numId w:val="1"/>
        </w:numPr>
        <w:rPr>
          <w:sz w:val="24"/>
          <w:szCs w:val="24"/>
        </w:rPr>
      </w:pPr>
      <w:r>
        <w:rPr>
          <w:sz w:val="24"/>
          <w:szCs w:val="24"/>
        </w:rPr>
        <w:t>Annotating</w:t>
      </w:r>
      <w:r w:rsidR="00A129DB">
        <w:rPr>
          <w:sz w:val="24"/>
          <w:szCs w:val="24"/>
        </w:rPr>
        <w:t xml:space="preserve"> </w:t>
      </w:r>
      <w:r w:rsidR="00D85A0F" w:rsidRPr="00C3330A">
        <w:rPr>
          <w:sz w:val="24"/>
          <w:szCs w:val="24"/>
        </w:rPr>
        <w:t>the same concept at more than one hierarchical level.</w:t>
      </w:r>
    </w:p>
    <w:p w14:paraId="574ADD7A" w14:textId="55B8FA1F" w:rsidR="00253FD7" w:rsidRPr="00C3330A" w:rsidRDefault="00253FD7" w:rsidP="00A129DB">
      <w:pPr>
        <w:pStyle w:val="NoSpacing"/>
        <w:numPr>
          <w:ilvl w:val="0"/>
          <w:numId w:val="1"/>
        </w:numPr>
        <w:rPr>
          <w:sz w:val="24"/>
          <w:szCs w:val="24"/>
        </w:rPr>
      </w:pPr>
      <w:r>
        <w:rPr>
          <w:sz w:val="24"/>
          <w:szCs w:val="24"/>
        </w:rPr>
        <w:t>Using the same word(s) to annotate two different concepts.</w:t>
      </w:r>
    </w:p>
    <w:p w14:paraId="49C5099C" w14:textId="344C88C7" w:rsidR="00D85A0F" w:rsidRPr="00C3330A" w:rsidRDefault="00D85A0F" w:rsidP="00A129DB">
      <w:pPr>
        <w:pStyle w:val="NoSpacing"/>
        <w:numPr>
          <w:ilvl w:val="0"/>
          <w:numId w:val="1"/>
        </w:numPr>
        <w:rPr>
          <w:sz w:val="24"/>
          <w:szCs w:val="24"/>
        </w:rPr>
      </w:pPr>
      <w:r w:rsidRPr="00C3330A">
        <w:rPr>
          <w:sz w:val="24"/>
          <w:szCs w:val="24"/>
        </w:rPr>
        <w:t xml:space="preserve">Failing to </w:t>
      </w:r>
      <w:r w:rsidR="00A05922">
        <w:rPr>
          <w:sz w:val="24"/>
          <w:szCs w:val="24"/>
        </w:rPr>
        <w:t>annotate</w:t>
      </w:r>
      <w:r w:rsidRPr="00C3330A">
        <w:rPr>
          <w:sz w:val="24"/>
          <w:szCs w:val="24"/>
        </w:rPr>
        <w:t xml:space="preserve"> all </w:t>
      </w:r>
      <w:r w:rsidR="00664124">
        <w:rPr>
          <w:sz w:val="24"/>
          <w:szCs w:val="24"/>
        </w:rPr>
        <w:t xml:space="preserve">significant </w:t>
      </w:r>
      <w:r w:rsidRPr="00C3330A">
        <w:rPr>
          <w:sz w:val="24"/>
          <w:szCs w:val="24"/>
        </w:rPr>
        <w:t>components /facets of a concept.</w:t>
      </w:r>
    </w:p>
    <w:p w14:paraId="7619F982" w14:textId="77777777" w:rsidR="0027301F" w:rsidRDefault="00D85A0F" w:rsidP="0027301F">
      <w:pPr>
        <w:pStyle w:val="NoSpacing"/>
        <w:numPr>
          <w:ilvl w:val="0"/>
          <w:numId w:val="1"/>
        </w:numPr>
        <w:rPr>
          <w:sz w:val="24"/>
          <w:szCs w:val="24"/>
        </w:rPr>
      </w:pPr>
      <w:r w:rsidRPr="00C3330A">
        <w:rPr>
          <w:sz w:val="24"/>
          <w:szCs w:val="24"/>
        </w:rPr>
        <w:t xml:space="preserve">Failing to </w:t>
      </w:r>
      <w:r w:rsidR="00A05922">
        <w:rPr>
          <w:sz w:val="24"/>
          <w:szCs w:val="24"/>
        </w:rPr>
        <w:t>annotate</w:t>
      </w:r>
      <w:r w:rsidRPr="00C3330A">
        <w:rPr>
          <w:sz w:val="24"/>
          <w:szCs w:val="24"/>
        </w:rPr>
        <w:t xml:space="preserve"> significant negative results.</w:t>
      </w:r>
    </w:p>
    <w:p w14:paraId="517F779C" w14:textId="12003549" w:rsidR="0027301F" w:rsidRPr="0027301F" w:rsidRDefault="0027301F" w:rsidP="0027301F">
      <w:pPr>
        <w:pStyle w:val="NoSpacing"/>
        <w:numPr>
          <w:ilvl w:val="1"/>
          <w:numId w:val="1"/>
        </w:numPr>
        <w:rPr>
          <w:sz w:val="24"/>
          <w:szCs w:val="24"/>
        </w:rPr>
      </w:pPr>
      <w:r>
        <w:rPr>
          <w:sz w:val="24"/>
          <w:szCs w:val="24"/>
        </w:rPr>
        <w:t xml:space="preserve">“… </w:t>
      </w:r>
      <w:commentRangeStart w:id="9"/>
      <w:r w:rsidRPr="0027301F">
        <w:rPr>
          <w:sz w:val="24"/>
          <w:szCs w:val="24"/>
        </w:rPr>
        <w:t>ultrasound measurements of abdominal muscle thickness were independently, negatively associated with</w:t>
      </w:r>
      <w:r w:rsidR="007327AD">
        <w:rPr>
          <w:sz w:val="24"/>
          <w:szCs w:val="24"/>
        </w:rPr>
        <w:t xml:space="preserve"> PMA</w:t>
      </w:r>
      <w:r>
        <w:rPr>
          <w:sz w:val="24"/>
          <w:szCs w:val="24"/>
        </w:rPr>
        <w:t xml:space="preserve"> </w:t>
      </w:r>
      <w:r w:rsidRPr="0027301F">
        <w:rPr>
          <w:sz w:val="24"/>
          <w:szCs w:val="24"/>
        </w:rPr>
        <w:t>at full oral feedings</w:t>
      </w:r>
      <w:r>
        <w:rPr>
          <w:sz w:val="24"/>
          <w:szCs w:val="24"/>
        </w:rPr>
        <w:t xml:space="preserve"> </w:t>
      </w:r>
      <w:commentRangeEnd w:id="9"/>
      <w:r w:rsidR="001B7988">
        <w:rPr>
          <w:rStyle w:val="CommentReference"/>
        </w:rPr>
        <w:commentReference w:id="9"/>
      </w:r>
      <w:r>
        <w:rPr>
          <w:sz w:val="24"/>
          <w:szCs w:val="24"/>
        </w:rPr>
        <w:t>…”</w:t>
      </w:r>
    </w:p>
    <w:p w14:paraId="50B17402" w14:textId="49407426" w:rsidR="00C3330A" w:rsidRPr="00C3330A" w:rsidRDefault="00D85A0F" w:rsidP="00A129DB">
      <w:pPr>
        <w:pStyle w:val="NoSpacing"/>
        <w:numPr>
          <w:ilvl w:val="0"/>
          <w:numId w:val="1"/>
        </w:numPr>
        <w:rPr>
          <w:sz w:val="24"/>
          <w:szCs w:val="24"/>
        </w:rPr>
      </w:pPr>
      <w:r w:rsidRPr="00C3330A">
        <w:rPr>
          <w:sz w:val="24"/>
          <w:szCs w:val="24"/>
        </w:rPr>
        <w:t xml:space="preserve">Failing to </w:t>
      </w:r>
      <w:r w:rsidR="00A05922">
        <w:rPr>
          <w:sz w:val="24"/>
          <w:szCs w:val="24"/>
        </w:rPr>
        <w:t>annotate</w:t>
      </w:r>
      <w:r w:rsidRPr="00C3330A">
        <w:rPr>
          <w:sz w:val="24"/>
          <w:szCs w:val="24"/>
        </w:rPr>
        <w:t xml:space="preserve"> with concepts which are treated equal</w:t>
      </w:r>
      <w:r w:rsidR="00470EC7">
        <w:rPr>
          <w:sz w:val="24"/>
          <w:szCs w:val="24"/>
        </w:rPr>
        <w:t>ly</w:t>
      </w:r>
      <w:r w:rsidRPr="00C3330A">
        <w:rPr>
          <w:sz w:val="24"/>
          <w:szCs w:val="24"/>
        </w:rPr>
        <w:t xml:space="preserve"> in the document.</w:t>
      </w:r>
    </w:p>
    <w:p w14:paraId="446509C2" w14:textId="7BF92A13" w:rsidR="00D85A0F" w:rsidRDefault="00A05922" w:rsidP="00A129DB">
      <w:pPr>
        <w:pStyle w:val="NoSpacing"/>
        <w:numPr>
          <w:ilvl w:val="0"/>
          <w:numId w:val="1"/>
        </w:numPr>
        <w:rPr>
          <w:sz w:val="24"/>
          <w:szCs w:val="24"/>
        </w:rPr>
      </w:pPr>
      <w:r>
        <w:rPr>
          <w:sz w:val="24"/>
          <w:szCs w:val="24"/>
        </w:rPr>
        <w:t>Annotating</w:t>
      </w:r>
      <w:r w:rsidR="00D85A0F" w:rsidRPr="00C3330A">
        <w:rPr>
          <w:sz w:val="24"/>
          <w:szCs w:val="24"/>
        </w:rPr>
        <w:t xml:space="preserve"> implications or speculations.</w:t>
      </w:r>
    </w:p>
    <w:p w14:paraId="20D019D5" w14:textId="6B8B7170" w:rsidR="00CC0062" w:rsidRPr="00C3330A" w:rsidRDefault="00CC0062" w:rsidP="00CC0062">
      <w:pPr>
        <w:pStyle w:val="NoSpacing"/>
        <w:numPr>
          <w:ilvl w:val="1"/>
          <w:numId w:val="1"/>
        </w:numPr>
        <w:rPr>
          <w:sz w:val="24"/>
          <w:szCs w:val="24"/>
        </w:rPr>
      </w:pPr>
      <w:r>
        <w:rPr>
          <w:sz w:val="24"/>
          <w:szCs w:val="24"/>
        </w:rPr>
        <w:t xml:space="preserve">“… </w:t>
      </w:r>
      <w:commentRangeStart w:id="10"/>
      <w:r w:rsidRPr="00CC0062">
        <w:rPr>
          <w:sz w:val="24"/>
          <w:szCs w:val="24"/>
        </w:rPr>
        <w:t>The miR-211-3p could promote HSCC progression and upregulate CSF2/CCL20/TNF signaling to promote IC insensitivity in HSCC, which may provide new ideas for HSCC therapy</w:t>
      </w:r>
      <w:commentRangeEnd w:id="10"/>
      <w:r w:rsidR="000E530A">
        <w:rPr>
          <w:rStyle w:val="CommentReference"/>
        </w:rPr>
        <w:commentReference w:id="10"/>
      </w:r>
      <w:r w:rsidRPr="00CC0062">
        <w:rPr>
          <w:sz w:val="24"/>
          <w:szCs w:val="24"/>
        </w:rPr>
        <w:t>.</w:t>
      </w:r>
      <w:r>
        <w:rPr>
          <w:sz w:val="24"/>
          <w:szCs w:val="24"/>
        </w:rPr>
        <w:t>”</w:t>
      </w:r>
    </w:p>
    <w:p w14:paraId="73343655" w14:textId="4AB3AD40" w:rsidR="00D85A0F" w:rsidRPr="00C3330A" w:rsidRDefault="00A05922" w:rsidP="00A129DB">
      <w:pPr>
        <w:pStyle w:val="NoSpacing"/>
        <w:numPr>
          <w:ilvl w:val="0"/>
          <w:numId w:val="1"/>
        </w:numPr>
        <w:rPr>
          <w:sz w:val="24"/>
          <w:szCs w:val="24"/>
        </w:rPr>
      </w:pPr>
      <w:r>
        <w:rPr>
          <w:sz w:val="24"/>
          <w:szCs w:val="24"/>
        </w:rPr>
        <w:t>Annotating</w:t>
      </w:r>
      <w:r w:rsidR="00D85A0F" w:rsidRPr="00C3330A">
        <w:rPr>
          <w:sz w:val="24"/>
          <w:szCs w:val="24"/>
        </w:rPr>
        <w:t xml:space="preserve"> routine techniques, methods or procedures.</w:t>
      </w:r>
    </w:p>
    <w:p w14:paraId="3515596F" w14:textId="485710C9" w:rsidR="00D85A0F" w:rsidRDefault="00D85A0F" w:rsidP="00A129DB">
      <w:pPr>
        <w:pStyle w:val="NoSpacing"/>
        <w:numPr>
          <w:ilvl w:val="0"/>
          <w:numId w:val="1"/>
        </w:numPr>
        <w:rPr>
          <w:sz w:val="24"/>
          <w:szCs w:val="24"/>
        </w:rPr>
      </w:pPr>
      <w:r w:rsidRPr="00C3330A">
        <w:rPr>
          <w:sz w:val="24"/>
          <w:szCs w:val="24"/>
        </w:rPr>
        <w:t xml:space="preserve">Failing to </w:t>
      </w:r>
      <w:r w:rsidR="00A05922">
        <w:rPr>
          <w:sz w:val="24"/>
          <w:szCs w:val="24"/>
        </w:rPr>
        <w:t>annotate</w:t>
      </w:r>
      <w:r w:rsidRPr="00C3330A">
        <w:rPr>
          <w:sz w:val="24"/>
          <w:szCs w:val="24"/>
        </w:rPr>
        <w:t xml:space="preserve"> significant geographic concept.</w:t>
      </w:r>
    </w:p>
    <w:p w14:paraId="4F2BCC88" w14:textId="620AB994" w:rsidR="001820D3" w:rsidRDefault="001820D3" w:rsidP="001820D3">
      <w:pPr>
        <w:pStyle w:val="NoSpacing"/>
        <w:numPr>
          <w:ilvl w:val="1"/>
          <w:numId w:val="1"/>
        </w:numPr>
        <w:rPr>
          <w:sz w:val="24"/>
          <w:szCs w:val="24"/>
        </w:rPr>
      </w:pPr>
      <w:r>
        <w:rPr>
          <w:sz w:val="24"/>
          <w:szCs w:val="24"/>
        </w:rPr>
        <w:t xml:space="preserve">Not annotating </w:t>
      </w:r>
      <w:r w:rsidRPr="001820D3">
        <w:rPr>
          <w:b/>
          <w:bCs/>
          <w:sz w:val="24"/>
          <w:szCs w:val="24"/>
        </w:rPr>
        <w:t>Pacific Ocean</w:t>
      </w:r>
      <w:r>
        <w:rPr>
          <w:sz w:val="24"/>
          <w:szCs w:val="24"/>
        </w:rPr>
        <w:t xml:space="preserve"> in “</w:t>
      </w:r>
      <w:commentRangeStart w:id="11"/>
      <w:r w:rsidRPr="001820D3">
        <w:rPr>
          <w:sz w:val="24"/>
          <w:szCs w:val="24"/>
        </w:rPr>
        <w:t>Impacts of the East Asian winter monsoon on winter precipitation variability over East Asia-western North Pacific</w:t>
      </w:r>
      <w:commentRangeEnd w:id="11"/>
      <w:r w:rsidR="00E270C0">
        <w:rPr>
          <w:rStyle w:val="CommentReference"/>
        </w:rPr>
        <w:commentReference w:id="11"/>
      </w:r>
      <w:r>
        <w:rPr>
          <w:sz w:val="24"/>
          <w:szCs w:val="24"/>
        </w:rPr>
        <w:t>”</w:t>
      </w:r>
    </w:p>
    <w:p w14:paraId="507E3F14" w14:textId="74878C6B" w:rsidR="0034087D" w:rsidRPr="00C3330A" w:rsidRDefault="0034087D" w:rsidP="001820D3">
      <w:pPr>
        <w:pStyle w:val="NoSpacing"/>
        <w:numPr>
          <w:ilvl w:val="1"/>
          <w:numId w:val="1"/>
        </w:numPr>
        <w:rPr>
          <w:sz w:val="24"/>
          <w:szCs w:val="24"/>
        </w:rPr>
      </w:pPr>
      <w:r>
        <w:rPr>
          <w:sz w:val="24"/>
          <w:szCs w:val="24"/>
        </w:rPr>
        <w:t xml:space="preserve">Not annotating </w:t>
      </w:r>
      <w:r w:rsidRPr="0034087D">
        <w:rPr>
          <w:b/>
          <w:bCs/>
          <w:sz w:val="24"/>
          <w:szCs w:val="24"/>
        </w:rPr>
        <w:t>Central America</w:t>
      </w:r>
      <w:r>
        <w:rPr>
          <w:sz w:val="24"/>
          <w:szCs w:val="24"/>
        </w:rPr>
        <w:t xml:space="preserve"> in “</w:t>
      </w:r>
      <w:commentRangeStart w:id="12"/>
      <w:r w:rsidRPr="0034087D">
        <w:rPr>
          <w:sz w:val="24"/>
          <w:szCs w:val="24"/>
        </w:rPr>
        <w:t>Velocity and Anisotropic Structure of the Uppermost Mantle Beneath Central America and Northwestern South America From Pn Tomography</w:t>
      </w:r>
      <w:commentRangeEnd w:id="12"/>
      <w:r>
        <w:rPr>
          <w:rStyle w:val="CommentReference"/>
        </w:rPr>
        <w:commentReference w:id="12"/>
      </w:r>
      <w:r>
        <w:rPr>
          <w:sz w:val="24"/>
          <w:szCs w:val="24"/>
        </w:rPr>
        <w:t xml:space="preserve">” </w:t>
      </w:r>
    </w:p>
    <w:p w14:paraId="0F14C939" w14:textId="53290230" w:rsidR="00D85A0F" w:rsidRDefault="00D85A0F" w:rsidP="00A129DB">
      <w:pPr>
        <w:pStyle w:val="NoSpacing"/>
        <w:numPr>
          <w:ilvl w:val="0"/>
          <w:numId w:val="1"/>
        </w:numPr>
        <w:rPr>
          <w:sz w:val="24"/>
          <w:szCs w:val="24"/>
        </w:rPr>
      </w:pPr>
      <w:r w:rsidRPr="00C3330A">
        <w:rPr>
          <w:sz w:val="24"/>
          <w:szCs w:val="24"/>
        </w:rPr>
        <w:t xml:space="preserve">Assigning geographic term which is </w:t>
      </w:r>
      <w:r w:rsidR="00227752">
        <w:rPr>
          <w:sz w:val="24"/>
          <w:szCs w:val="24"/>
        </w:rPr>
        <w:t xml:space="preserve">overly or </w:t>
      </w:r>
      <w:r w:rsidRPr="00C3330A">
        <w:rPr>
          <w:sz w:val="24"/>
          <w:szCs w:val="24"/>
        </w:rPr>
        <w:t>insufficiently specific.</w:t>
      </w:r>
    </w:p>
    <w:p w14:paraId="6745DD07" w14:textId="424E6F02" w:rsidR="00227752" w:rsidRDefault="002E0F98" w:rsidP="00227752">
      <w:pPr>
        <w:pStyle w:val="NoSpacing"/>
        <w:numPr>
          <w:ilvl w:val="1"/>
          <w:numId w:val="1"/>
        </w:numPr>
        <w:rPr>
          <w:sz w:val="24"/>
          <w:szCs w:val="24"/>
        </w:rPr>
      </w:pPr>
      <w:commentRangeStart w:id="13"/>
      <w:r>
        <w:rPr>
          <w:sz w:val="24"/>
          <w:szCs w:val="24"/>
        </w:rPr>
        <w:t>Annotating</w:t>
      </w:r>
      <w:r w:rsidR="00227752">
        <w:rPr>
          <w:sz w:val="24"/>
          <w:szCs w:val="24"/>
        </w:rPr>
        <w:t xml:space="preserve"> </w:t>
      </w:r>
      <w:r w:rsidRPr="002E0F98">
        <w:rPr>
          <w:b/>
          <w:bCs/>
          <w:sz w:val="24"/>
          <w:szCs w:val="24"/>
        </w:rPr>
        <w:t>Brazil</w:t>
      </w:r>
      <w:r>
        <w:rPr>
          <w:sz w:val="24"/>
          <w:szCs w:val="24"/>
        </w:rPr>
        <w:t xml:space="preserve"> instead of </w:t>
      </w:r>
      <w:r w:rsidRPr="002E0F98">
        <w:rPr>
          <w:b/>
          <w:bCs/>
          <w:sz w:val="24"/>
          <w:szCs w:val="24"/>
        </w:rPr>
        <w:t>South America</w:t>
      </w:r>
      <w:r>
        <w:rPr>
          <w:sz w:val="24"/>
          <w:szCs w:val="24"/>
        </w:rPr>
        <w:t xml:space="preserve"> in “</w:t>
      </w:r>
      <w:r w:rsidR="00227752" w:rsidRPr="00227752">
        <w:rPr>
          <w:sz w:val="24"/>
          <w:szCs w:val="24"/>
        </w:rPr>
        <w:t>An Introduction to the Issue of Consumer Law in South America</w:t>
      </w:r>
      <w:r>
        <w:rPr>
          <w:sz w:val="24"/>
          <w:szCs w:val="24"/>
        </w:rPr>
        <w:t xml:space="preserve">” </w:t>
      </w:r>
      <w:commentRangeEnd w:id="13"/>
      <w:r>
        <w:rPr>
          <w:rStyle w:val="CommentReference"/>
        </w:rPr>
        <w:commentReference w:id="13"/>
      </w:r>
      <w:r>
        <w:rPr>
          <w:sz w:val="24"/>
          <w:szCs w:val="24"/>
        </w:rPr>
        <w:t>(</w:t>
      </w:r>
      <w:r w:rsidR="001F11B9">
        <w:rPr>
          <w:sz w:val="24"/>
          <w:szCs w:val="24"/>
        </w:rPr>
        <w:t>“</w:t>
      </w:r>
      <w:r w:rsidR="001F11B9" w:rsidRPr="001F11B9">
        <w:rPr>
          <w:sz w:val="24"/>
          <w:szCs w:val="24"/>
        </w:rPr>
        <w:t xml:space="preserve">This Special Issue </w:t>
      </w:r>
      <w:r w:rsidR="001F11B9">
        <w:rPr>
          <w:sz w:val="24"/>
          <w:szCs w:val="24"/>
        </w:rPr>
        <w:t>...</w:t>
      </w:r>
      <w:r w:rsidR="001F11B9" w:rsidRPr="001F11B9">
        <w:rPr>
          <w:sz w:val="24"/>
          <w:szCs w:val="24"/>
        </w:rPr>
        <w:t xml:space="preserve"> goes back to a conference </w:t>
      </w:r>
      <w:r w:rsidR="001F11B9">
        <w:rPr>
          <w:sz w:val="24"/>
          <w:szCs w:val="24"/>
        </w:rPr>
        <w:t xml:space="preserve">... </w:t>
      </w:r>
      <w:r w:rsidR="001F11B9" w:rsidRPr="001F11B9">
        <w:rPr>
          <w:sz w:val="24"/>
          <w:szCs w:val="24"/>
        </w:rPr>
        <w:t>in Porto Alegre Brazil, the first of the Center of European and German Studies</w:t>
      </w:r>
      <w:r w:rsidR="008E28BF">
        <w:rPr>
          <w:sz w:val="24"/>
          <w:szCs w:val="24"/>
        </w:rPr>
        <w:t xml:space="preserve"> ...</w:t>
      </w:r>
      <w:r w:rsidR="001F11B9">
        <w:rPr>
          <w:sz w:val="24"/>
          <w:szCs w:val="24"/>
        </w:rPr>
        <w:t>”</w:t>
      </w:r>
      <w:r>
        <w:rPr>
          <w:sz w:val="24"/>
          <w:szCs w:val="24"/>
        </w:rPr>
        <w:t>)</w:t>
      </w:r>
    </w:p>
    <w:p w14:paraId="056DC06F" w14:textId="3ACC43DD" w:rsidR="008E28BF" w:rsidRPr="00C3330A" w:rsidRDefault="000D3826" w:rsidP="00227752">
      <w:pPr>
        <w:pStyle w:val="NoSpacing"/>
        <w:numPr>
          <w:ilvl w:val="1"/>
          <w:numId w:val="1"/>
        </w:numPr>
        <w:rPr>
          <w:sz w:val="24"/>
          <w:szCs w:val="24"/>
        </w:rPr>
      </w:pPr>
      <w:r>
        <w:rPr>
          <w:sz w:val="24"/>
          <w:szCs w:val="24"/>
        </w:rPr>
        <w:t xml:space="preserve">Annotating </w:t>
      </w:r>
      <w:r w:rsidRPr="000D3826">
        <w:rPr>
          <w:b/>
          <w:bCs/>
          <w:sz w:val="24"/>
          <w:szCs w:val="24"/>
        </w:rPr>
        <w:t>Canada</w:t>
      </w:r>
      <w:r>
        <w:rPr>
          <w:sz w:val="24"/>
          <w:szCs w:val="24"/>
        </w:rPr>
        <w:t xml:space="preserve"> instead of </w:t>
      </w:r>
      <w:r w:rsidRPr="000D3826">
        <w:rPr>
          <w:b/>
          <w:bCs/>
          <w:sz w:val="24"/>
          <w:szCs w:val="24"/>
        </w:rPr>
        <w:t>Alberta</w:t>
      </w:r>
      <w:r>
        <w:rPr>
          <w:sz w:val="24"/>
          <w:szCs w:val="24"/>
        </w:rPr>
        <w:t xml:space="preserve"> in “</w:t>
      </w:r>
      <w:commentRangeStart w:id="14"/>
      <w:r w:rsidRPr="000D3826">
        <w:rPr>
          <w:sz w:val="24"/>
          <w:szCs w:val="24"/>
        </w:rPr>
        <w:t>Spatial regression modelling of particulate pollution in Calgary, Canada</w:t>
      </w:r>
      <w:commentRangeEnd w:id="14"/>
      <w:r>
        <w:rPr>
          <w:rStyle w:val="CommentReference"/>
        </w:rPr>
        <w:commentReference w:id="14"/>
      </w:r>
      <w:r>
        <w:rPr>
          <w:sz w:val="24"/>
          <w:szCs w:val="24"/>
        </w:rPr>
        <w:t xml:space="preserve">” </w:t>
      </w:r>
    </w:p>
    <w:p w14:paraId="308926D9" w14:textId="65195721" w:rsidR="00D85A0F" w:rsidRDefault="00D85A0F" w:rsidP="000F433C">
      <w:pPr>
        <w:pStyle w:val="NoSpacing"/>
        <w:numPr>
          <w:ilvl w:val="0"/>
          <w:numId w:val="1"/>
        </w:numPr>
        <w:rPr>
          <w:sz w:val="24"/>
          <w:szCs w:val="24"/>
        </w:rPr>
      </w:pPr>
      <w:r w:rsidRPr="00C3330A">
        <w:rPr>
          <w:sz w:val="24"/>
          <w:szCs w:val="24"/>
        </w:rPr>
        <w:t>Assigning geographic term for laboratory/greenhouse research</w:t>
      </w:r>
      <w:r w:rsidR="002F3DFE">
        <w:rPr>
          <w:sz w:val="24"/>
          <w:szCs w:val="24"/>
        </w:rPr>
        <w:t>, unless used in conjunction with field studies</w:t>
      </w:r>
      <w:r w:rsidRPr="00C3330A">
        <w:rPr>
          <w:sz w:val="24"/>
          <w:szCs w:val="24"/>
        </w:rPr>
        <w:t>.</w:t>
      </w:r>
    </w:p>
    <w:p w14:paraId="052F6659" w14:textId="2F5BBB86" w:rsidR="00C37E36" w:rsidRDefault="00EE70A9" w:rsidP="00C37E36">
      <w:pPr>
        <w:pStyle w:val="NoSpacing"/>
        <w:numPr>
          <w:ilvl w:val="1"/>
          <w:numId w:val="1"/>
        </w:numPr>
        <w:rPr>
          <w:sz w:val="24"/>
          <w:szCs w:val="24"/>
        </w:rPr>
      </w:pPr>
      <w:r>
        <w:rPr>
          <w:sz w:val="24"/>
          <w:szCs w:val="24"/>
        </w:rPr>
        <w:t>Omit – a</w:t>
      </w:r>
      <w:r w:rsidR="00B82A82">
        <w:rPr>
          <w:sz w:val="24"/>
          <w:szCs w:val="24"/>
        </w:rPr>
        <w:t>nnotating</w:t>
      </w:r>
      <w:r>
        <w:rPr>
          <w:sz w:val="24"/>
          <w:szCs w:val="24"/>
        </w:rPr>
        <w:t xml:space="preserve"> </w:t>
      </w:r>
      <w:r w:rsidR="00B82A82" w:rsidRPr="00B82A82">
        <w:rPr>
          <w:b/>
          <w:bCs/>
          <w:sz w:val="24"/>
          <w:szCs w:val="24"/>
        </w:rPr>
        <w:t>Botswana</w:t>
      </w:r>
      <w:r w:rsidR="00B82A82">
        <w:rPr>
          <w:sz w:val="24"/>
          <w:szCs w:val="24"/>
        </w:rPr>
        <w:t xml:space="preserve"> for </w:t>
      </w:r>
      <w:r w:rsidR="00C37E36">
        <w:rPr>
          <w:sz w:val="24"/>
          <w:szCs w:val="24"/>
        </w:rPr>
        <w:t xml:space="preserve">“… </w:t>
      </w:r>
      <w:commentRangeStart w:id="15"/>
      <w:r w:rsidR="00C37E36" w:rsidRPr="00C37E36">
        <w:rPr>
          <w:sz w:val="24"/>
          <w:szCs w:val="24"/>
        </w:rPr>
        <w:t xml:space="preserve">The soil samples were collected from the greenhouse pot experiment that was carried out from August 2019 to October 2020 at the Botswana University of Agriculture and Natural </w:t>
      </w:r>
      <w:r w:rsidR="004C445D">
        <w:rPr>
          <w:sz w:val="24"/>
          <w:szCs w:val="24"/>
        </w:rPr>
        <w:t>R</w:t>
      </w:r>
      <w:r w:rsidR="00C37E36" w:rsidRPr="00C37E36">
        <w:rPr>
          <w:sz w:val="24"/>
          <w:szCs w:val="24"/>
        </w:rPr>
        <w:t>esources</w:t>
      </w:r>
      <w:r w:rsidR="00C37E36">
        <w:rPr>
          <w:sz w:val="24"/>
          <w:szCs w:val="24"/>
        </w:rPr>
        <w:t xml:space="preserve"> </w:t>
      </w:r>
      <w:commentRangeEnd w:id="15"/>
      <w:r w:rsidR="00806ABA">
        <w:rPr>
          <w:rStyle w:val="CommentReference"/>
        </w:rPr>
        <w:commentReference w:id="15"/>
      </w:r>
      <w:r w:rsidR="00C37E36">
        <w:rPr>
          <w:sz w:val="24"/>
          <w:szCs w:val="24"/>
        </w:rPr>
        <w:t>…”</w:t>
      </w:r>
    </w:p>
    <w:p w14:paraId="46745313" w14:textId="11D2A05F" w:rsidR="0029299F" w:rsidRDefault="00EE70A9" w:rsidP="00C37E36">
      <w:pPr>
        <w:pStyle w:val="NoSpacing"/>
        <w:numPr>
          <w:ilvl w:val="1"/>
          <w:numId w:val="1"/>
        </w:numPr>
        <w:rPr>
          <w:sz w:val="24"/>
          <w:szCs w:val="24"/>
        </w:rPr>
      </w:pPr>
      <w:r>
        <w:rPr>
          <w:sz w:val="24"/>
          <w:szCs w:val="24"/>
        </w:rPr>
        <w:t>Include – a</w:t>
      </w:r>
      <w:r w:rsidR="00B82A82">
        <w:rPr>
          <w:sz w:val="24"/>
          <w:szCs w:val="24"/>
        </w:rPr>
        <w:t>nnotating</w:t>
      </w:r>
      <w:r>
        <w:rPr>
          <w:sz w:val="24"/>
          <w:szCs w:val="24"/>
        </w:rPr>
        <w:t xml:space="preserve"> </w:t>
      </w:r>
      <w:r w:rsidR="00B82A82" w:rsidRPr="00B82A82">
        <w:rPr>
          <w:b/>
          <w:bCs/>
          <w:sz w:val="24"/>
          <w:szCs w:val="24"/>
        </w:rPr>
        <w:t>Western Australia</w:t>
      </w:r>
      <w:r w:rsidR="00B82A82">
        <w:rPr>
          <w:sz w:val="24"/>
          <w:szCs w:val="24"/>
        </w:rPr>
        <w:t xml:space="preserve"> for </w:t>
      </w:r>
      <w:r w:rsidR="007327AD">
        <w:rPr>
          <w:sz w:val="24"/>
          <w:szCs w:val="24"/>
        </w:rPr>
        <w:t xml:space="preserve">“… </w:t>
      </w:r>
      <w:commentRangeStart w:id="16"/>
      <w:r w:rsidR="007327AD" w:rsidRPr="007327AD">
        <w:rPr>
          <w:sz w:val="24"/>
          <w:szCs w:val="24"/>
        </w:rPr>
        <w:t xml:space="preserve">From 2017 to 2020, experiments were conducted at Cunderdin, Dandaragan, Three Springs, Manjimup, and Merredin in WA </w:t>
      </w:r>
      <w:r w:rsidR="007327AD">
        <w:rPr>
          <w:sz w:val="24"/>
          <w:szCs w:val="24"/>
        </w:rPr>
        <w:t xml:space="preserve">(Western Australia) … </w:t>
      </w:r>
      <w:r w:rsidR="007327AD" w:rsidRPr="007327AD">
        <w:rPr>
          <w:sz w:val="24"/>
          <w:szCs w:val="24"/>
        </w:rPr>
        <w:t>The experiments evaluated four sowing times, two sowing depths in the field sites, six sowing depths in a glasshouse experiment, three sowing rates, and three row spacings</w:t>
      </w:r>
      <w:r w:rsidR="007327AD">
        <w:rPr>
          <w:sz w:val="24"/>
          <w:szCs w:val="24"/>
        </w:rPr>
        <w:t xml:space="preserve"> </w:t>
      </w:r>
      <w:commentRangeEnd w:id="16"/>
      <w:r w:rsidR="00806ABA">
        <w:rPr>
          <w:rStyle w:val="CommentReference"/>
        </w:rPr>
        <w:commentReference w:id="16"/>
      </w:r>
      <w:r w:rsidR="007327AD">
        <w:rPr>
          <w:sz w:val="24"/>
          <w:szCs w:val="24"/>
        </w:rPr>
        <w:t>…”</w:t>
      </w:r>
      <w:r w:rsidR="007327AD" w:rsidRPr="007327AD">
        <w:rPr>
          <w:sz w:val="24"/>
          <w:szCs w:val="24"/>
        </w:rPr>
        <w:t xml:space="preserve"> </w:t>
      </w:r>
    </w:p>
    <w:p w14:paraId="585F1827" w14:textId="7D6E95D9" w:rsidR="007F17AA" w:rsidRDefault="007F17AA" w:rsidP="007F17AA">
      <w:pPr>
        <w:pStyle w:val="NoSpacing"/>
        <w:numPr>
          <w:ilvl w:val="0"/>
          <w:numId w:val="1"/>
        </w:numPr>
        <w:rPr>
          <w:sz w:val="24"/>
          <w:szCs w:val="24"/>
        </w:rPr>
      </w:pPr>
      <w:bookmarkStart w:id="17" w:name="_Hlk127341681"/>
      <w:r>
        <w:rPr>
          <w:sz w:val="24"/>
          <w:szCs w:val="24"/>
        </w:rPr>
        <w:t xml:space="preserve">Assigning an invalid annotation as a valid term. </w:t>
      </w:r>
      <w:bookmarkEnd w:id="17"/>
      <w:commentRangeStart w:id="18"/>
      <w:r>
        <w:rPr>
          <w:sz w:val="24"/>
          <w:szCs w:val="24"/>
        </w:rPr>
        <w:t xml:space="preserve">In </w:t>
      </w:r>
      <w:r w:rsidR="00F13163">
        <w:rPr>
          <w:sz w:val="24"/>
          <w:szCs w:val="24"/>
        </w:rPr>
        <w:t xml:space="preserve">computer-based </w:t>
      </w:r>
      <w:r>
        <w:rPr>
          <w:sz w:val="24"/>
          <w:szCs w:val="24"/>
        </w:rPr>
        <w:t xml:space="preserve">indexing system, the NALT </w:t>
      </w:r>
      <w:r w:rsidR="00F13163">
        <w:rPr>
          <w:sz w:val="24"/>
          <w:szCs w:val="24"/>
        </w:rPr>
        <w:t xml:space="preserve">concept </w:t>
      </w:r>
      <w:r>
        <w:rPr>
          <w:sz w:val="24"/>
          <w:szCs w:val="24"/>
        </w:rPr>
        <w:t>must be selected from a dropdown menu. If it is not properly selected</w:t>
      </w:r>
      <w:r w:rsidR="00AC6895">
        <w:rPr>
          <w:sz w:val="24"/>
          <w:szCs w:val="24"/>
        </w:rPr>
        <w:t xml:space="preserve">, the annotated term may display with a plus sign indicating it does not match a NALT </w:t>
      </w:r>
      <w:r w:rsidR="00AC6895">
        <w:rPr>
          <w:sz w:val="24"/>
          <w:szCs w:val="24"/>
        </w:rPr>
        <w:lastRenderedPageBreak/>
        <w:t xml:space="preserve">term (even if it does). This may show up as a duplicate term in the corresponding Golden Set if others annotated the term properly. </w:t>
      </w:r>
      <w:commentRangeEnd w:id="18"/>
      <w:r w:rsidR="00AC6895">
        <w:rPr>
          <w:rStyle w:val="CommentReference"/>
        </w:rPr>
        <w:commentReference w:id="18"/>
      </w:r>
    </w:p>
    <w:p w14:paraId="7F0B2FF7" w14:textId="33DD2E25" w:rsidR="00F13163" w:rsidRDefault="00F13163" w:rsidP="007F17AA">
      <w:pPr>
        <w:pStyle w:val="NoSpacing"/>
        <w:numPr>
          <w:ilvl w:val="0"/>
          <w:numId w:val="1"/>
        </w:numPr>
        <w:rPr>
          <w:sz w:val="24"/>
          <w:szCs w:val="24"/>
        </w:rPr>
      </w:pPr>
      <w:r>
        <w:rPr>
          <w:sz w:val="24"/>
          <w:szCs w:val="24"/>
        </w:rPr>
        <w:t xml:space="preserve">Failing to </w:t>
      </w:r>
      <w:r w:rsidR="009968CA">
        <w:rPr>
          <w:sz w:val="24"/>
          <w:szCs w:val="24"/>
        </w:rPr>
        <w:t>define</w:t>
      </w:r>
      <w:r>
        <w:rPr>
          <w:sz w:val="24"/>
          <w:szCs w:val="24"/>
        </w:rPr>
        <w:t xml:space="preserve"> an important acronym </w:t>
      </w:r>
      <w:r w:rsidR="00BB037C">
        <w:rPr>
          <w:sz w:val="24"/>
          <w:szCs w:val="24"/>
        </w:rPr>
        <w:t xml:space="preserve">or abbreviation </w:t>
      </w:r>
      <w:r w:rsidR="009968CA">
        <w:rPr>
          <w:sz w:val="24"/>
          <w:szCs w:val="24"/>
        </w:rPr>
        <w:t xml:space="preserve">with its </w:t>
      </w:r>
      <w:r>
        <w:rPr>
          <w:sz w:val="24"/>
          <w:szCs w:val="24"/>
        </w:rPr>
        <w:t xml:space="preserve">corresponding NALT preferred term. </w:t>
      </w:r>
    </w:p>
    <w:p w14:paraId="65B0F364" w14:textId="775FCA7A" w:rsidR="00C65017" w:rsidRPr="000F433C" w:rsidRDefault="00C65017" w:rsidP="00D57D5E">
      <w:pPr>
        <w:pStyle w:val="NoSpacing"/>
        <w:numPr>
          <w:ilvl w:val="1"/>
          <w:numId w:val="1"/>
        </w:numPr>
        <w:rPr>
          <w:sz w:val="24"/>
          <w:szCs w:val="24"/>
        </w:rPr>
      </w:pPr>
      <w:r>
        <w:rPr>
          <w:sz w:val="24"/>
          <w:szCs w:val="24"/>
        </w:rPr>
        <w:t xml:space="preserve">Not annotating </w:t>
      </w:r>
      <w:r w:rsidRPr="00C65017">
        <w:rPr>
          <w:b/>
          <w:bCs/>
          <w:sz w:val="24"/>
          <w:szCs w:val="24"/>
        </w:rPr>
        <w:t>quantitative trait loci</w:t>
      </w:r>
      <w:r>
        <w:rPr>
          <w:sz w:val="24"/>
          <w:szCs w:val="24"/>
        </w:rPr>
        <w:t xml:space="preserve"> in “</w:t>
      </w:r>
      <w:commentRangeStart w:id="19"/>
      <w:r w:rsidRPr="00C65017">
        <w:rPr>
          <w:sz w:val="24"/>
          <w:szCs w:val="24"/>
        </w:rPr>
        <w:t>Genetic diversity and QTL-marker association analysis of rice germplasm for grain number per panicle and its contributing traits</w:t>
      </w:r>
      <w:commentRangeEnd w:id="19"/>
      <w:r>
        <w:rPr>
          <w:rStyle w:val="CommentReference"/>
        </w:rPr>
        <w:commentReference w:id="19"/>
      </w:r>
      <w:r>
        <w:rPr>
          <w:sz w:val="24"/>
          <w:szCs w:val="24"/>
        </w:rPr>
        <w:t>”</w:t>
      </w:r>
    </w:p>
    <w:sectPr w:rsidR="00C65017" w:rsidRPr="000F433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cGervey, Teresa - ARS" w:date="2023-02-14T08:21:00Z" w:initials="MT-A">
    <w:p w14:paraId="1117DD31" w14:textId="61079DC8" w:rsidR="006373EE" w:rsidRDefault="006373EE">
      <w:pPr>
        <w:pStyle w:val="CommentText"/>
      </w:pPr>
      <w:r>
        <w:rPr>
          <w:rStyle w:val="CommentReference"/>
        </w:rPr>
        <w:annotationRef/>
      </w:r>
      <w:r>
        <w:t xml:space="preserve">Citation - </w:t>
      </w:r>
      <w:r w:rsidRPr="006373EE">
        <w:t xml:space="preserve">María Victoria Zanardi, María Paula Gastiazoro, Georg Kretzschmar, Jannette Wober, Günter Vollmer, Jorgelina Varayoud, Milena Durando, and Oliver Zierau. "AHR agonistic effects of 6-PN contribute to potential beneficial effects of Hops extract" </w:t>
      </w:r>
      <w:r w:rsidRPr="006373EE">
        <w:rPr>
          <w:i/>
          <w:iCs/>
        </w:rPr>
        <w:t>Molecular and cellular endocrinology</w:t>
      </w:r>
      <w:r w:rsidRPr="006373EE">
        <w:t xml:space="preserve"> 543, (2022): 111540. doi: 10.1016/j.mce.2021.111540</w:t>
      </w:r>
    </w:p>
  </w:comment>
  <w:comment w:id="2" w:author="McGervey, Teresa - ARS" w:date="2023-02-16T08:20:00Z" w:initials="MT-A">
    <w:p w14:paraId="160510B7" w14:textId="3E022E39" w:rsidR="00134542" w:rsidRDefault="00134542">
      <w:pPr>
        <w:pStyle w:val="CommentText"/>
      </w:pPr>
      <w:r>
        <w:rPr>
          <w:rStyle w:val="CommentReference"/>
        </w:rPr>
        <w:annotationRef/>
      </w:r>
      <w:r>
        <w:t xml:space="preserve">Citation - </w:t>
      </w:r>
      <w:r w:rsidRPr="00134542">
        <w:t xml:space="preserve">Lixia Zhao, Zheng Pan, Baoli Sun, Yang Sun, Liping Weng, Xiaojing Li, Huike Ye, et al. "Responses of soil microbial communities to concentration gradients of antibiotic residues in typical greenhouse vegetable soils" </w:t>
      </w:r>
      <w:r w:rsidRPr="00134542">
        <w:rPr>
          <w:i/>
          <w:iCs/>
        </w:rPr>
        <w:t>Science of the total environment</w:t>
      </w:r>
      <w:r w:rsidRPr="00134542">
        <w:t xml:space="preserve"> 855, (2023): 158587. doi: 10.1016/j.scitotenv.2022.158587</w:t>
      </w:r>
    </w:p>
  </w:comment>
  <w:comment w:id="3" w:author="McGervey, Teresa - ARS" w:date="2023-02-16T08:14:00Z" w:initials="MT-A">
    <w:p w14:paraId="7DA6E946" w14:textId="5DADB8E0" w:rsidR="00134542" w:rsidRDefault="00134542">
      <w:pPr>
        <w:pStyle w:val="CommentText"/>
      </w:pPr>
      <w:r>
        <w:rPr>
          <w:rStyle w:val="CommentReference"/>
        </w:rPr>
        <w:annotationRef/>
      </w:r>
      <w:r>
        <w:t xml:space="preserve">Citation - </w:t>
      </w:r>
      <w:r w:rsidRPr="00134542">
        <w:rPr>
          <w:rFonts w:ascii="Arial" w:hAnsi="Arial" w:cs="Arial"/>
          <w:color w:val="1B1B1B"/>
          <w:sz w:val="22"/>
          <w:szCs w:val="22"/>
          <w:shd w:val="clear" w:color="auto" w:fill="FFFFFF"/>
        </w:rPr>
        <w:t xml:space="preserve">Ty Sok, Chantha Oeurng, Vinhteang Kaing, Sabine Sauvage, Xixi Lu, and José Miguel Sánchez Pérez. "Nutrient transport and exchange between the Mekong River and Tonle Sap Lake in Cambodia" </w:t>
      </w:r>
      <w:r w:rsidRPr="00134542">
        <w:rPr>
          <w:rFonts w:ascii="Arial" w:hAnsi="Arial" w:cs="Arial"/>
          <w:i/>
          <w:iCs/>
          <w:color w:val="1B1B1B"/>
          <w:sz w:val="22"/>
          <w:szCs w:val="22"/>
          <w:shd w:val="clear" w:color="auto" w:fill="FFFFFF"/>
        </w:rPr>
        <w:t xml:space="preserve">Ecological engineering </w:t>
      </w:r>
      <w:r w:rsidRPr="00134542">
        <w:rPr>
          <w:rFonts w:ascii="Arial" w:hAnsi="Arial" w:cs="Arial"/>
          <w:color w:val="1B1B1B"/>
          <w:sz w:val="22"/>
          <w:szCs w:val="22"/>
          <w:shd w:val="clear" w:color="auto" w:fill="FFFFFF"/>
        </w:rPr>
        <w:t>176, (2022): 106527. doi: 10.1016/j.ecoleng.2021.106527</w:t>
      </w:r>
    </w:p>
  </w:comment>
  <w:comment w:id="4" w:author="McGervey, Teresa - ARS" w:date="2023-02-16T08:07:00Z" w:initials="MT-A">
    <w:p w14:paraId="7C27F421" w14:textId="69EA6747" w:rsidR="00B34489" w:rsidRDefault="00B34489">
      <w:pPr>
        <w:pStyle w:val="CommentText"/>
      </w:pPr>
      <w:r>
        <w:rPr>
          <w:rStyle w:val="CommentReference"/>
        </w:rPr>
        <w:annotationRef/>
      </w:r>
      <w:r>
        <w:t xml:space="preserve">Citation - </w:t>
      </w:r>
      <w:r w:rsidRPr="00B34489">
        <w:t xml:space="preserve">Janakiraman Vardhana, Ramarajan Sivasankaran, Thakku R. Ramkumar, and Jeyachandran Anitha. "Biogenic synthesis of copper nanoparticles using Vitis vinifera L. seed extract, and its in-vitro biological applications" </w:t>
      </w:r>
      <w:r w:rsidRPr="00B34489">
        <w:rPr>
          <w:i/>
          <w:iCs/>
        </w:rPr>
        <w:t>Journal of plant biochemistry and biotechnology</w:t>
      </w:r>
      <w:r w:rsidRPr="00B34489">
        <w:t xml:space="preserve"> 31, no. 3 (2022): 684-687. doi: 10.1007/s13562-022-00766-5</w:t>
      </w:r>
    </w:p>
  </w:comment>
  <w:comment w:id="5" w:author="McGervey, Teresa - ARS" w:date="2023-02-16T07:58:00Z" w:initials="MT-A">
    <w:p w14:paraId="45E52214" w14:textId="25B4D317" w:rsidR="008060F5" w:rsidRDefault="008060F5">
      <w:pPr>
        <w:pStyle w:val="CommentText"/>
      </w:pPr>
      <w:r>
        <w:rPr>
          <w:rStyle w:val="CommentReference"/>
        </w:rPr>
        <w:annotationRef/>
      </w:r>
      <w:r>
        <w:t xml:space="preserve">Citation - </w:t>
      </w:r>
      <w:r w:rsidRPr="008060F5">
        <w:t xml:space="preserve">Marilia Pastorello, Melba O. Gastal, Daniel B. Godoi, and Eduardo L. Gastal. "Emergence and selection of the dominant follicle and gonadotropin dynamics in postpartum lactating versus non-postpartum cycling mares" </w:t>
      </w:r>
      <w:r w:rsidRPr="008060F5">
        <w:rPr>
          <w:i/>
          <w:iCs/>
        </w:rPr>
        <w:t>Reproductive Biology</w:t>
      </w:r>
      <w:r w:rsidRPr="008060F5">
        <w:t xml:space="preserve"> 22, no. 2 (2022): 100618. doi: 10.1016/j.repbio.2022.100618</w:t>
      </w:r>
    </w:p>
  </w:comment>
  <w:comment w:id="6" w:author="McGervey, Teresa - ARS" w:date="2023-02-14T08:32:00Z" w:initials="MT-A">
    <w:p w14:paraId="3245D24C" w14:textId="42B9E3BB" w:rsidR="00673F5C" w:rsidRDefault="00673F5C">
      <w:pPr>
        <w:pStyle w:val="CommentText"/>
      </w:pPr>
      <w:r>
        <w:rPr>
          <w:rStyle w:val="CommentReference"/>
        </w:rPr>
        <w:annotationRef/>
      </w:r>
      <w:r>
        <w:t xml:space="preserve">Citation - </w:t>
      </w:r>
      <w:r w:rsidRPr="007838E0">
        <w:rPr>
          <w:sz w:val="24"/>
          <w:szCs w:val="24"/>
        </w:rPr>
        <w:t xml:space="preserve">Xue-An Liu, et al. "A Forest Geotexture-inspired Zno@ni/co Layered Double Hydroxide-based Device with Superior Electrochromic and Energy Storage Performance." </w:t>
      </w:r>
      <w:r w:rsidRPr="007838E0">
        <w:rPr>
          <w:i/>
          <w:iCs/>
          <w:sz w:val="24"/>
          <w:szCs w:val="24"/>
        </w:rPr>
        <w:t>Journal of materials chemistry A</w:t>
      </w:r>
      <w:r w:rsidRPr="007838E0">
        <w:rPr>
          <w:sz w:val="24"/>
          <w:szCs w:val="24"/>
        </w:rPr>
        <w:t>, v. 10 ,.23 pp. 12643-12655. doi: 10.1039/d2ta02399g</w:t>
      </w:r>
    </w:p>
  </w:comment>
  <w:comment w:id="7" w:author="McGervey, Teresa - ARS" w:date="2023-02-16T07:43:00Z" w:initials="MT-A">
    <w:p w14:paraId="1C84AFC8" w14:textId="03A198D9" w:rsidR="00253FD7" w:rsidRDefault="00253FD7">
      <w:pPr>
        <w:pStyle w:val="CommentText"/>
      </w:pPr>
      <w:r>
        <w:rPr>
          <w:rStyle w:val="CommentReference"/>
        </w:rPr>
        <w:annotationRef/>
      </w:r>
      <w:r>
        <w:t xml:space="preserve">Citation - </w:t>
      </w:r>
      <w:r w:rsidRPr="00253FD7">
        <w:t xml:space="preserve">Swee Yun Pang, Suhaimi Suratman, Mohd Talib Latif, Md Firoz Khan, Bernd R. T. Simoneit, and Norhayati Mohd Tahir. "Polycyclic aromatic hydrocarbons in coastal sediments of Southern Terengganu, South China Sea, Malaysia: source assessment using diagnostic ratios and multivariate statistic" </w:t>
      </w:r>
      <w:r w:rsidRPr="00253FD7">
        <w:rPr>
          <w:i/>
          <w:iCs/>
        </w:rPr>
        <w:t>Environmental science and pollution research</w:t>
      </w:r>
      <w:r w:rsidRPr="00253FD7">
        <w:t xml:space="preserve"> 29, no. 11 (2022): 15849-15862. doi: 10.1007/s11356-021-16762-6</w:t>
      </w:r>
    </w:p>
  </w:comment>
  <w:comment w:id="8" w:author="McGervey, Teresa - ARS" w:date="2023-02-16T07:51:00Z" w:initials="MT-A">
    <w:p w14:paraId="4DFF23CA" w14:textId="6B891A23" w:rsidR="007D3F7F" w:rsidRDefault="007D3F7F">
      <w:pPr>
        <w:pStyle w:val="CommentText"/>
      </w:pPr>
      <w:r>
        <w:rPr>
          <w:rStyle w:val="CommentReference"/>
        </w:rPr>
        <w:annotationRef/>
      </w:r>
      <w:r>
        <w:t xml:space="preserve">Citation - </w:t>
      </w:r>
      <w:r w:rsidRPr="007D3F7F">
        <w:t xml:space="preserve">Paul J. Somerfield, K. Robert Clarke, and Ray N. Gorley. "A generalised analysis of similarities (ANOSIM) statistic for designs with ordered factors" </w:t>
      </w:r>
      <w:r w:rsidRPr="007D3F7F">
        <w:rPr>
          <w:i/>
          <w:iCs/>
        </w:rPr>
        <w:t>Austral ecology</w:t>
      </w:r>
      <w:r w:rsidRPr="007D3F7F">
        <w:t xml:space="preserve"> 46, no. 6 (2021): 901-910. doi: 10.1111/aec.13043</w:t>
      </w:r>
    </w:p>
  </w:comment>
  <w:comment w:id="9" w:author="McGervey, Teresa - ARS" w:date="2023-02-14T08:36:00Z" w:initials="MT-A">
    <w:p w14:paraId="2F2D7400" w14:textId="6B30F032" w:rsidR="001B7988" w:rsidRDefault="001B7988">
      <w:pPr>
        <w:pStyle w:val="CommentText"/>
      </w:pPr>
      <w:r>
        <w:rPr>
          <w:rStyle w:val="CommentReference"/>
        </w:rPr>
        <w:annotationRef/>
      </w:r>
      <w:r>
        <w:t xml:space="preserve">Citation - </w:t>
      </w:r>
      <w:r w:rsidRPr="001B7988">
        <w:t xml:space="preserve">Emily M. Nagel, Marie Hickey, Levi M. Teigen, Adam Kuchnia, Holly Schifsky, Tara Holm, Carrie P. Earthman, Ellen Demerath, and Sara E. Ramel. "Ultrasound measurements of abdominal muscle thickness are associated with postmenstrual age at full oral feedings in preterm infants: A preliminary study" </w:t>
      </w:r>
      <w:r w:rsidRPr="001B7988">
        <w:rPr>
          <w:i/>
          <w:iCs/>
        </w:rPr>
        <w:t>Nutrition in clinical practice</w:t>
      </w:r>
      <w:r w:rsidRPr="001B7988">
        <w:t xml:space="preserve"> 36, no. 6 (2021): 1207-1214. doi: 10.1002/ncp.10670</w:t>
      </w:r>
    </w:p>
  </w:comment>
  <w:comment w:id="10" w:author="McGervey, Teresa - ARS" w:date="2023-02-14T08:38:00Z" w:initials="MT-A">
    <w:p w14:paraId="5F8BC51B" w14:textId="51B8BF19" w:rsidR="000E530A" w:rsidRDefault="000E530A">
      <w:pPr>
        <w:pStyle w:val="CommentText"/>
      </w:pPr>
      <w:r>
        <w:rPr>
          <w:rStyle w:val="CommentReference"/>
        </w:rPr>
        <w:annotationRef/>
      </w:r>
      <w:r>
        <w:t xml:space="preserve">Citation - </w:t>
      </w:r>
      <w:r>
        <w:rPr>
          <w:rFonts w:ascii="Arial" w:hAnsi="Arial" w:cs="Arial"/>
          <w:color w:val="1B1B1B"/>
          <w:shd w:val="clear" w:color="auto" w:fill="FFFFFF"/>
        </w:rPr>
        <w:t>Lingwa Wang, Ru Wang, Tianqiao Huang, Yifan Yang, Ling Feng, and Jugao Fang. "miR-211-3p enhances induction chemotherapy insensitivity by upregulating CSF2/CCL20/TNF signaling in hypopharyngeal squamous cell carcinoma" </w:t>
      </w:r>
      <w:r>
        <w:rPr>
          <w:rFonts w:ascii="Arial" w:hAnsi="Arial" w:cs="Arial"/>
          <w:i/>
          <w:iCs/>
          <w:color w:val="1B1B1B"/>
          <w:shd w:val="clear" w:color="auto" w:fill="FFFFFF"/>
        </w:rPr>
        <w:t>Molecular biology reports</w:t>
      </w:r>
      <w:r>
        <w:rPr>
          <w:rFonts w:ascii="Arial" w:hAnsi="Arial" w:cs="Arial"/>
          <w:color w:val="1B1B1B"/>
          <w:shd w:val="clear" w:color="auto" w:fill="FFFFFF"/>
        </w:rPr>
        <w:t> 49, no. 7 (2022): 6103-6112. doi: </w:t>
      </w:r>
      <w:hyperlink r:id="rId1" w:tgtFrame="_blank" w:tooltip="Visit Publisher Site" w:history="1">
        <w:r>
          <w:rPr>
            <w:rStyle w:val="Hyperlink"/>
            <w:rFonts w:ascii="Arial" w:hAnsi="Arial" w:cs="Arial"/>
            <w:color w:val="224F77"/>
            <w:shd w:val="clear" w:color="auto" w:fill="FFFFFF"/>
          </w:rPr>
          <w:t>10.1007/s11033-022-07401-5</w:t>
        </w:r>
      </w:hyperlink>
    </w:p>
  </w:comment>
  <w:comment w:id="11" w:author="McGervey, Teresa - ARS" w:date="2023-02-14T08:41:00Z" w:initials="MT-A">
    <w:p w14:paraId="6C4A8389" w14:textId="5E6B5CE5" w:rsidR="00E270C0" w:rsidRDefault="00E270C0">
      <w:pPr>
        <w:pStyle w:val="CommentText"/>
      </w:pPr>
      <w:r>
        <w:rPr>
          <w:rStyle w:val="CommentReference"/>
        </w:rPr>
        <w:annotationRef/>
      </w:r>
      <w:r>
        <w:t xml:space="preserve">Citation - </w:t>
      </w:r>
      <w:r w:rsidRPr="00E270C0">
        <w:t xml:space="preserve">Zhenzhen Wang, Renguang Wu, and Yuqi Wang. "Impacts of the East Asian winter monsoon on winter precipitation variability over East Asia-western North Pacific" </w:t>
      </w:r>
      <w:r w:rsidRPr="00E270C0">
        <w:rPr>
          <w:i/>
          <w:iCs/>
        </w:rPr>
        <w:t>Climate dynamics</w:t>
      </w:r>
      <w:r w:rsidRPr="00E270C0">
        <w:t xml:space="preserve"> 58, no. 11-12 (2022): 3041-3055. doi: 10.1007/s00382-021-06086-z</w:t>
      </w:r>
    </w:p>
  </w:comment>
  <w:comment w:id="12" w:author="McGervey, Teresa - ARS" w:date="2023-02-14T15:25:00Z" w:initials="MT-A">
    <w:p w14:paraId="0F22D125" w14:textId="71128AF7" w:rsidR="0034087D" w:rsidRDefault="0034087D">
      <w:pPr>
        <w:pStyle w:val="CommentText"/>
      </w:pPr>
      <w:r>
        <w:rPr>
          <w:rStyle w:val="CommentReference"/>
        </w:rPr>
        <w:annotationRef/>
      </w:r>
      <w:r>
        <w:t xml:space="preserve">Citation - </w:t>
      </w:r>
      <w:r w:rsidRPr="0034087D">
        <w:t xml:space="preserve">Yan Lü, Juan Li, Yuhui He, Lian‐Feng Zhao, and Jinhai Zhang. "Velocity and Anisotropic Structure of the Uppermost Mantle Beneath Central America and Northwestern South America From Pn Tomography" </w:t>
      </w:r>
      <w:r w:rsidRPr="0034087D">
        <w:rPr>
          <w:i/>
          <w:iCs/>
        </w:rPr>
        <w:t>Journal of geophysical research</w:t>
      </w:r>
      <w:r w:rsidRPr="0034087D">
        <w:t xml:space="preserve"> 127, no. 4 (2022): e2021JB023643. doi: 10.1029/2021JB023643</w:t>
      </w:r>
    </w:p>
  </w:comment>
  <w:comment w:id="13" w:author="McGervey, Teresa - ARS" w:date="2023-01-04T12:50:00Z" w:initials="MT-A">
    <w:p w14:paraId="527737CB" w14:textId="12862402" w:rsidR="002E0F98" w:rsidRDefault="002E0F98">
      <w:pPr>
        <w:pStyle w:val="CommentText"/>
      </w:pPr>
      <w:r>
        <w:rPr>
          <w:rStyle w:val="CommentReference"/>
        </w:rPr>
        <w:annotationRef/>
      </w:r>
      <w:r w:rsidRPr="002E0F98">
        <w:t>Barata, M.A., Bernstein, L., Marques, C.L. et al. An Introduction to the Issue of Consumer Law in South America. J Consum Policy 45, 1–6 (2022). https://doi.org/10.1007/s10603-022-09507-6</w:t>
      </w:r>
    </w:p>
  </w:comment>
  <w:comment w:id="14" w:author="McGervey, Teresa - ARS" w:date="2023-02-14T15:31:00Z" w:initials="MT-A">
    <w:p w14:paraId="495440AA" w14:textId="3B82CEE8" w:rsidR="000D3826" w:rsidRDefault="000D3826">
      <w:pPr>
        <w:pStyle w:val="CommentText"/>
      </w:pPr>
      <w:r>
        <w:rPr>
          <w:rStyle w:val="CommentReference"/>
        </w:rPr>
        <w:annotationRef/>
      </w:r>
      <w:r>
        <w:t xml:space="preserve">Citation - </w:t>
      </w:r>
      <w:r w:rsidRPr="000D3826">
        <w:t xml:space="preserve">Stefania Bertazzon, Isabelle Couloigner, and Mojgan Mirzaei. "Spatial regression modelling of particulate pollution in Calgary, Canada" </w:t>
      </w:r>
      <w:r w:rsidRPr="000D3826">
        <w:rPr>
          <w:i/>
          <w:iCs/>
        </w:rPr>
        <w:t>GeoJournal</w:t>
      </w:r>
      <w:r w:rsidRPr="000D3826">
        <w:t xml:space="preserve"> 87, no. 3 (2022): 2141-2157. doi: 10.1007/s10708-020-10345-7</w:t>
      </w:r>
    </w:p>
  </w:comment>
  <w:comment w:id="15" w:author="McGervey, Teresa - ARS" w:date="2023-02-14T08:44:00Z" w:initials="MT-A">
    <w:p w14:paraId="603E96B7" w14:textId="7FFBFE27" w:rsidR="00806ABA" w:rsidRDefault="00806ABA">
      <w:pPr>
        <w:pStyle w:val="CommentText"/>
      </w:pPr>
      <w:r>
        <w:rPr>
          <w:rStyle w:val="CommentReference"/>
        </w:rPr>
        <w:annotationRef/>
      </w:r>
      <w:r>
        <w:t xml:space="preserve">Citation - </w:t>
      </w:r>
      <w:r w:rsidRPr="008148F3">
        <w:rPr>
          <w:sz w:val="24"/>
          <w:szCs w:val="24"/>
        </w:rPr>
        <w:t xml:space="preserve">Masocha, B.L., Dikinya, O. &amp; Moseki, B. Bioavailability and contamination levels of Zn, Pb, and Cd in sandy-loam soils, Botswana. </w:t>
      </w:r>
      <w:r w:rsidRPr="008148F3">
        <w:rPr>
          <w:i/>
          <w:iCs/>
          <w:sz w:val="24"/>
          <w:szCs w:val="24"/>
        </w:rPr>
        <w:t>Environ Earth Sci</w:t>
      </w:r>
      <w:r w:rsidRPr="008148F3">
        <w:rPr>
          <w:sz w:val="24"/>
          <w:szCs w:val="24"/>
        </w:rPr>
        <w:t xml:space="preserve"> 81, 171 (2022). https://doi.org/10.1007/s12665-021-10129-3</w:t>
      </w:r>
    </w:p>
  </w:comment>
  <w:comment w:id="16" w:author="McGervey, Teresa - ARS" w:date="2023-02-14T08:47:00Z" w:initials="MT-A">
    <w:p w14:paraId="6A55C615" w14:textId="7CC76950" w:rsidR="00806ABA" w:rsidRDefault="00806ABA">
      <w:pPr>
        <w:pStyle w:val="CommentText"/>
      </w:pPr>
      <w:r>
        <w:rPr>
          <w:rStyle w:val="CommentReference"/>
        </w:rPr>
        <w:annotationRef/>
      </w:r>
      <w:r>
        <w:t xml:space="preserve">Citation - </w:t>
      </w:r>
      <w:r w:rsidRPr="00806ABA">
        <w:t xml:space="preserve">Daniel Real "Critical Agronomic Practices for Establishing the Recently Domesticated Perennial Herbaceous Forage Legume Tedera in Mediterranean-like Climatic Regions in Western Australia" </w:t>
      </w:r>
      <w:r w:rsidRPr="00806ABA">
        <w:rPr>
          <w:i/>
          <w:iCs/>
        </w:rPr>
        <w:t>Agronomy</w:t>
      </w:r>
      <w:r w:rsidRPr="00806ABA">
        <w:t xml:space="preserve"> 12, no. 2 (2022): -. doi: 10.3390/agronomy12020274</w:t>
      </w:r>
    </w:p>
  </w:comment>
  <w:comment w:id="18" w:author="McGervey, Teresa - ARS" w:date="2023-02-15T08:08:00Z" w:initials="MT-A">
    <w:p w14:paraId="288C4E0B" w14:textId="77777777" w:rsidR="00AC6895" w:rsidRDefault="00AC6895">
      <w:pPr>
        <w:pStyle w:val="CommentText"/>
      </w:pPr>
      <w:r>
        <w:rPr>
          <w:rStyle w:val="CommentReference"/>
        </w:rPr>
        <w:annotationRef/>
      </w:r>
      <w:r>
        <w:t xml:space="preserve">This is the case with Cogito Studio Express (CSE) but may be different with other computer-based indexing systems. </w:t>
      </w:r>
    </w:p>
    <w:p w14:paraId="73D2545F" w14:textId="299ABE89" w:rsidR="00BB037C" w:rsidRDefault="00BB037C">
      <w:pPr>
        <w:pStyle w:val="CommentText"/>
      </w:pPr>
      <w:r>
        <w:rPr>
          <w:noProof/>
        </w:rPr>
        <w:drawing>
          <wp:inline distT="0" distB="0" distL="0" distR="0" wp14:anchorId="308C4CA3" wp14:editId="1164CBE7">
            <wp:extent cx="9463314" cy="4140200"/>
            <wp:effectExtent l="19050" t="19050" r="241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2001" t="18888" r="2001" b="6442"/>
                    <a:stretch/>
                  </pic:blipFill>
                  <pic:spPr bwMode="auto">
                    <a:xfrm>
                      <a:off x="0" y="0"/>
                      <a:ext cx="9463314" cy="4140200"/>
                    </a:xfrm>
                    <a:prstGeom prst="rect">
                      <a:avLst/>
                    </a:prstGeom>
                    <a:ln w="15875">
                      <a:solidFill>
                        <a:schemeClr val="tx1"/>
                      </a:solidFill>
                    </a:ln>
                    <a:extLst>
                      <a:ext uri="{53640926-AAD7-44D8-BBD7-CCE9431645EC}">
                        <a14:shadowObscured xmlns:a14="http://schemas.microsoft.com/office/drawing/2010/main"/>
                      </a:ext>
                    </a:extLst>
                  </pic:spPr>
                </pic:pic>
              </a:graphicData>
            </a:graphic>
          </wp:inline>
        </w:drawing>
      </w:r>
    </w:p>
  </w:comment>
  <w:comment w:id="19" w:author="McGervey, Teresa - ARS" w:date="2023-02-15T10:43:00Z" w:initials="MT-A">
    <w:p w14:paraId="30E7A940" w14:textId="5B6D216B" w:rsidR="00C65017" w:rsidRDefault="00C65017">
      <w:pPr>
        <w:pStyle w:val="CommentText"/>
      </w:pPr>
      <w:r>
        <w:rPr>
          <w:rStyle w:val="CommentReference"/>
        </w:rPr>
        <w:annotationRef/>
      </w:r>
      <w:r>
        <w:t xml:space="preserve">Citation - </w:t>
      </w:r>
      <w:r w:rsidRPr="00C65017">
        <w:t xml:space="preserve">M. Arunkumar, S. Geetha, K. Amudha, R. Suresh, V. Ravichandran, and K. Geetha. "Genetic diversity and QTL-marker association analysis of rice germplasm for grain number per panicle and its contributing traits" </w:t>
      </w:r>
      <w:r w:rsidRPr="00C65017">
        <w:rPr>
          <w:i/>
          <w:iCs/>
        </w:rPr>
        <w:t>Electronic journal of plant breeding</w:t>
      </w:r>
      <w:r w:rsidRPr="00C65017">
        <w:t xml:space="preserve"> 13, no. 2 (2022): 558-566. doi: 10.37992/2022.1302.068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7DD31" w15:done="0"/>
  <w15:commentEx w15:paraId="160510B7" w15:done="0"/>
  <w15:commentEx w15:paraId="7DA6E946" w15:done="0"/>
  <w15:commentEx w15:paraId="7C27F421" w15:done="0"/>
  <w15:commentEx w15:paraId="45E52214" w15:done="0"/>
  <w15:commentEx w15:paraId="3245D24C" w15:done="0"/>
  <w15:commentEx w15:paraId="1C84AFC8" w15:done="0"/>
  <w15:commentEx w15:paraId="4DFF23CA" w15:done="0"/>
  <w15:commentEx w15:paraId="2F2D7400" w15:done="0"/>
  <w15:commentEx w15:paraId="5F8BC51B" w15:done="0"/>
  <w15:commentEx w15:paraId="6C4A8389" w15:done="0"/>
  <w15:commentEx w15:paraId="0F22D125" w15:done="0"/>
  <w15:commentEx w15:paraId="527737CB" w15:done="0"/>
  <w15:commentEx w15:paraId="495440AA" w15:done="0"/>
  <w15:commentEx w15:paraId="603E96B7" w15:done="0"/>
  <w15:commentEx w15:paraId="6A55C615" w15:done="0"/>
  <w15:commentEx w15:paraId="73D2545F" w15:done="0"/>
  <w15:commentEx w15:paraId="30E7A9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C302" w16cex:dateUtc="2023-02-14T13:21:00Z"/>
  <w16cex:commentExtensible w16cex:durableId="279865DA" w16cex:dateUtc="2023-02-16T13:20:00Z"/>
  <w16cex:commentExtensible w16cex:durableId="27986465" w16cex:dateUtc="2023-02-16T13:14:00Z"/>
  <w16cex:commentExtensible w16cex:durableId="279862C6" w16cex:dateUtc="2023-02-16T13:07:00Z"/>
  <w16cex:commentExtensible w16cex:durableId="27986091" w16cex:dateUtc="2023-02-16T12:58:00Z"/>
  <w16cex:commentExtensible w16cex:durableId="2795C5A4" w16cex:dateUtc="2023-02-14T13:32:00Z"/>
  <w16cex:commentExtensible w16cex:durableId="27985D3B" w16cex:dateUtc="2023-02-16T12:43:00Z"/>
  <w16cex:commentExtensible w16cex:durableId="27985F18" w16cex:dateUtc="2023-02-16T12:51:00Z"/>
  <w16cex:commentExtensible w16cex:durableId="2795C67A" w16cex:dateUtc="2023-02-14T13:36:00Z"/>
  <w16cex:commentExtensible w16cex:durableId="2795C713" w16cex:dateUtc="2023-02-14T13:38:00Z"/>
  <w16cex:commentExtensible w16cex:durableId="2795C7AD" w16cex:dateUtc="2023-02-14T13:41:00Z"/>
  <w16cex:commentExtensible w16cex:durableId="27962669" w16cex:dateUtc="2023-02-14T20:25:00Z"/>
  <w16cex:commentExtensible w16cex:durableId="275FF49E" w16cex:dateUtc="2023-01-04T17:50:00Z"/>
  <w16cex:commentExtensible w16cex:durableId="279627DE" w16cex:dateUtc="2023-02-14T20:31:00Z"/>
  <w16cex:commentExtensible w16cex:durableId="2795C851" w16cex:dateUtc="2023-02-14T13:44:00Z"/>
  <w16cex:commentExtensible w16cex:durableId="2795C90B" w16cex:dateUtc="2023-02-14T13:47:00Z"/>
  <w16cex:commentExtensible w16cex:durableId="2797118C" w16cex:dateUtc="2023-02-15T13:08:00Z"/>
  <w16cex:commentExtensible w16cex:durableId="279735E4" w16cex:dateUtc="2023-02-15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7DD31" w16cid:durableId="2795C302"/>
  <w16cid:commentId w16cid:paraId="160510B7" w16cid:durableId="279865DA"/>
  <w16cid:commentId w16cid:paraId="7DA6E946" w16cid:durableId="27986465"/>
  <w16cid:commentId w16cid:paraId="7C27F421" w16cid:durableId="279862C6"/>
  <w16cid:commentId w16cid:paraId="45E52214" w16cid:durableId="27986091"/>
  <w16cid:commentId w16cid:paraId="3245D24C" w16cid:durableId="2795C5A4"/>
  <w16cid:commentId w16cid:paraId="1C84AFC8" w16cid:durableId="27985D3B"/>
  <w16cid:commentId w16cid:paraId="4DFF23CA" w16cid:durableId="27985F18"/>
  <w16cid:commentId w16cid:paraId="2F2D7400" w16cid:durableId="2795C67A"/>
  <w16cid:commentId w16cid:paraId="5F8BC51B" w16cid:durableId="2795C713"/>
  <w16cid:commentId w16cid:paraId="6C4A8389" w16cid:durableId="2795C7AD"/>
  <w16cid:commentId w16cid:paraId="0F22D125" w16cid:durableId="27962669"/>
  <w16cid:commentId w16cid:paraId="527737CB" w16cid:durableId="275FF49E"/>
  <w16cid:commentId w16cid:paraId="495440AA" w16cid:durableId="279627DE"/>
  <w16cid:commentId w16cid:paraId="603E96B7" w16cid:durableId="2795C851"/>
  <w16cid:commentId w16cid:paraId="6A55C615" w16cid:durableId="2795C90B"/>
  <w16cid:commentId w16cid:paraId="73D2545F" w16cid:durableId="2797118C"/>
  <w16cid:commentId w16cid:paraId="30E7A940" w16cid:durableId="27973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E17B" w14:textId="77777777" w:rsidR="00C8523E" w:rsidRDefault="00C8523E" w:rsidP="00E43A71">
      <w:pPr>
        <w:spacing w:after="0" w:line="240" w:lineRule="auto"/>
      </w:pPr>
      <w:r>
        <w:separator/>
      </w:r>
    </w:p>
  </w:endnote>
  <w:endnote w:type="continuationSeparator" w:id="0">
    <w:p w14:paraId="18FE254E" w14:textId="77777777" w:rsidR="00C8523E" w:rsidRDefault="00C8523E" w:rsidP="00E4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7E91" w14:textId="77777777" w:rsidR="00E43A71" w:rsidRDefault="00E43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7206" w14:textId="77777777" w:rsidR="00E43A71" w:rsidRDefault="00E43A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E8FB" w14:textId="77777777" w:rsidR="00E43A71" w:rsidRDefault="00E43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66A3" w14:textId="77777777" w:rsidR="00C8523E" w:rsidRDefault="00C8523E" w:rsidP="00E43A71">
      <w:pPr>
        <w:spacing w:after="0" w:line="240" w:lineRule="auto"/>
      </w:pPr>
      <w:r>
        <w:separator/>
      </w:r>
    </w:p>
  </w:footnote>
  <w:footnote w:type="continuationSeparator" w:id="0">
    <w:p w14:paraId="7FD670A7" w14:textId="77777777" w:rsidR="00C8523E" w:rsidRDefault="00C8523E" w:rsidP="00E43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47CE" w14:textId="77777777" w:rsidR="00E43A71" w:rsidRDefault="00E43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371175"/>
      <w:docPartObj>
        <w:docPartGallery w:val="Watermarks"/>
        <w:docPartUnique/>
      </w:docPartObj>
    </w:sdtPr>
    <w:sdtContent>
      <w:p w14:paraId="488F78B2" w14:textId="0FD6498A" w:rsidR="00E43A71" w:rsidRDefault="00000000">
        <w:pPr>
          <w:pStyle w:val="Header"/>
        </w:pPr>
        <w:r>
          <w:rPr>
            <w:noProof/>
          </w:rPr>
          <w:pict w14:anchorId="082BBA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54" w14:textId="77777777" w:rsidR="00E43A71" w:rsidRDefault="00E43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855B4"/>
    <w:multiLevelType w:val="hybridMultilevel"/>
    <w:tmpl w:val="442CA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5201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ervey, Teresa - ARS">
    <w15:presenceInfo w15:providerId="AD" w15:userId="S::Teresa.McGervey@usda.gov::7f71a80d-e63c-4898-8e43-7411af47cb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0F"/>
    <w:rsid w:val="00062EDF"/>
    <w:rsid w:val="000D3826"/>
    <w:rsid w:val="000E2CBD"/>
    <w:rsid w:val="000E530A"/>
    <w:rsid w:val="000F433C"/>
    <w:rsid w:val="00132FC0"/>
    <w:rsid w:val="00134542"/>
    <w:rsid w:val="0013770A"/>
    <w:rsid w:val="00162F63"/>
    <w:rsid w:val="001820D3"/>
    <w:rsid w:val="001B5F31"/>
    <w:rsid w:val="001B7988"/>
    <w:rsid w:val="001F11B9"/>
    <w:rsid w:val="00205570"/>
    <w:rsid w:val="00227752"/>
    <w:rsid w:val="00234F91"/>
    <w:rsid w:val="00253FD7"/>
    <w:rsid w:val="0027301F"/>
    <w:rsid w:val="0029299F"/>
    <w:rsid w:val="002A4087"/>
    <w:rsid w:val="002D683C"/>
    <w:rsid w:val="002E0F98"/>
    <w:rsid w:val="002F3DFE"/>
    <w:rsid w:val="00313D66"/>
    <w:rsid w:val="0034087D"/>
    <w:rsid w:val="00355B02"/>
    <w:rsid w:val="003C4CBD"/>
    <w:rsid w:val="003E6AB0"/>
    <w:rsid w:val="004452A8"/>
    <w:rsid w:val="00470EC7"/>
    <w:rsid w:val="00484BAA"/>
    <w:rsid w:val="0049176A"/>
    <w:rsid w:val="004C445D"/>
    <w:rsid w:val="005175EA"/>
    <w:rsid w:val="0055500E"/>
    <w:rsid w:val="00561E3A"/>
    <w:rsid w:val="00581BFB"/>
    <w:rsid w:val="005D187B"/>
    <w:rsid w:val="005E16CD"/>
    <w:rsid w:val="006373EE"/>
    <w:rsid w:val="00664124"/>
    <w:rsid w:val="00673F5C"/>
    <w:rsid w:val="006F757A"/>
    <w:rsid w:val="007327AD"/>
    <w:rsid w:val="007838E0"/>
    <w:rsid w:val="00792B29"/>
    <w:rsid w:val="007C7BA0"/>
    <w:rsid w:val="007D3F7F"/>
    <w:rsid w:val="007F17AA"/>
    <w:rsid w:val="008060F5"/>
    <w:rsid w:val="00806ABA"/>
    <w:rsid w:val="008148F3"/>
    <w:rsid w:val="0085264D"/>
    <w:rsid w:val="00862CCB"/>
    <w:rsid w:val="00885763"/>
    <w:rsid w:val="008A2AB1"/>
    <w:rsid w:val="008E28BF"/>
    <w:rsid w:val="008F615F"/>
    <w:rsid w:val="00946E95"/>
    <w:rsid w:val="00954808"/>
    <w:rsid w:val="00982799"/>
    <w:rsid w:val="009968CA"/>
    <w:rsid w:val="009F3EF3"/>
    <w:rsid w:val="00A05922"/>
    <w:rsid w:val="00A129DB"/>
    <w:rsid w:val="00A60959"/>
    <w:rsid w:val="00AC6895"/>
    <w:rsid w:val="00B34489"/>
    <w:rsid w:val="00B42110"/>
    <w:rsid w:val="00B82A82"/>
    <w:rsid w:val="00BB037C"/>
    <w:rsid w:val="00BC39D4"/>
    <w:rsid w:val="00BE7F78"/>
    <w:rsid w:val="00C3330A"/>
    <w:rsid w:val="00C37E36"/>
    <w:rsid w:val="00C65017"/>
    <w:rsid w:val="00C8523E"/>
    <w:rsid w:val="00CC0062"/>
    <w:rsid w:val="00CD187A"/>
    <w:rsid w:val="00CD7C25"/>
    <w:rsid w:val="00CE7002"/>
    <w:rsid w:val="00D24804"/>
    <w:rsid w:val="00D57D5E"/>
    <w:rsid w:val="00D85A0F"/>
    <w:rsid w:val="00DE6A16"/>
    <w:rsid w:val="00DF4251"/>
    <w:rsid w:val="00DF59C0"/>
    <w:rsid w:val="00E0734F"/>
    <w:rsid w:val="00E270C0"/>
    <w:rsid w:val="00E43A71"/>
    <w:rsid w:val="00EE13E0"/>
    <w:rsid w:val="00EE70A9"/>
    <w:rsid w:val="00EE70AD"/>
    <w:rsid w:val="00F0308C"/>
    <w:rsid w:val="00F13163"/>
    <w:rsid w:val="00F426B3"/>
    <w:rsid w:val="00F6026D"/>
    <w:rsid w:val="00F72BD1"/>
    <w:rsid w:val="00FD0CB2"/>
    <w:rsid w:val="00FF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D6B56"/>
  <w15:chartTrackingRefBased/>
  <w15:docId w15:val="{2A111EB5-B321-41AB-9390-B75071BC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330A"/>
    <w:pPr>
      <w:spacing w:after="0" w:line="240" w:lineRule="auto"/>
    </w:pPr>
  </w:style>
  <w:style w:type="paragraph" w:styleId="Header">
    <w:name w:val="header"/>
    <w:basedOn w:val="Normal"/>
    <w:link w:val="HeaderChar"/>
    <w:uiPriority w:val="99"/>
    <w:unhideWhenUsed/>
    <w:rsid w:val="00E43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71"/>
  </w:style>
  <w:style w:type="paragraph" w:styleId="Footer">
    <w:name w:val="footer"/>
    <w:basedOn w:val="Normal"/>
    <w:link w:val="FooterChar"/>
    <w:uiPriority w:val="99"/>
    <w:unhideWhenUsed/>
    <w:rsid w:val="00E43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71"/>
  </w:style>
  <w:style w:type="character" w:styleId="CommentReference">
    <w:name w:val="annotation reference"/>
    <w:basedOn w:val="DefaultParagraphFont"/>
    <w:uiPriority w:val="99"/>
    <w:semiHidden/>
    <w:unhideWhenUsed/>
    <w:rsid w:val="002E0F98"/>
    <w:rPr>
      <w:sz w:val="16"/>
      <w:szCs w:val="16"/>
    </w:rPr>
  </w:style>
  <w:style w:type="paragraph" w:styleId="CommentText">
    <w:name w:val="annotation text"/>
    <w:basedOn w:val="Normal"/>
    <w:link w:val="CommentTextChar"/>
    <w:uiPriority w:val="99"/>
    <w:semiHidden/>
    <w:unhideWhenUsed/>
    <w:rsid w:val="002E0F98"/>
    <w:pPr>
      <w:spacing w:line="240" w:lineRule="auto"/>
    </w:pPr>
    <w:rPr>
      <w:sz w:val="20"/>
      <w:szCs w:val="20"/>
    </w:rPr>
  </w:style>
  <w:style w:type="character" w:customStyle="1" w:styleId="CommentTextChar">
    <w:name w:val="Comment Text Char"/>
    <w:basedOn w:val="DefaultParagraphFont"/>
    <w:link w:val="CommentText"/>
    <w:uiPriority w:val="99"/>
    <w:semiHidden/>
    <w:rsid w:val="002E0F98"/>
    <w:rPr>
      <w:sz w:val="20"/>
      <w:szCs w:val="20"/>
    </w:rPr>
  </w:style>
  <w:style w:type="paragraph" w:styleId="CommentSubject">
    <w:name w:val="annotation subject"/>
    <w:basedOn w:val="CommentText"/>
    <w:next w:val="CommentText"/>
    <w:link w:val="CommentSubjectChar"/>
    <w:uiPriority w:val="99"/>
    <w:semiHidden/>
    <w:unhideWhenUsed/>
    <w:rsid w:val="002E0F98"/>
    <w:rPr>
      <w:b/>
      <w:bCs/>
    </w:rPr>
  </w:style>
  <w:style w:type="character" w:customStyle="1" w:styleId="CommentSubjectChar">
    <w:name w:val="Comment Subject Char"/>
    <w:basedOn w:val="CommentTextChar"/>
    <w:link w:val="CommentSubject"/>
    <w:uiPriority w:val="99"/>
    <w:semiHidden/>
    <w:rsid w:val="002E0F98"/>
    <w:rPr>
      <w:b/>
      <w:bCs/>
      <w:sz w:val="20"/>
      <w:szCs w:val="20"/>
    </w:rPr>
  </w:style>
  <w:style w:type="character" w:styleId="Hyperlink">
    <w:name w:val="Hyperlink"/>
    <w:basedOn w:val="DefaultParagraphFont"/>
    <w:uiPriority w:val="99"/>
    <w:semiHidden/>
    <w:unhideWhenUsed/>
    <w:rsid w:val="000E5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doi.org/10.1007/s11033-022-07401-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McGervey, Teresa - ARS</dc:creator>
  <cp:keywords/>
  <dc:description/>
  <cp:lastModifiedBy>McGervey, Teresa - ARS</cp:lastModifiedBy>
  <cp:revision>83</cp:revision>
  <dcterms:created xsi:type="dcterms:W3CDTF">2022-12-28T14:52:00Z</dcterms:created>
  <dcterms:modified xsi:type="dcterms:W3CDTF">2023-02-16T17:51:00Z</dcterms:modified>
</cp:coreProperties>
</file>