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366F1"/>
          <w:sz w:val="52"/>
          <w:szCs w:val="52"/>
        </w:rPr>
        <w:t xml:space="preserve">HertzFlow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钱包面板资产统计 PRD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v2.0  |  2026-02-25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概述</w:t>
      </w:r>
    </w:p>
    <w:p>
      <w:pPr>
        <w:spacing w:after="1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当前钱包面板仅显示 USDT 可用余额，未统计 Pools、Vaults、持仓及挂单中的资产。本需求将钱包面板升级为全站资产总览，显示 Total Assets（USD）、Total PnL、Unrealised PnL，并在 Portfolio / Activity 两个标签页中展示持仓、订单、池子、金库及操作历史。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可扩展性</w:t>
      </w:r>
    </w:p>
    <w:p>
      <w:pPr>
        <w:spacing w:after="1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当前资产来源为 5 类（USDT Balance / Pools / Vaults / Positions / Orders）。架构设计上，Total Assets 采用“求和各资产源 valueUsd”的模式。未来新增资产类型（如 Staking、Lending、NFT 等）只需：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注册新的资产源（提供 name / valueUsd / color）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Total Assets 自动累加，分布条自动新增对应色段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Portfolio 标签页新增对应折叠区块</w:t>
      </w:r>
    </w:p>
    <w:p>
      <w:pPr>
        <w:spacing w:after="1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无需修改核心计算逻辑。PnL 体系同理：新资产类型的 unrealised/realised 分别注入对应公式的求和项即可。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Total Assets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计算公式</w:t>
      </w:r>
    </w:p>
    <w:p>
      <w:pPr>
        <w:shd w:fill="EEF0FB" w:val="clear"/>
        <w:spacing w:before="60" w:after="60"/>
        <w:ind w:left="400"/>
      </w:pPr>
      <w:r>
        <w:rPr>
          <w:rFonts w:ascii="Courier New" w:cs="Courier New" w:eastAsia="Courier New" w:hAnsi="Courier New"/>
          <w:color w:val="4338CA"/>
          <w:sz w:val="20"/>
          <w:szCs w:val="20"/>
        </w:rPr>
        <w:t xml:space="preserve">Total Assets = USDT Balance + Σ Pool Value + Σ Vault Value + Σ Position Net Value + Σ Order Collateral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各分项数据来源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4338CA"/>
                <w:sz w:val="21"/>
                <w:szCs w:val="21"/>
              </w:rPr>
              <w:t xml:space="preserve">分项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4338CA"/>
                <w:sz w:val="21"/>
                <w:szCs w:val="21"/>
              </w:rPr>
              <w:t xml:space="preserve">计算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4338CA"/>
                <w:sz w:val="21"/>
                <w:szCs w:val="21"/>
              </w:rPr>
              <w:t xml:space="preserve">数据来源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USDT Balance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用户 USDT 可用余额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钱包合约 balanceOf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Pool Value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Your Deposits + Earned Fees，每个 HzLP Pool 求和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Pools 合约 getUserInfo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Vault Value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Your Deposits + Your Earnings，每个 Vault 求和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Vaults 合约 getUserInfo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Position Net Value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Collateral + uPnL − Pending Fees，每个 Open Position 求和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Perps Engine getOpenPositions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Order Collateral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挂单占用抵押品总和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Order Book getOpenOrders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显示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标题：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TOTAL ASSETS（不带 (USD)，$ 已表达币种）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数值：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$X,XXX.XX，36px 粗体白色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Tooltip（ⓘ）：</w:t>
      </w:r>
      <w:r>
        <w:rPr>
          <w:rFonts w:ascii="Courier New" w:cs="Courier New" w:eastAsia="Courier New" w:hAnsi="Courier New"/>
          <w:color w:val="4338CA"/>
          <w:sz w:val="20"/>
          <w:szCs w:val="20"/>
        </w:rPr>
        <w:t xml:space="preserve">USDT Balance + Pools + Vaults + Positions (collateral + uPnL − fees) + Pending Order Collateral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USDT Balance 独立展示</w:t>
      </w:r>
    </w:p>
    <w:p>
      <w:pPr>
        <w:spacing w:after="1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在 Total Assets 下方单独展示 USDT 原始余额（如 1,000.35 USDT）及其 USD 等值（≈ $1,000.35），区分“全站总值”与“钱包现金”。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资产分布条</w:t>
      </w:r>
    </w:p>
    <w:p>
      <w:pPr>
        <w:spacing w:after="1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分段进度条 + 图例，按占比显示各资产类别。值为 0 的类别图例降为 35% 不透明度，进度条不显示该段。颜色编码与 dashboard 保持一致，由设计确认。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PnL 盈亏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Total PnL</w:t>
      </w:r>
    </w:p>
    <w:p>
      <w:pPr>
        <w:shd w:fill="EEF0FB" w:val="clear"/>
        <w:spacing w:before="60" w:after="60"/>
        <w:ind w:left="400"/>
      </w:pPr>
      <w:r>
        <w:rPr>
          <w:rFonts w:ascii="Courier New" w:cs="Courier New" w:eastAsia="Courier New" w:hAnsi="Courier New"/>
          <w:color w:val="4338CA"/>
          <w:sz w:val="20"/>
          <w:szCs w:val="20"/>
        </w:rPr>
        <w:t xml:space="preserve">Total PnL ($) = Unrealised PnL + Realised PnL</w:t>
      </w:r>
    </w:p>
    <w:p>
      <w:pPr>
        <w:shd w:fill="EEF0FB" w:val="clear"/>
        <w:spacing w:before="60" w:after="60"/>
        <w:ind w:left="400"/>
      </w:pPr>
      <w:r>
        <w:rPr>
          <w:rFonts w:ascii="Courier New" w:cs="Courier New" w:eastAsia="Courier New" w:hAnsi="Courier New"/>
          <w:color w:val="4338CA"/>
          <w:sz w:val="20"/>
          <w:szCs w:val="20"/>
        </w:rPr>
        <w:t xml:space="preserve">Total PnL (%) = Total PnL ($) / Total Bought × 100%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Total Bought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 = 用户历史所有投入本金总额，来源于 Event Indexer 聚合。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Tooltip：</w:t>
      </w:r>
      <w:r>
        <w:rPr>
          <w:rFonts w:ascii="Courier New" w:cs="Courier New" w:eastAsia="Courier New" w:hAnsi="Courier New"/>
          <w:color w:val="4338CA"/>
          <w:sz w:val="20"/>
          <w:szCs w:val="20"/>
        </w:rPr>
        <w:t xml:space="preserve">Total PnL ($) = Unrealised + Realised PnL；Total PnL (%) = Total PnL / Total Bought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Unrealised PnL</w:t>
      </w:r>
    </w:p>
    <w:p>
      <w:pPr>
        <w:shd w:fill="EEF0FB" w:val="clear"/>
        <w:spacing w:before="60" w:after="60"/>
        <w:ind w:left="400"/>
      </w:pPr>
      <w:r>
        <w:rPr>
          <w:rFonts w:ascii="Courier New" w:cs="Courier New" w:eastAsia="Courier New" w:hAnsi="Courier New"/>
          <w:color w:val="4338CA"/>
          <w:sz w:val="20"/>
          <w:szCs w:val="20"/>
        </w:rPr>
        <w:t xml:space="preserve">Unrealised PnL ($) = Positions uPnL + Pools uPnL + Vaults uPnL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Positions uPnL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 = Σ (position_uPnL − pending_fees)，来源 Perps Engine。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Pools uPnL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 = Σ earned_fees（未提取的手续费收益），来源 Pools 合约。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Vaults uPnL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 = Σ your_earnings（未提取的 vault 收益），来源 Vaults 合约。</w:t>
      </w:r>
    </w:p>
    <w:p>
      <w:pPr>
        <w:shd w:fill="EEF0FB" w:val="clear"/>
        <w:spacing w:before="60" w:after="60"/>
        <w:ind w:left="400"/>
      </w:pPr>
      <w:r>
        <w:rPr>
          <w:rFonts w:ascii="Courier New" w:cs="Courier New" w:eastAsia="Courier New" w:hAnsi="Courier New"/>
          <w:color w:val="4338CA"/>
          <w:sz w:val="20"/>
          <w:szCs w:val="20"/>
        </w:rPr>
        <w:t xml:space="preserve">Cost Basis = Σ position_collateral + Σ pool_deposits + Σ vault_deposits</w:t>
      </w:r>
    </w:p>
    <w:p>
      <w:pPr>
        <w:shd w:fill="EEF0FB" w:val="clear"/>
        <w:spacing w:before="60" w:after="60"/>
        <w:ind w:left="400"/>
      </w:pPr>
      <w:r>
        <w:rPr>
          <w:rFonts w:ascii="Courier New" w:cs="Courier New" w:eastAsia="Courier New" w:hAnsi="Courier New"/>
          <w:color w:val="4338CA"/>
          <w:sz w:val="20"/>
          <w:szCs w:val="20"/>
        </w:rPr>
        <w:t xml:space="preserve">Unrealised PnL (%) = Unrealised PnL ($) / Cost Basis × 100%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Tooltip：</w:t>
      </w:r>
      <w:r>
        <w:rPr>
          <w:rFonts w:ascii="Courier New" w:cs="Courier New" w:eastAsia="Courier New" w:hAnsi="Courier New"/>
          <w:color w:val="4338CA"/>
          <w:sz w:val="20"/>
          <w:szCs w:val="20"/>
        </w:rPr>
        <w:t xml:space="preserve">Unrealised PnL ($) = Profit/loss on current balance relative to cost basis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Realised PnL</w:t>
      </w:r>
    </w:p>
    <w:p>
      <w:pPr>
        <w:spacing w:after="1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不在面板上单独展示，作为 Total PnL 的计算输入。</w:t>
      </w:r>
    </w:p>
    <w:p>
      <w:pPr>
        <w:shd w:fill="EEF0FB" w:val="clear"/>
        <w:spacing w:before="60" w:after="60"/>
        <w:ind w:left="400"/>
      </w:pPr>
      <w:r>
        <w:rPr>
          <w:rFonts w:ascii="Courier New" w:cs="Courier New" w:eastAsia="Courier New" w:hAnsi="Courier New"/>
          <w:color w:val="4338CA"/>
          <w:sz w:val="20"/>
          <w:szCs w:val="20"/>
        </w:rPr>
        <w:t xml:space="preserve">Realised PnL = Σ closed_position_pnl + Σ withdrawn_pool_fees + Σ withdrawn_vault_earnings</w:t>
      </w:r>
    </w:p>
    <w:p>
      <w:pPr>
        <w:spacing w:after="1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数据来源：Event Indexer 中历史 Activity 记录的 PnL 字段求和。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显示规范</w:t>
      </w:r>
    </w:p>
    <w:p>
      <w:pPr>
        <w:spacing w:after="1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正值绿色 (#10B981)，负值红色 (#EF4444)。格式：+$XX.XX / -$XX.XX，百分比 +XX.XX% / -XX.XX%，统一 2 位小数。Cost Basis 或 Total Bought 为 0 时对应 % 显示 0.00%。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Portfolio</w:t>
      </w:r>
    </w:p>
    <w:p>
      <w:pPr>
        <w:spacing w:after="1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四个可折叠区块，默认全展开。无数据时显示空状态（虚线框 + 图标 + 引导文案）。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Positions</w:t>
      </w:r>
    </w:p>
    <w:p>
      <w:pPr>
        <w:spacing w:after="1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数据来源：Perps Engine getOpenPositions。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4338CA"/>
                <w:sz w:val="21"/>
                <w:szCs w:val="21"/>
              </w:rPr>
              <w:t xml:space="preserve">字段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4338CA"/>
                <w:sz w:val="21"/>
                <w:szCs w:val="21"/>
              </w:rPr>
              <w:t xml:space="preserve">说明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4338CA"/>
                <w:sz w:val="21"/>
                <w:szCs w:val="21"/>
              </w:rPr>
              <w:t xml:space="preserve">来源字段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Symbol + Leverage + Side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如 XAU/USD 51.5x Long，Side 绿/红标签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symbol / leverage / isLong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Size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仓位规模 ($)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size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Net Value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净值 = Collateral + uPnL − Fees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netValue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uPnL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未实现盈亏，含绝对值和百分比，红绿色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unrealisedPnl / unrealisedPnlPct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Orders</w:t>
      </w:r>
    </w:p>
    <w:p>
      <w:pPr>
        <w:spacing w:after="1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数据来源：Order Book getOpenOrders。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4338CA"/>
                <w:sz w:val="21"/>
                <w:szCs w:val="21"/>
              </w:rPr>
              <w:t xml:space="preserve">字段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4338CA"/>
                <w:sz w:val="21"/>
                <w:szCs w:val="21"/>
              </w:rPr>
              <w:t xml:space="preserve">说明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4338CA"/>
                <w:sz w:val="21"/>
                <w:szCs w:val="21"/>
              </w:rPr>
              <w:t xml:space="preserve">来源字段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Symbol + Type + Side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如 BTC/USD Limit Long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symbol / orderType / isLong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Size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订单规模 ($)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size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Price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触发价格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triggerPrice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Pools</w:t>
      </w:r>
    </w:p>
    <w:p>
      <w:pPr>
        <w:spacing w:after="1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数据来源：Pooling 合约 getUserInfo。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4338CA"/>
                <w:sz w:val="21"/>
                <w:szCs w:val="21"/>
              </w:rPr>
              <w:t xml:space="preserve">字段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4338CA"/>
                <w:sz w:val="21"/>
                <w:szCs w:val="21"/>
              </w:rPr>
              <w:t xml:space="preserve">说明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4338CA"/>
                <w:sz w:val="21"/>
                <w:szCs w:val="21"/>
              </w:rPr>
              <w:t xml:space="preserve">来源字段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Pool Name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如 HzLP: XAU/USD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poolName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Your Deposits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用户在该 Pool 的存款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userDeposits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Earned Fees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累计赚取的手续费，绿色 +$X.XX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earnedFees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Vaults</w:t>
      </w:r>
    </w:p>
    <w:p>
      <w:pPr>
        <w:spacing w:after="1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数据来源：Vault 合约 getUserInfo。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4338CA"/>
                <w:sz w:val="21"/>
                <w:szCs w:val="21"/>
              </w:rPr>
              <w:t xml:space="preserve">字段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4338CA"/>
                <w:sz w:val="21"/>
                <w:szCs w:val="21"/>
              </w:rPr>
              <w:t xml:space="preserve">说明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4338CA"/>
                <w:sz w:val="21"/>
                <w:szCs w:val="21"/>
              </w:rPr>
              <w:t xml:space="preserve">来源字段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Vault Name + APY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如 HertzFlow Bluechip Crypto，APY 绿色标签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vaultName / apy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Your Deposits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用户存入金额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userDeposits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Your Earnings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累计收益，绿色 +$X.XX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userEarnings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Activity</w:t>
      </w:r>
    </w:p>
    <w:p>
      <w:pPr>
        <w:spacing w:after="1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纯时间线列表，按时间倒序，无筛选。数据来源：Event Indexer API。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单条记录布局（三行卡片）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4338CA"/>
                <w:sz w:val="21"/>
                <w:szCs w:val="21"/>
              </w:rPr>
              <w:t xml:space="preserve">行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4338CA"/>
                <w:sz w:val="21"/>
                <w:szCs w:val="21"/>
              </w:rPr>
              <w:t xml:space="preserve">内容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4338CA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第一行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Asset 图标 + 名称 + Action 标签（含 Side）+ ⇗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如 🥇 XAU [Market Open Long] ⇗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第二行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Size / Price / PnL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三列网格；无 PnL 时两列；deposit/withdrawal 无 Price 时一列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第三行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完整时间戳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YYYY/MM/DD HH:MM:SS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字段规则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4338CA"/>
                <w:sz w:val="21"/>
                <w:szCs w:val="21"/>
              </w:rPr>
              <w:t xml:space="preserve">字段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4338CA"/>
                <w:sz w:val="21"/>
                <w:szCs w:val="21"/>
              </w:rPr>
              <w:t xml:space="preserve">规则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4338CA"/>
                <w:sz w:val="21"/>
                <w:szCs w:val="21"/>
              </w:rPr>
              <w:t xml:space="preserve">来源字段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Action 标签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显示 Action + Side，如 "Market Open Long" "Liquidated Long"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actionType + side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Size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开仓/加仓/入金显示 +$，平仓/减仓/清算/出金显示 -$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size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Price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执行价格，仅交易类记录显示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executionPrice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PnL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仅 close/liquidated/TP/SL 类记录显示，红绿色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realisedPnl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Timestamp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完整时间 YYYY/MM/DD HH:MM:SS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timestamp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⇗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跳转区块浏览器交易详情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txHash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订单类型枚举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4338CA"/>
                <w:sz w:val="21"/>
                <w:szCs w:val="21"/>
              </w:rPr>
              <w:t xml:space="preserve">类别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4338CA"/>
                <w:sz w:val="21"/>
                <w:szCs w:val="21"/>
              </w:rPr>
              <w:t xml:space="preserve">Actions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market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Market Open / Market Close / Market Increase / Market Decrease / Deposit / Withdrawal 及对应 Failed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limit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Limit Open / Limit Created / Limit Updated / Limit Cancelled / Failed Limit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take_profit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Take Profit (close) / TP Decrease / TP Created / TP Updated / TP Cancelled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stop_loss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Stop Loss (close) / SL Decrease / SL Created / SL Updated / SL Cancelled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liquidated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Liquidated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边界情况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4338CA"/>
                <w:sz w:val="21"/>
                <w:szCs w:val="21"/>
              </w:rPr>
              <w:t xml:space="preserve">场景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4338CA"/>
                <w:sz w:val="21"/>
                <w:szCs w:val="21"/>
              </w:rPr>
              <w:t xml:space="preserve">处理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未连接钱包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所有数值显示 $0.00，引导连接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某接口失败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已加载部分正常显示，失败部分显示 “—” + Retry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所有模块为空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Total Assets = USDT Balance，各区块显示空状态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Cost Basis / Total Bought = 0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对应 PnL % 显示 0.00%，避免除以零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历史记录为空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Activity 列表显示空状态</w:t>
            </w:r>
          </w:p>
        </w:tc>
      </w:tr>
    </w:tbl>
    <w:p>
      <w:pPr>
        <w:pBdr>
          <w:bottom w:val="single" w:color="E5E7EB" w:sz="3" w:space="1"/>
        </w:pBdr>
        <w:spacing w:before="160" w:after="1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UI 规范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数值统一 2 位小数 + 千分位分隔符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Tooltip：Hover/Click 触发，鼠标可移入浮层复制文字（150ms 延迟关闭），向下弹出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ⓘ 图标：16px 圆形底色 + border，保证点击区域可见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折叠区块默认全展开，数量徽章有数据时紫色、无数据时暗色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颜色体系与 dashboard 保持一致，具体色值由设计确认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字段名称全站统一：Size / Net Value / uPnL / Your Deposits / Earned Fees / Your Earnings 等与 Trade、Pools、Vaults 页保持一致</w:t>
      </w:r>
    </w:p>
    <w:p>
      <w:pPr>
        <w:pBdr>
          <w:bottom w:val="single" w:color="E5E7EB" w:sz="3" w:space="1"/>
        </w:pBdr>
        <w:spacing w:before="160" w:after="1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数据流</w:t>
      </w:r>
    </w:p>
    <w:p>
      <w:pPr>
        <w:spacing w:after="1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钱包连接后并行拉取各数据源，前端计算 Total Assets / PnL，后续通过 WebSocket 增量更新。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80"/>
        <w:gridCol w:w="268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4338CA"/>
                <w:sz w:val="21"/>
                <w:szCs w:val="21"/>
              </w:rPr>
              <w:t xml:space="preserve">数据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4338CA"/>
                <w:sz w:val="21"/>
                <w:szCs w:val="21"/>
              </w:rPr>
              <w:t xml:space="preserve">接口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4338CA"/>
                <w:sz w:val="21"/>
                <w:szCs w:val="21"/>
              </w:rPr>
              <w:t xml:space="preserve">更新频率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USDT Balance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钱包合约 balanceOf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实时 / WebSocket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Pools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Pools 合约 getUserInfo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实时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Vaults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Vaults 合约 getUserInfo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实时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Positions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Perps Engine getOpenPositions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实时 / 5s 轮询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Orders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Order Book getOpenOrders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实时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Activities / Realised PnL / Total Bought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Event Indexer API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增量拉取</w:t>
            </w:r>
          </w:p>
        </w:tc>
      </w:tr>
    </w:tbl>
    <w:p>
      <w:pPr>
        <w:pBdr>
          <w:bottom w:val="single" w:color="E5E7EB" w:sz="3" w:space="1"/>
        </w:pBdr>
        <w:spacing w:before="160" w:after="1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后续规划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Pool IL（Impermanent Loss）计算纳入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Vault HzV Token 折算精度优化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PnL 历史图表（时间线盈亏曲线）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新资产类型接入（Staking / Lending 等）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多钱包支持</w:t>
      </w:r>
    </w:p>
    <w:p>
      <w:pPr>
        <w:spacing w:after="1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/>
      </w:r>
    </w:p>
    <w:p>
      <w:pPr>
        <w:pBdr>
          <w:bottom w:val="single" w:color="E5E7EB" w:sz="3" w:space="1"/>
        </w:pBdr>
        <w:spacing w:before="160" w:after="160"/>
      </w:pPr>
    </w:p>
    <w:p>
      <w:pPr>
        <w:spacing w:after="10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HertzFlow — Wallet Panel PRD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2026-02-25T03:29:54.394Z</dcterms:created>
  <dcterms:modified xsi:type="dcterms:W3CDTF">2026-02-25T03:29:54.395Z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