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THE ADVANCED DIPLOMA IN INTERNATIONAL TAXATION</w:t>
      </w:r>
    </w:p>
    <w:p>
      <w:pPr>
        <w:jc w:val="center"/>
      </w:pPr>
      <w:r>
        <w:rPr>
          <w:b/>
        </w:rPr>
        <w:t>Mock Examination – November 2025</w:t>
        <w:br/>
      </w:r>
      <w:r>
        <w:t>MODULE 3.03 – TRANSFER PRICING OPTION</w:t>
        <w:br/>
      </w:r>
      <w:r>
        <w:t>ADVANCED INTERNATIONAL TAXATION (THEMATIC)</w:t>
        <w:br/>
        <w:br/>
      </w:r>
      <w:r>
        <w:t>TIME ALLOWED – 3¼ HOURS</w:t>
      </w:r>
    </w:p>
    <w:p/>
    <w:p>
      <w:r>
        <w:rPr>
          <w:b/>
        </w:rPr>
        <w:t>Examination Format and Instructions</w:t>
      </w:r>
    </w:p>
    <w:p>
      <w:r>
        <w:t>This exam paper has three parts: Part A, Part B and Part C.</w:t>
        <w:br/>
        <w:br/>
        <w:t>You need to answer five questions in total. You will not receive marks for any additional answers.</w:t>
        <w:br/>
        <w:br/>
        <w:t>You must answer:</w:t>
        <w:br/>
        <w:t>• Both questions in Part A (25 marks each)</w:t>
        <w:br/>
        <w:t>• One question from Part B (20 marks)</w:t>
        <w:br/>
        <w:t>• Two questions from Part C (15 marks each)</w:t>
        <w:br/>
        <w:br/>
        <w:t>Further Instructions:</w:t>
        <w:br/>
        <w:t>• All workings should be made in appropriate monetary currency, unless otherwise stated. Any monetary calculations should be made to the nearest whole unit of currency. Any necessary time apportionments in your calculations should be made to the nearest whole month.</w:t>
        <w:br/>
        <w:t>• You must provide appropriate line breaks between each question, and clearly indicate the start of each new question using the formatting tools available.</w:t>
        <w:br/>
        <w:t>• Marks may be allocated for clarity of presentation of your answers.</w:t>
        <w:br/>
        <w:t>• The time you spend answering questions should correspond broadly to the number of marks available for that question.</w:t>
        <w:br/>
        <w:t>• Although references and short quotes from the OECD Transfer Pricing Guidelines can be included in your answer, you will not receive any marks for copying directly from the OECD Transfer Pricing Guidelines.</w:t>
      </w:r>
    </w:p>
    <w:p>
      <w:r>
        <w:br w:type="page"/>
      </w:r>
    </w:p>
    <w:p>
      <w:r>
        <w:rPr>
          <w:b/>
        </w:rPr>
        <w:t>PART A</w:t>
      </w:r>
    </w:p>
    <w:p>
      <w:r>
        <w:t>You are required to answer BOTH questions from this Part.</w:t>
      </w:r>
    </w:p>
    <w:p/>
    <w:p/>
    <w:p>
      <w:r>
        <w:rPr>
          <w:b/>
        </w:rPr>
        <w:t>The following facts apply to both Questions 1 and 2.</w:t>
      </w:r>
    </w:p>
    <w:p>
      <w:r>
        <w:br/>
        <w:t>EuroTech Manufacturing Group (hereafter "EuroTech Group") was established in 1980 and is a multinational group specialising in the design, manufacture and distribution of advanced semiconductor testing equipment. The group operates through wholly owned subsidiary companies domiciled in various jurisdictions where it operates.</w:t>
        <w:br/>
        <w:br/>
        <w:t>The ultimate parent entity (UPE) of EuroTech Group is EuroTech plc, located in the United Kingdom. The group owns significant intellectual property (IP) including proprietary manufacturing techniques, patents, trademarks and trade secrets. EuroTech Group is recognised as a global leader in semiconductor testing solutions and maintains premium pricing across all markets.</w:t>
        <w:br/>
        <w:br/>
        <w:t>EuroTech Group has centralised key functions including treasury, procurement, research and development (R&amp;D), and information technology services among group members.</w:t>
        <w:br/>
        <w:br/>
        <w:t>You have been provided with the following summary of EuroTech Group entities (based on information from the Country by Country Report (CbCR) for the year ended 31 December 2024):</w:t>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Entity</w:t>
            </w:r>
          </w:p>
        </w:tc>
        <w:tc>
          <w:tcPr>
            <w:tcW w:type="dxa" w:w="1560"/>
          </w:tcPr>
          <w:p>
            <w:r>
              <w:t>Income Tax Rate</w:t>
            </w:r>
          </w:p>
        </w:tc>
        <w:tc>
          <w:tcPr>
            <w:tcW w:type="dxa" w:w="1560"/>
          </w:tcPr>
          <w:p>
            <w:r>
              <w:t>Net Profit to Sales (%)</w:t>
            </w:r>
          </w:p>
        </w:tc>
        <w:tc>
          <w:tcPr>
            <w:tcW w:type="dxa" w:w="1560"/>
          </w:tcPr>
          <w:p>
            <w:r>
              <w:t>Sales to External Customers (£m)</w:t>
            </w:r>
          </w:p>
        </w:tc>
        <w:tc>
          <w:tcPr>
            <w:tcW w:type="dxa" w:w="1560"/>
          </w:tcPr>
          <w:p>
            <w:r>
              <w:t>Sales to Group (£m)</w:t>
            </w:r>
          </w:p>
        </w:tc>
        <w:tc>
          <w:tcPr>
            <w:tcW w:type="dxa" w:w="1560"/>
          </w:tcPr>
          <w:p>
            <w:r>
              <w:t>Employees</w:t>
            </w:r>
          </w:p>
        </w:tc>
      </w:tr>
      <w:tr>
        <w:tc>
          <w:tcPr>
            <w:tcW w:type="dxa" w:w="1560"/>
          </w:tcPr>
          <w:p>
            <w:r>
              <w:t>EuroTech plc</w:t>
            </w:r>
          </w:p>
        </w:tc>
        <w:tc>
          <w:tcPr>
            <w:tcW w:type="dxa" w:w="1560"/>
          </w:tcPr>
          <w:p>
            <w:r>
              <w:t>25%</w:t>
            </w:r>
          </w:p>
        </w:tc>
        <w:tc>
          <w:tcPr>
            <w:tcW w:type="dxa" w:w="1560"/>
          </w:tcPr>
          <w:p>
            <w:r>
              <w:t>3.2%</w:t>
            </w:r>
          </w:p>
        </w:tc>
        <w:tc>
          <w:tcPr>
            <w:tcW w:type="dxa" w:w="1560"/>
          </w:tcPr>
          <w:p>
            <w:r>
              <w:t>450</w:t>
            </w:r>
          </w:p>
        </w:tc>
        <w:tc>
          <w:tcPr>
            <w:tcW w:type="dxa" w:w="1560"/>
          </w:tcPr>
          <w:p>
            <w:r>
              <w:t>120</w:t>
            </w:r>
          </w:p>
        </w:tc>
        <w:tc>
          <w:tcPr>
            <w:tcW w:type="dxa" w:w="1560"/>
          </w:tcPr>
          <w:p>
            <w:r>
              <w:t>1,800</w:t>
            </w:r>
          </w:p>
        </w:tc>
      </w:tr>
      <w:tr>
        <w:tc>
          <w:tcPr>
            <w:tcW w:type="dxa" w:w="1560"/>
          </w:tcPr>
          <w:p>
            <w:r>
              <w:t>TechNord AS</w:t>
            </w:r>
          </w:p>
        </w:tc>
        <w:tc>
          <w:tcPr>
            <w:tcW w:type="dxa" w:w="1560"/>
          </w:tcPr>
          <w:p>
            <w:r>
              <w:t>22%</w:t>
            </w:r>
          </w:p>
        </w:tc>
        <w:tc>
          <w:tcPr>
            <w:tcW w:type="dxa" w:w="1560"/>
          </w:tcPr>
          <w:p>
            <w:r>
              <w:t>8%</w:t>
            </w:r>
          </w:p>
        </w:tc>
        <w:tc>
          <w:tcPr>
            <w:tcW w:type="dxa" w:w="1560"/>
          </w:tcPr>
          <w:p>
            <w:r>
              <w:t>80</w:t>
            </w:r>
          </w:p>
        </w:tc>
        <w:tc>
          <w:tcPr>
            <w:tcW w:type="dxa" w:w="1560"/>
          </w:tcPr>
          <w:p>
            <w:r>
              <w:t>0</w:t>
            </w:r>
          </w:p>
        </w:tc>
        <w:tc>
          <w:tcPr>
            <w:tcW w:type="dxa" w:w="1560"/>
          </w:tcPr>
          <w:p>
            <w:r>
              <w:t>900</w:t>
            </w:r>
          </w:p>
        </w:tc>
      </w:tr>
      <w:tr>
        <w:tc>
          <w:tcPr>
            <w:tcW w:type="dxa" w:w="1560"/>
          </w:tcPr>
          <w:p>
            <w:r>
              <w:t>TechMed Ltd</w:t>
            </w:r>
          </w:p>
        </w:tc>
        <w:tc>
          <w:tcPr>
            <w:tcW w:type="dxa" w:w="1560"/>
          </w:tcPr>
          <w:p>
            <w:r>
              <w:t>17%</w:t>
            </w:r>
          </w:p>
        </w:tc>
        <w:tc>
          <w:tcPr>
            <w:tcW w:type="dxa" w:w="1560"/>
          </w:tcPr>
          <w:p>
            <w:r>
              <w:t>22%</w:t>
            </w:r>
          </w:p>
        </w:tc>
        <w:tc>
          <w:tcPr>
            <w:tcW w:type="dxa" w:w="1560"/>
          </w:tcPr>
          <w:p>
            <w:r>
              <w:t>35</w:t>
            </w:r>
          </w:p>
        </w:tc>
        <w:tc>
          <w:tcPr>
            <w:tcW w:type="dxa" w:w="1560"/>
          </w:tcPr>
          <w:p>
            <w:r>
              <w:t>0</w:t>
            </w:r>
          </w:p>
        </w:tc>
        <w:tc>
          <w:tcPr>
            <w:tcW w:type="dxa" w:w="1560"/>
          </w:tcPr>
          <w:p>
            <w:r>
              <w:t>150</w:t>
            </w:r>
          </w:p>
        </w:tc>
      </w:tr>
      <w:tr>
        <w:tc>
          <w:tcPr>
            <w:tcW w:type="dxa" w:w="1560"/>
          </w:tcPr>
          <w:p>
            <w:r>
              <w:t>TechFlow Inc</w:t>
            </w:r>
          </w:p>
        </w:tc>
        <w:tc>
          <w:tcPr>
            <w:tcW w:type="dxa" w:w="1560"/>
          </w:tcPr>
          <w:p>
            <w:r>
              <w:t>26%</w:t>
            </w:r>
          </w:p>
        </w:tc>
        <w:tc>
          <w:tcPr>
            <w:tcW w:type="dxa" w:w="1560"/>
          </w:tcPr>
          <w:p>
            <w:r>
              <w:t>9%</w:t>
            </w:r>
          </w:p>
        </w:tc>
        <w:tc>
          <w:tcPr>
            <w:tcW w:type="dxa" w:w="1560"/>
          </w:tcPr>
          <w:p>
            <w:r>
              <w:t>210</w:t>
            </w:r>
          </w:p>
        </w:tc>
        <w:tc>
          <w:tcPr>
            <w:tcW w:type="dxa" w:w="1560"/>
          </w:tcPr>
          <w:p>
            <w:r>
              <w:t>0</w:t>
            </w:r>
          </w:p>
        </w:tc>
        <w:tc>
          <w:tcPr>
            <w:tcW w:type="dxa" w:w="1560"/>
          </w:tcPr>
          <w:p>
            <w:r>
              <w:t>400</w:t>
            </w:r>
          </w:p>
        </w:tc>
      </w:tr>
      <w:tr>
        <w:tc>
          <w:tcPr>
            <w:tcW w:type="dxa" w:w="1560"/>
          </w:tcPr>
          <w:p>
            <w:r>
              <w:t>TechVenture Sdn Bhd</w:t>
            </w:r>
          </w:p>
        </w:tc>
        <w:tc>
          <w:tcPr>
            <w:tcW w:type="dxa" w:w="1560"/>
          </w:tcPr>
          <w:p>
            <w:r>
              <w:t>24%</w:t>
            </w:r>
          </w:p>
        </w:tc>
        <w:tc>
          <w:tcPr>
            <w:tcW w:type="dxa" w:w="1560"/>
          </w:tcPr>
          <w:p>
            <w:r>
              <w:t>45%</w:t>
            </w:r>
          </w:p>
        </w:tc>
        <w:tc>
          <w:tcPr>
            <w:tcW w:type="dxa" w:w="1560"/>
          </w:tcPr>
          <w:p>
            <w:r>
              <w:t>60</w:t>
            </w:r>
          </w:p>
        </w:tc>
        <w:tc>
          <w:tcPr>
            <w:tcW w:type="dxa" w:w="1560"/>
          </w:tcPr>
          <w:p>
            <w:r>
              <w:t>0</w:t>
            </w:r>
          </w:p>
        </w:tc>
        <w:tc>
          <w:tcPr>
            <w:tcW w:type="dxa" w:w="1560"/>
          </w:tcPr>
          <w:p>
            <w:r>
              <w:t>50</w:t>
            </w:r>
          </w:p>
        </w:tc>
      </w:tr>
    </w:tbl>
    <w:p/>
    <w:p>
      <w:r>
        <w:rPr>
          <w:b/>
        </w:rPr>
        <w:t>Question 1</w:t>
      </w:r>
    </w:p>
    <w:p>
      <w:r>
        <w:t>You are required to complete the following activities with references, where relevant, to the appropriate Transfer Pricing Guidelines:</w:t>
        <w:br/>
        <w:br/>
        <w:t>1) Delineate the transactions between the associated enterprises within EuroTech Group, identifying the nature and characteristics of each transaction. (12 marks)</w:t>
        <w:br/>
        <w:br/>
        <w:t>2) Perform a functional analysis of EuroTech Group and characterise each entity, including consideration of functions, assets and risks. (13 marks)</w:t>
        <w:br/>
        <w:br/>
        <w:t>Total (25 marks)</w:t>
      </w:r>
    </w:p>
    <w:p/>
    <w:p>
      <w:r>
        <w:rPr>
          <w:b/>
        </w:rPr>
        <w:t>Question 2</w:t>
      </w:r>
    </w:p>
    <w:p>
      <w:r>
        <w:t>You are required to:</w:t>
        <w:br/>
        <w:br/>
        <w:t>1) Advise, with reasoning, on the most appropriate transfer pricing methodology that should apply to each transaction between the associated EuroTech Group enterprises. (10 marks)</w:t>
        <w:br/>
        <w:br/>
        <w:t>2) Advise on potential sources of comparability data based on the facts provided, and identify any potential comparables. (10 marks)</w:t>
        <w:br/>
        <w:br/>
        <w:t>3) Identify and discuss any material concerns in relation to EuroTech Group in the application of the arm's length principle, including any risk areas for transfer pricing adjustment. (5 marks)</w:t>
        <w:br/>
        <w:br/>
        <w:t>Total (25 marks)</w:t>
      </w:r>
    </w:p>
    <w:p>
      <w:r>
        <w:br w:type="page"/>
      </w:r>
    </w:p>
    <w:p>
      <w:r>
        <w:rPr>
          <w:b/>
        </w:rPr>
        <w:t>PART B</w:t>
      </w:r>
    </w:p>
    <w:p>
      <w:r>
        <w:t>You are required to answer ONE question from this Part.</w:t>
      </w:r>
    </w:p>
    <w:p/>
    <w:p>
      <w:r>
        <w:rPr>
          <w:b/>
        </w:rPr>
        <w:t>Question 3</w:t>
      </w:r>
    </w:p>
    <w:p>
      <w:r>
        <w:t>GreenEnergy Holdings is a multinational group engaged in the development, manufacture and distribution of renewable energy storage solutions. The group is recognised globally for innovative battery technology with a strong market reputation.</w:t>
        <w:br/>
        <w:br/>
        <w:t>GreenEnergy Holdings plc is the ultimate parent entity, tax resident in Country X with a headline corporate tax rate of 28%. The company owns all IP including patents, designs and proprietary technology. It operates a research and development facility and manufacturing plant, and performs global management and strategic planning functions. It distributes products to associated distributors and independent retailers.</w:t>
        <w:br/>
        <w:br/>
        <w:t>StorageTech Sub 1 is a wholly owned subsidiary, tax resident in Country Y (tax rate 16%). It purchases finished products from GreenEnergy Holdings plc and distributes them to retail partners and online customers in Country Y. It pays a royalty of 6% of sales for IP utilisation.</w:t>
        <w:br/>
        <w:br/>
        <w:t>StorageTech Sub 2 is a wholly owned subsidiary, tax resident in Country Z (tax rate 12%). It purchases finished products and sells them to independent distributors. It pays a royalty of 6% of sales and receives marketing support from GreenEnergy Holdings plc.</w:t>
        <w:br/>
        <w:br/>
        <w:t>As part of a strategic value chain reorganisation, the following changes are proposed:</w:t>
        <w:br/>
        <w:br/>
        <w:t>1) All IP will be transferred to a newly created company, StorageTech Sub 3, tax resident in Country A (tax rate 8%), along with R&amp;D functions.</w:t>
        <w:br/>
        <w:br/>
        <w:t>2) Royalty rates will increase from 6% to 8% of sales, payable to StorageTech Sub 3.</w:t>
        <w:br/>
        <w:br/>
        <w:t>3) Manufacturing will be transferred to a newly created entity, StorageTech Sub 4, tax resident in Country B (tax rate 14%), operating as a contract manufacturer.</w:t>
        <w:br/>
        <w:br/>
        <w:t>4) GreenEnergy Holdings plc will now focus on strategic management, treasury and administrative services for all group entities.</w:t>
        <w:br/>
        <w:br/>
        <w:t>You are required to discuss the transfer pricing implications and risks of the proposed changes, including analysis of functions, assets and risks for each entity in the group. (20 marks)</w:t>
      </w:r>
    </w:p>
    <w:p/>
    <w:p>
      <w:r>
        <w:rPr>
          <w:b/>
        </w:rPr>
        <w:t>Question 4</w:t>
      </w:r>
    </w:p>
    <w:p>
      <w:r>
        <w:t>Meridian Consulting Group (MCG) is a multinational professional services firm headquartered in Jurisdiction A. MCG's local board approved a proposal to undertake a major infrastructure consulting project in Jurisdiction B, including feasibility studies, design and project management services.</w:t>
        <w:br/>
        <w:br/>
        <w:t>MCG's senior management travelled to Jurisdiction B on multiple occasions to negotiate the contract with the government. The final contract was signed by senior executives in Jurisdiction A and transmitted electronically to the Jurisdiction B authorities.</w:t>
        <w:br/>
        <w:br/>
        <w:t>MCG has appointed a project team comprising 15 senior consultants and engineers on a permanent basis in Jurisdiction B, along with 5 support staff. These personnel work on-site at the Jurisdiction B government offices. MCG has rented office space in Jurisdiction B's capital city for a three-year renewable period. The lease commenced with effect from January 2024.</w:t>
        <w:br/>
        <w:br/>
        <w:t>MCG has engaged both independent and related companies to carry out various activities including detailed engineering, environmental assessments and specialist technical work. The project is expected to run for 48 months.</w:t>
        <w:br/>
        <w:br/>
        <w:t>MCG's senior partner from Jurisdiction A will visit Jurisdiction B quarterly to review progress and meet with government officials, but day-to-day management is handled by the project manager based in Jurisdiction B.</w:t>
        <w:br/>
        <w:br/>
        <w:t>1) You are required to discuss any permanent establishment (PE) issues that may arise based on the facts provided, with reference to relevant OECD Transfer Pricing Guidelines provisions. (15 marks)</w:t>
        <w:br/>
        <w:br/>
        <w:t>2) What consideration would you give to the attribution of profits and/or losses to any potential PEs, including considerations of the authorised OECD approach? (5 marks)</w:t>
        <w:br/>
        <w:br/>
        <w:t>Total (20 marks)</w:t>
      </w:r>
    </w:p>
    <w:p>
      <w:r>
        <w:br w:type="page"/>
      </w:r>
    </w:p>
    <w:p>
      <w:r>
        <w:rPr>
          <w:b/>
        </w:rPr>
        <w:t>PART C</w:t>
      </w:r>
    </w:p>
    <w:p>
      <w:r>
        <w:t>You are required to answer TWO questions from this Part.</w:t>
      </w:r>
    </w:p>
    <w:p/>
    <w:p>
      <w:r>
        <w:rPr>
          <w:b/>
        </w:rPr>
        <w:t>Question 5</w:t>
      </w:r>
    </w:p>
    <w:p>
      <w:r>
        <w:t>What are the key transfer pricing issues associated with intragroup financing arrangements, including the provision of loans, guarantees, and equity investment? In your answer, consider the challenges in applying the arm's length principle to such transactions. (15 marks)</w:t>
      </w:r>
    </w:p>
    <w:p/>
    <w:p>
      <w:r>
        <w:rPr>
          <w:b/>
        </w:rPr>
        <w:t>Question 6</w:t>
      </w:r>
    </w:p>
    <w:p>
      <w:r>
        <w:t>You are required to answer the following:</w:t>
        <w:br/>
        <w:br/>
        <w:t>1) A manufacturing company that has recently expanded its operations offshore and established transactions with associated enterprises has approached you as a transfer pricing advisor. Outline the key areas of transfer pricing risk that the company needs to consider and manage, including documentation and compliance considerations. (8 marks)</w:t>
        <w:br/>
        <w:br/>
        <w:t>2) What do you consider to be the important aspects in conducting a transfer pricing audit, from the perspective of both a tax administration and a taxpayer? In your response, consider the implications for dispute resolution. (7 marks)</w:t>
        <w:br/>
        <w:br/>
        <w:t>Total (15 marks)</w:t>
      </w:r>
    </w:p>
    <w:p/>
    <w:p>
      <w:r>
        <w:rPr>
          <w:b/>
        </w:rPr>
        <w:t>Question 7</w:t>
      </w:r>
    </w:p>
    <w:p>
      <w:r>
        <w:t>You are required to answer the following:</w:t>
        <w:br/>
        <w:br/>
        <w:t>1) The global tax manager of a multinational group is considering restructuring intellectual property (IP) ownership within the group. As a transfer pricing advisor, provide an outline of the key considerations from a risk management perspective, including recent developments in the OECD Transfer Pricing Guidelines relating to IP. (8 marks)</w:t>
        <w:br/>
        <w:br/>
        <w:t>2) Discuss the benefits and challenges of the OECD's proposed changes to the taxation of digital business models and e-commerce activities from the perspective of both tax administrations and multinational enterprises. (7 marks)</w:t>
        <w:br/>
        <w:br/>
        <w:t>Total (15 marks)</w:t>
      </w:r>
    </w:p>
    <w:p/>
    <w:p>
      <w:r>
        <w:rPr>
          <w:b/>
        </w:rPr>
        <w:t>Question 8</w:t>
      </w:r>
    </w:p>
    <w:p>
      <w:r>
        <w:t>A multinational group's chief financial officer has approached you regarding an Advance Pricing Arrangement (APA). You are required to:</w:t>
        <w:br/>
        <w:br/>
        <w:t>1) Advise on the extent to which the OECD's recent transfer pricing initiatives, including Amount B and the ongoing work on profit allocation, are likely to reduce the incidence of transfer pricing disputes between group entities and tax administrations. (8 marks)</w:t>
        <w:br/>
        <w:br/>
        <w:t>2) Advise the CFO on whether the group's APA should be bilateral, unilateral, or multilateral, providing reasoning for your recommendation based on the group's expected exposure to multiple tax jurisdictions. (7 marks)</w:t>
        <w:br/>
        <w:br/>
        <w:t>Total (15 marks)</w:t>
      </w:r>
    </w:p>
    <w:p/>
    <w:p>
      <w:r>
        <w:rPr>
          <w:b/>
        </w:rPr>
        <w:t>Question 9</w:t>
      </w:r>
    </w:p>
    <w:p>
      <w:r>
        <w:t>You are required to answer the following:</w:t>
        <w:br/>
        <w:br/>
        <w:t>1) Explain, with supporting reasons, whether you support the adoption of transfer pricing safe harbours by tax administrations. In your response, outline what sort of issues may arise in the context of the international tax landscape, considering both bilateral coordination and multilateral initiatives. (8 marks)</w:t>
        <w:br/>
        <w:br/>
        <w:t>2) A multinational group was recently subject to a transfer pricing audit resulting in material adjustments increasing its income tax liability. The group disagrees with the outcome. What advice would you provide regarding possible next courses of action, including alternative dispute resolution mechanisms and the associated considerations? (7 marks)</w:t>
        <w:br/>
        <w:br/>
        <w:t>Total (15 marks)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