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mc="http://schemas.openxmlformats.org/markup-compatibility/2006" mc:Ignorable="">
  <w:body>
    <w:p>
      <w:pPr>
        <w:keepLines/>
        <w:jc w:val="center"/>
        <w:spacing w:before="0" w:after="70" w:line="240" w:lineRule="auto"/>
      </w:pPr>
      <w:r>
        <w:rPr>
          <w:rFonts w:ascii="Times New Roman" w:hAnsi="Times New Roman" w:eastAsia="標楷體" w:cs="Times New Roman"/>
          <w:b/>
          <w:bCs/>
          <w:sz w:val="32"/>
          <w:szCs w:val="32"/>
        </w:rPr>
        <w:t>胸腔 X 光影像分類與知識蒸餾暨多標籤報告生成系統</w:t>
      </w:r>
    </w:p>
    <w:p>
      <w:pPr>
        <w:keepLines/>
        <w:jc w:val="center"/>
        <w:spacing w:before="0" w:after="70" w:line="240" w:lineRule="auto"/>
      </w:pPr>
      <w:r>
        <w:rPr>
          <w:rFonts w:ascii="Times New Roman" w:hAnsi="Times New Roman" w:eastAsia="標楷體" w:cs="Times New Roman"/>
          <w:b/>
          <w:bCs/>
          <w:sz w:val="24"/>
          <w:szCs w:val="24"/>
        </w:rPr>
        <w:t>Chest X-ray Classification with Feature Distillation and Multilabel Report Generation</w:t>
      </w:r>
    </w:p>
    <w:p>
      <w:pPr>
        <w:keepLines/>
        <w:jc w:val="center"/>
        <w:spacing w:before="0" w:after="10" w:line="240" w:lineRule="auto"/>
      </w:pPr>
      <w:r>
        <w:rPr>
          <w:rFonts w:ascii="Times New Roman" w:hAnsi="Times New Roman" w:eastAsia="標楷體" w:cs="Times New Roman"/>
          <w:b/>
          <w:bCs/>
          <w:sz w:val="24"/>
          <w:szCs w:val="24"/>
        </w:rPr>
        <w:t>作者姓名</w:t>
      </w:r>
    </w:p>
    <w:p>
      <w:pPr>
        <w:keepLines/>
        <w:jc w:val="center"/>
        <w:spacing w:before="0" w:after="10" w:line="240" w:lineRule="auto"/>
      </w:pPr>
      <w:r>
        <w:rPr>
          <w:rFonts w:ascii="Times New Roman" w:hAnsi="Times New Roman" w:eastAsia="標楷體" w:cs="Times New Roman"/>
          <w:b/>
          <w:bCs/>
          <w:sz w:val="24"/>
          <w:szCs w:val="24"/>
        </w:rPr>
        <w:t>服務單位</w:t>
      </w:r>
    </w:p>
    <w:p>
      <w:pPr>
        <w:keepLines/>
        <w:jc w:val="center"/>
        <w:spacing w:before="0" w:after="0" w:line="240" w:lineRule="auto"/>
      </w:pPr>
      <w:r>
        <w:rPr>
          <w:rFonts w:ascii="Times New Roman" w:hAnsi="Times New Roman" w:eastAsia="標楷體" w:cs="Times New Roman"/>
          <w:b/>
          <w:bCs/>
          <w:sz w:val="24"/>
          <w:szCs w:val="24"/>
        </w:rPr>
        <w:t>E-mail: email@example.edu.tw</w:t>
      </w:r>
    </w:p>
    <w:p>
      <w:pPr>
        <w:spacing w:before="0" w:after="0" w:line="240" w:lineRule="auto"/>
        <w:sectPr>
          <w:pgSz w:w="11906" w:h="16838"/>
          <w:pgMar w:top="1417" w:right="1417" w:bottom="1417" w:left="1417" w:header="720" w:footer="720" w:gutter="0"/>
          <w:cols w:num="1" w:space="0"/>
          <w:docGrid w:linePitch="360"/>
        </w:sectPr>
      </w:pPr>
    </w:p>
    <w:p>
      <w:pPr>
        <w:keepNext/>
        <w:keepLines/>
        <w:jc w:val="center"/>
        <w:spacing w:before="0" w:after="30" w:line="240" w:lineRule="auto"/>
      </w:pPr>
      <w:r>
        <w:rPr>
          <w:rFonts w:ascii="Times New Roman" w:hAnsi="Times New Roman" w:eastAsia="標楷體" w:cs="Times New Roman"/>
          <w:b/>
          <w:bCs/>
          <w:sz w:val="22"/>
          <w:szCs w:val="22"/>
        </w:rPr>
        <w:t>摘要</w:t>
      </w:r>
    </w:p>
    <w:p>
      <w:pPr>
        <w:keepLines/>
        <w:spacing w:before="0" w:after="45" w:line="240" w:lineRule="auto"/>
      </w:pPr>
      <w:r>
        <w:rPr>
          <w:rFonts w:ascii="Times New Roman" w:hAnsi="Times New Roman" w:eastAsia="標楷體" w:cs="Times New Roman"/>
          <w:sz w:val="20"/>
          <w:szCs w:val="20"/>
        </w:rPr>
        <w:t>本研究建立一套胸腔 X 光影像分類與展示流程，先以標註框產生五類 ROI 單標籤資料，再使用 RAD-DINO frozen teacher 產生 CLS 與 7×7 patch feature cache，將表徵蒸餾至 ConvNeXt-Tiny。ROI 階段比較 ImageNet baseline、CLS distillation 與 patch distillation 三種模型；後續將 ROI Patch Proposed backbone 轉移至完整影像五類多標籤任務，使用 Sigmoid 與 validation-tuned thresholds 輸出各類別陽性判定。系統端整合 Gradio、Ground Truth 事後比對、本機 Ollama 說明生成與報告輸出。實驗結果顯示，ROI 三模型在主要指標差異有限，bootstrap 信賴區間皆跨越 0，因此不宣稱統計顯著優勢；完整影像模型於測試集取得 Macro-F1 0.7865、Micro-F1 0.7859，可作為多標籤展示系統之基礎，但不代表臨床驗證或正式診斷能力。</w:t>
      </w:r>
    </w:p>
    <w:p>
      <w:pPr>
        <w:keepLines/>
        <w:spacing w:before="0" w:after="55" w:line="240" w:lineRule="auto"/>
      </w:pPr>
      <w:r>
        <w:rPr>
          <w:rFonts w:ascii="Times New Roman" w:hAnsi="Times New Roman" w:eastAsia="標楷體" w:cs="Times New Roman"/>
          <w:sz w:val="20"/>
          <w:szCs w:val="20"/>
        </w:rPr>
        <w:t>關鍵詞：胸腔 X 光、RAD-DINO、ConvNeXt-Tiny、知識蒸餾、多標籤分類、Ollama</w:t>
      </w:r>
    </w:p>
    <w:p>
      <w:pPr>
        <w:keepNext/>
        <w:keepLines/>
        <w:jc w:val="center"/>
        <w:spacing w:before="0" w:after="30" w:line="240" w:lineRule="auto"/>
      </w:pPr>
      <w:r>
        <w:rPr>
          <w:rFonts w:ascii="Times New Roman" w:hAnsi="Times New Roman" w:eastAsia="標楷體" w:cs="Times New Roman"/>
          <w:b/>
          <w:bCs/>
          <w:sz w:val="22"/>
          <w:szCs w:val="22"/>
        </w:rPr>
        <w:t>Abstract</w:t>
      </w:r>
    </w:p>
    <w:p>
      <w:pPr>
        <w:keepLines/>
        <w:spacing w:before="0" w:after="45" w:line="240" w:lineRule="auto"/>
      </w:pPr>
      <w:r>
        <w:rPr>
          <w:rFonts w:ascii="Times New Roman" w:hAnsi="Times New Roman" w:eastAsia="標楷體" w:cs="Times New Roman"/>
          <w:sz w:val="20"/>
          <w:szCs w:val="20"/>
        </w:rPr>
        <w:t>This study presents an academic prototype for chest X-ray classification and report generation. A five-class ROI single-label pipeline is first built from bounding-box crops. Frozen RAD-DINO features are cached as CLS and 7×7 patch targets, and ConvNeXt-Tiny students are trained through feature-level distillation. The ROI stage compares an ImageNet baseline, CLS distillation, and patch distillation, while the patch-distilled ROI backbone is transferred to a full-image five-label setting using sigmoid probabilities and validation-tuned thresholds. The demo integrates Gradio, post-hoc Ground Truth comparison, local Ollama-based text explanation, and report export. The ROI models show limited differences in main metrics, and the bootstrap confidence intervals cross 0; therefore, no statistically significant superiority is claimed. The full-image model achieves test Macro-F1 0.7865 and Micro-F1 0.7859, supporting a demonstration-oriented multilabel system but not clinical validation or formal diagnostic capability.</w:t>
      </w:r>
    </w:p>
    <w:p>
      <w:pPr>
        <w:keepLines/>
        <w:spacing w:before="0" w:after="60" w:line="240" w:lineRule="auto"/>
      </w:pPr>
      <w:r>
        <w:rPr>
          <w:rFonts w:ascii="Times New Roman" w:hAnsi="Times New Roman" w:eastAsia="標楷體" w:cs="Times New Roman"/>
          <w:sz w:val="20"/>
          <w:szCs w:val="20"/>
        </w:rPr>
        <w:t>Keywords: Chest X-ray, RAD-DINO, ConvNeXt-Tiny, Knowledge Distillation, Multilabel Classification</w:t>
      </w:r>
    </w:p>
    <w:p>
      <w:pPr>
        <w:keepNext/>
        <w:keepLines/>
        <w:spacing w:before="90" w:after="40" w:line="240" w:lineRule="auto"/>
      </w:pPr>
      <w:r>
        <w:rPr>
          <w:rFonts w:ascii="Times New Roman" w:hAnsi="Times New Roman" w:eastAsia="標楷體" w:cs="Times New Roman"/>
          <w:b/>
          <w:bCs/>
          <w:sz w:val="24"/>
          <w:szCs w:val="24"/>
        </w:rPr>
        <w:t>1. 緒論</w:t>
      </w:r>
    </w:p>
    <w:p>
      <w:pPr>
        <w:keepLines/>
        <w:spacing w:before="0" w:after="45" w:line="240" w:lineRule="auto"/>
      </w:pPr>
      <w:r>
        <w:rPr>
          <w:rFonts w:ascii="Times New Roman" w:hAnsi="Times New Roman" w:eastAsia="標楷體" w:cs="Times New Roman"/>
          <w:sz w:val="20"/>
          <w:szCs w:val="20"/>
        </w:rPr>
        <w:t>胸腔 X 光為臨床常見影像，公開資料集研究亦將其作為多疾病標籤分類與定位任務的重要影像來源 [1], [2]。然而，本研究不宣稱臨床驗證，而是聚焦於資料流程、特徵蒸餾、完整影像多標籤分類與可展示系統整合。研究範圍固定為五類：Aortic enlargement、Cardiomegaly、Pleural thickening、Pulmonary fibrosis 與 Pleural effusion。</w:t>
      </w:r>
    </w:p>
    <w:p>
      <w:pPr>
        <w:keepLines/>
        <w:spacing w:before="0" w:after="60" w:line="240" w:lineRule="auto"/>
      </w:pPr>
      <w:r>
        <w:rPr>
          <w:rFonts w:ascii="Times New Roman" w:hAnsi="Times New Roman" w:eastAsia="標楷體" w:cs="Times New Roman"/>
          <w:sz w:val="20"/>
          <w:szCs w:val="20"/>
        </w:rPr>
        <w:t>本研究的主要貢獻包括：建立 ROI 五類單標籤與 Full-image 五類多標籤兩個明確分離的任務；比較 ImageNet baseline、RAD-DINO CLS Proposed 與 RAD-DINO Patch Proposed；並將 ROI Patch Proposed backbone 轉移至完整影像分類與報告展示。</w:t>
      </w:r>
    </w:p>
    <w:p>
      <w:pPr>
        <w:keepNext/>
        <w:keepLines/>
        <w:spacing w:before="90" w:after="40" w:line="240" w:lineRule="auto"/>
      </w:pPr>
      <w:r>
        <w:rPr>
          <w:rFonts w:ascii="Times New Roman" w:hAnsi="Times New Roman" w:eastAsia="標楷體" w:cs="Times New Roman"/>
          <w:b/>
          <w:bCs/>
          <w:sz w:val="24"/>
          <w:szCs w:val="24"/>
        </w:rPr>
        <w:t>2. 相關研究</w:t>
      </w:r>
    </w:p>
    <w:p>
      <w:pPr>
        <w:keepLines/>
        <w:spacing w:before="0" w:after="45" w:line="240" w:lineRule="auto"/>
      </w:pPr>
      <w:r>
        <w:rPr>
          <w:rFonts w:ascii="Times New Roman" w:hAnsi="Times New Roman" w:eastAsia="標楷體" w:cs="Times New Roman"/>
          <w:sz w:val="20"/>
          <w:szCs w:val="20"/>
        </w:rPr>
        <w:t>Vision Transformer 將影像切分為 patch 序列進行建模 [3]，DINOv2 類自監督方法則強調在未標註影像上學習可轉移視覺特徵 [4]。RAD-DINO 進一步以醫學影像 encoder 為核心，適合作為本研究 frozen teacher 的外部方法依據 [5]。ConvNeXt 則提供現代化卷積 backbone 設計 [6]，本研究採用 ConvNeXt-Tiny 作為 student/backbone。</w:t>
      </w:r>
    </w:p>
    <w:p>
      <w:pPr>
        <w:keepLines/>
        <w:spacing w:before="0" w:after="45" w:line="240" w:lineRule="auto"/>
      </w:pPr>
      <w:r>
        <w:rPr>
          <w:rFonts w:ascii="Times New Roman" w:hAnsi="Times New Roman" w:eastAsia="標楷體" w:cs="Times New Roman"/>
          <w:sz w:val="20"/>
          <w:szCs w:val="20"/>
        </w:rPr>
        <w:t>知識蒸餾的核心概念是將 teacher 模型知識轉移到較輕量 student [7]。本研究採 feature-level distillation，而非直接將 RAD-DINO 作為最終推論模型。完整影像階段與 ROI 階段也不同：ROI 階段為五類單標籤 Softmax 分類；Full-image 階段為五類多標籤 Sigmoid 分類。因此，ROI Accuracy 不可與 Full-image Exact Subset Accuracy 直接等同比較。</w:t>
      </w:r>
    </w:p>
    <w:p>
      <w:pPr>
        <w:keepLines/>
        <w:spacing w:before="0" w:after="60" w:line="240" w:lineRule="auto"/>
      </w:pPr>
      <w:r>
        <w:rPr>
          <w:rFonts w:ascii="Times New Roman" w:hAnsi="Times New Roman" w:eastAsia="標楷體" w:cs="Times New Roman"/>
          <w:sz w:val="20"/>
          <w:szCs w:val="20"/>
        </w:rPr>
        <w:t>放射報告生成與醫療語言模型已有相關研究 [8], [9]；本專題 Demo 僅使用本機 Ollama 將影像模型輸出的結構化結果轉為保守說明文字，不讓其直接判讀影像，也不將 Ground Truth 作為生成輸入。</w:t>
      </w:r>
    </w:p>
    <w:p>
      <w:pPr>
        <w:keepNext/>
        <w:keepLines/>
        <w:spacing w:before="90" w:after="40" w:line="240" w:lineRule="auto"/>
      </w:pPr>
      <w:r>
        <w:rPr>
          <w:rFonts w:ascii="Times New Roman" w:hAnsi="Times New Roman" w:eastAsia="標楷體" w:cs="Times New Roman"/>
          <w:b/>
          <w:bCs/>
          <w:sz w:val="24"/>
          <w:szCs w:val="24"/>
        </w:rPr>
        <w:t>3. 研究方法</w:t>
      </w:r>
    </w:p>
    <w:p>
      <w:pPr>
        <w:keepLines/>
        <w:spacing w:before="0" w:after="35" w:line="240" w:lineRule="auto"/>
      </w:pPr>
      <w:r>
        <w:rPr>
          <w:rFonts w:ascii="Times New Roman" w:hAnsi="Times New Roman" w:eastAsia="標楷體" w:cs="Times New Roman"/>
          <w:sz w:val="20"/>
          <w:szCs w:val="20"/>
        </w:rPr>
        <w:t>研究流程分為三個階段。Phase 0 使用 frozen RAD-DINO 建立 CLS feature cache 與 patch feature cache；Phase 1 將 CLS 或 patch 表徵蒸餾至 ConvNeXt-Tiny；Phase 2 進行 ROI 五分類，並將 ROI Patch Proposed backbone 轉移至 Full-image 多標籤模型。</w:t>
      </w:r>
    </w:p>
    <w:p>
      <w:pPr>
        <w:keepNext/>
        <w:keepLines/>
        <w:jc w:val="center"/>
        <w:spacing w:before="70" w:after="20" w:line="240" w:lineRule="auto"/>
      </w:pPr>
      <w:r>
        <w:br w:type="column"/>
      </w:r>
      <w:r>
        <w:rPr>
          <w:rFonts w:ascii="Times New Roman" w:hAnsi="Times New Roman" w:eastAsia="標楷體" w:cs="Times New Roman"/>
          <w:b/>
          <w:bCs/>
          <w:sz w:val="20"/>
          <w:szCs w:val="20"/>
        </w:rPr>
        <w:t>表 1　整體研究流程與任務層級</w:t>
      </w:r>
    </w:p>
    <w:tbl>
      <w:tblPr>
        <w:tblW w:w="4340" w:type="dxa"/>
        <w:tblLayout w:type="fixed"/>
        <w:tblCellMar>
          <w:top w:w="50" w:type="dxa"/>
          <w:left w:w="55" w:type="dxa"/>
          <w:bottom w:w="50" w:type="dxa"/>
          <w:right w:w="55"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80"/>
        <w:gridCol w:w="1640"/>
        <w:gridCol w:w="1720"/>
      </w:tblGrid>
      <w:tr>
        <w:trPr>
          <w:cantSplit/>
        </w:trPr>
        <w:tc>
          <w:tcPr>
            <w:tcW w:w="980" w:type="dxa"/>
            <w:shd w:fill="EDEDED"/>
            <w:vAlign w:val="center"/>
          </w:tcPr>
          <w:p>
            <w:pPr>
              <w:keepLines/>
              <w:spacing w:before="0" w:after="0" w:line="240" w:lineRule="auto"/>
            </w:pPr>
            <w:r>
              <w:rPr>
                <w:rFonts w:ascii="Times New Roman" w:hAnsi="Times New Roman" w:eastAsia="標楷體" w:cs="Times New Roman"/>
                <w:b/>
                <w:bCs/>
                <w:sz w:val="20"/>
                <w:szCs w:val="20"/>
              </w:rPr>
              <w:t>階段</w:t>
            </w:r>
          </w:p>
        </w:tc>
        <w:tc>
          <w:tcPr>
            <w:tcW w:w="1640" w:type="dxa"/>
            <w:shd w:fill="EDEDED"/>
            <w:vAlign w:val="center"/>
          </w:tcPr>
          <w:p>
            <w:pPr>
              <w:keepLines/>
              <w:spacing w:before="0" w:after="0" w:line="240" w:lineRule="auto"/>
            </w:pPr>
            <w:r>
              <w:rPr>
                <w:rFonts w:ascii="Times New Roman" w:hAnsi="Times New Roman" w:eastAsia="標楷體" w:cs="Times New Roman"/>
                <w:b/>
                <w:bCs/>
                <w:sz w:val="20"/>
                <w:szCs w:val="20"/>
              </w:rPr>
              <w:t>輸入</w:t>
            </w:r>
          </w:p>
        </w:tc>
        <w:tc>
          <w:tcPr>
            <w:tcW w:w="1720" w:type="dxa"/>
            <w:shd w:fill="EDEDED"/>
            <w:vAlign w:val="center"/>
          </w:tcPr>
          <w:p>
            <w:pPr>
              <w:keepLines/>
              <w:spacing w:before="0" w:after="0" w:line="240" w:lineRule="auto"/>
            </w:pPr>
            <w:r>
              <w:rPr>
                <w:rFonts w:ascii="Times New Roman" w:hAnsi="Times New Roman" w:eastAsia="標楷體" w:cs="Times New Roman"/>
                <w:b/>
                <w:bCs/>
                <w:sz w:val="20"/>
                <w:szCs w:val="20"/>
              </w:rPr>
              <w:t>輸出</w:t>
            </w:r>
          </w:p>
        </w:tc>
      </w:tr>
      <w:tr>
        <w:trPr>
          <w:cantSplit/>
        </w:trPr>
        <w:tc>
          <w:tcPr>
            <w:tcW w:w="980" w:type="dxa"/>
            <w:vAlign w:val="center"/>
          </w:tcPr>
          <w:p>
            <w:pPr>
              <w:keepLines/>
              <w:spacing w:before="0" w:after="0" w:line="240" w:lineRule="auto"/>
            </w:pPr>
            <w:r>
              <w:rPr>
                <w:rFonts w:ascii="Times New Roman" w:hAnsi="Times New Roman" w:eastAsia="標楷體" w:cs="Times New Roman"/>
                <w:sz w:val="20"/>
                <w:szCs w:val="20"/>
              </w:rPr>
              <w:t>Phase 0</w:t>
            </w:r>
          </w:p>
        </w:tc>
        <w:tc>
          <w:tcPr>
            <w:tcW w:w="1640" w:type="dxa"/>
            <w:vAlign w:val="center"/>
          </w:tcPr>
          <w:p>
            <w:pPr>
              <w:keepLines/>
              <w:spacing w:before="0" w:after="0" w:line="240" w:lineRule="auto"/>
            </w:pPr>
            <w:r>
              <w:rPr>
                <w:rFonts w:ascii="Times New Roman" w:hAnsi="Times New Roman" w:eastAsia="標楷體" w:cs="Times New Roman"/>
                <w:sz w:val="20"/>
                <w:szCs w:val="20"/>
              </w:rPr>
              <w:t>ROI 224 balanced manifest</w:t>
            </w:r>
          </w:p>
        </w:tc>
        <w:tc>
          <w:tcPr>
            <w:tcW w:w="1720" w:type="dxa"/>
            <w:vAlign w:val="center"/>
          </w:tcPr>
          <w:p>
            <w:pPr>
              <w:keepLines/>
              <w:spacing w:before="0" w:after="0" w:line="240" w:lineRule="auto"/>
            </w:pPr>
            <w:r>
              <w:rPr>
                <w:rFonts w:ascii="Times New Roman" w:hAnsi="Times New Roman" w:eastAsia="標楷體" w:cs="Times New Roman"/>
                <w:sz w:val="20"/>
                <w:szCs w:val="20"/>
              </w:rPr>
              <w:t>RAD-DINO CLS / patch feature cache</w:t>
            </w:r>
          </w:p>
        </w:tc>
      </w:tr>
      <w:tr>
        <w:trPr>
          <w:cantSplit/>
        </w:trPr>
        <w:tc>
          <w:tcPr>
            <w:tcW w:w="980" w:type="dxa"/>
            <w:vAlign w:val="center"/>
          </w:tcPr>
          <w:p>
            <w:pPr>
              <w:keepLines/>
              <w:spacing w:before="0" w:after="0" w:line="240" w:lineRule="auto"/>
            </w:pPr>
            <w:r>
              <w:rPr>
                <w:rFonts w:ascii="Times New Roman" w:hAnsi="Times New Roman" w:eastAsia="標楷體" w:cs="Times New Roman"/>
                <w:sz w:val="20"/>
                <w:szCs w:val="20"/>
              </w:rPr>
              <w:t>Phase 1</w:t>
            </w:r>
          </w:p>
        </w:tc>
        <w:tc>
          <w:tcPr>
            <w:tcW w:w="1640" w:type="dxa"/>
            <w:vAlign w:val="center"/>
          </w:tcPr>
          <w:p>
            <w:pPr>
              <w:keepLines/>
              <w:spacing w:before="0" w:after="0" w:line="240" w:lineRule="auto"/>
            </w:pPr>
            <w:r>
              <w:rPr>
                <w:rFonts w:ascii="Times New Roman" w:hAnsi="Times New Roman" w:eastAsia="標楷體" w:cs="Times New Roman"/>
                <w:sz w:val="20"/>
                <w:szCs w:val="20"/>
              </w:rPr>
              <w:t>Teacher features</w:t>
            </w:r>
          </w:p>
        </w:tc>
        <w:tc>
          <w:tcPr>
            <w:tcW w:w="1720" w:type="dxa"/>
            <w:vAlign w:val="center"/>
          </w:tcPr>
          <w:p>
            <w:pPr>
              <w:keepLines/>
              <w:spacing w:before="0" w:after="0" w:line="240" w:lineRule="auto"/>
            </w:pPr>
            <w:r>
              <w:rPr>
                <w:rFonts w:ascii="Times New Roman" w:hAnsi="Times New Roman" w:eastAsia="標楷體" w:cs="Times New Roman"/>
                <w:sz w:val="20"/>
                <w:szCs w:val="20"/>
              </w:rPr>
              <w:t>ConvNeXt-Tiny distilled backbone</w:t>
            </w:r>
          </w:p>
        </w:tc>
      </w:tr>
      <w:tr>
        <w:trPr>
          <w:cantSplit/>
        </w:trPr>
        <w:tc>
          <w:tcPr>
            <w:tcW w:w="980" w:type="dxa"/>
            <w:vAlign w:val="center"/>
          </w:tcPr>
          <w:p>
            <w:pPr>
              <w:keepLines/>
              <w:spacing w:before="0" w:after="0" w:line="240" w:lineRule="auto"/>
            </w:pPr>
            <w:r>
              <w:rPr>
                <w:rFonts w:ascii="Times New Roman" w:hAnsi="Times New Roman" w:eastAsia="標楷體" w:cs="Times New Roman"/>
                <w:sz w:val="20"/>
                <w:szCs w:val="20"/>
              </w:rPr>
              <w:t>Phase 2 ROI</w:t>
            </w:r>
          </w:p>
        </w:tc>
        <w:tc>
          <w:tcPr>
            <w:tcW w:w="1640" w:type="dxa"/>
            <w:vAlign w:val="center"/>
          </w:tcPr>
          <w:p>
            <w:pPr>
              <w:keepLines/>
              <w:spacing w:before="0" w:after="0" w:line="240" w:lineRule="auto"/>
            </w:pPr>
            <w:r>
              <w:rPr>
                <w:rFonts w:ascii="Times New Roman" w:hAnsi="Times New Roman" w:eastAsia="標楷體" w:cs="Times New Roman"/>
                <w:sz w:val="20"/>
                <w:szCs w:val="20"/>
              </w:rPr>
              <w:t>ROI train/val/test</w:t>
            </w:r>
          </w:p>
        </w:tc>
        <w:tc>
          <w:tcPr>
            <w:tcW w:w="1720" w:type="dxa"/>
            <w:vAlign w:val="center"/>
          </w:tcPr>
          <w:p>
            <w:pPr>
              <w:keepLines/>
              <w:spacing w:before="0" w:after="0" w:line="240" w:lineRule="auto"/>
            </w:pPr>
            <w:r>
              <w:rPr>
                <w:rFonts w:ascii="Times New Roman" w:hAnsi="Times New Roman" w:eastAsia="標楷體" w:cs="Times New Roman"/>
                <w:sz w:val="20"/>
                <w:szCs w:val="20"/>
              </w:rPr>
              <w:t>五類 Softmax 分類</w:t>
            </w:r>
          </w:p>
        </w:tc>
      </w:tr>
      <w:tr>
        <w:trPr>
          <w:cantSplit/>
        </w:trPr>
        <w:tc>
          <w:tcPr>
            <w:tcW w:w="980" w:type="dxa"/>
            <w:vAlign w:val="center"/>
          </w:tcPr>
          <w:p>
            <w:pPr>
              <w:keepLines/>
              <w:spacing w:before="0" w:after="0" w:line="240" w:lineRule="auto"/>
            </w:pPr>
            <w:r>
              <w:rPr>
                <w:rFonts w:ascii="Times New Roman" w:hAnsi="Times New Roman" w:eastAsia="標楷體" w:cs="Times New Roman"/>
                <w:sz w:val="20"/>
                <w:szCs w:val="20"/>
              </w:rPr>
              <w:t>Phase 2 Full-image</w:t>
            </w:r>
          </w:p>
        </w:tc>
        <w:tc>
          <w:tcPr>
            <w:tcW w:w="1640" w:type="dxa"/>
            <w:vAlign w:val="center"/>
          </w:tcPr>
          <w:p>
            <w:pPr>
              <w:keepLines/>
              <w:spacing w:before="0" w:after="0" w:line="240" w:lineRule="auto"/>
            </w:pPr>
            <w:r>
              <w:rPr>
                <w:rFonts w:ascii="Times New Roman" w:hAnsi="Times New Roman" w:eastAsia="標楷體" w:cs="Times New Roman"/>
                <w:sz w:val="20"/>
                <w:szCs w:val="20"/>
              </w:rPr>
              <w:t>完整影像 224×224</w:t>
            </w:r>
          </w:p>
        </w:tc>
        <w:tc>
          <w:tcPr>
            <w:tcW w:w="1720" w:type="dxa"/>
            <w:vAlign w:val="center"/>
          </w:tcPr>
          <w:p>
            <w:pPr>
              <w:keepLines/>
              <w:spacing w:before="0" w:after="0" w:line="240" w:lineRule="auto"/>
            </w:pPr>
            <w:r>
              <w:rPr>
                <w:rFonts w:ascii="Times New Roman" w:hAnsi="Times New Roman" w:eastAsia="標楷體" w:cs="Times New Roman"/>
                <w:sz w:val="20"/>
                <w:szCs w:val="20"/>
              </w:rPr>
              <w:t>五類 Sigmoid 多標籤輸出</w:t>
            </w:r>
          </w:p>
        </w:tc>
      </w:tr>
    </w:tbl>
    <w:p>
      <w:pPr>
        <w:spacing w:before="0" w:after="35" w:line="240" w:lineRule="auto"/>
      </w:pPr>
    </w:p>
    <w:p>
      <w:pPr>
        <w:keepNext/>
        <w:keepLines/>
        <w:spacing w:before="70" w:after="30" w:line="240" w:lineRule="auto"/>
      </w:pPr>
      <w:r>
        <w:rPr>
          <w:rFonts w:ascii="Times New Roman" w:hAnsi="Times New Roman" w:eastAsia="標楷體" w:cs="Times New Roman"/>
          <w:b/>
          <w:bCs/>
          <w:sz w:val="22"/>
          <w:szCs w:val="22"/>
        </w:rPr>
        <w:t>3.1 資料集與資料增強</w:t>
      </w:r>
    </w:p>
    <w:p>
      <w:pPr>
        <w:keepLines/>
        <w:spacing w:before="0" w:after="35" w:line="240" w:lineRule="auto"/>
      </w:pPr>
      <w:r>
        <w:rPr>
          <w:rFonts w:ascii="Times New Roman" w:hAnsi="Times New Roman" w:eastAsia="標楷體" w:cs="Times New Roman"/>
          <w:sz w:val="20"/>
          <w:szCs w:val="20"/>
        </w:rPr>
        <w:t>ROI balanced feature cache 含 4,725 筆資料，每類 945 筆；其中 469 筆由 brightness augmentation 補足。依 manifest 反向驗證，brightness factor 出現於 0.95 至 1.05 範圍，本文不宣稱產生器使用特定隨機公式或均勻抽樣。ROI Phase2 grouped split 為 train 3,770、val 454、test 454，val/test 不含 brightness augmented rows。</w:t>
      </w:r>
    </w:p>
    <w:p>
      <w:pPr>
        <w:keepNext/>
        <w:keepLines/>
        <w:jc w:val="center"/>
        <w:spacing w:before="70" w:after="20" w:line="240" w:lineRule="auto"/>
      </w:pPr>
      <w:r>
        <w:rPr>
          <w:rFonts w:ascii="Times New Roman" w:hAnsi="Times New Roman" w:eastAsia="標楷體" w:cs="Times New Roman"/>
          <w:b/>
          <w:bCs/>
          <w:sz w:val="20"/>
          <w:szCs w:val="20"/>
        </w:rPr>
        <w:t>表 2　正式資料數量摘要</w:t>
      </w:r>
    </w:p>
    <w:tbl>
      <w:tblPr>
        <w:tblW w:w="4340" w:type="dxa"/>
        <w:tblLayout w:type="fixed"/>
        <w:tblCellMar>
          <w:top w:w="50" w:type="dxa"/>
          <w:left w:w="55" w:type="dxa"/>
          <w:bottom w:w="50" w:type="dxa"/>
          <w:right w:w="55"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50"/>
        <w:gridCol w:w="700"/>
        <w:gridCol w:w="600"/>
        <w:gridCol w:w="600"/>
        <w:gridCol w:w="1290"/>
      </w:tblGrid>
      <w:tr>
        <w:trPr>
          <w:cantSplit/>
        </w:trPr>
        <w:tc>
          <w:tcPr>
            <w:tcW w:w="1150" w:type="dxa"/>
            <w:shd w:fill="EDEDED"/>
            <w:vAlign w:val="center"/>
          </w:tcPr>
          <w:p>
            <w:pPr>
              <w:keepLines/>
              <w:spacing w:before="0" w:after="0" w:line="240" w:lineRule="auto"/>
            </w:pPr>
            <w:r>
              <w:rPr>
                <w:rFonts w:ascii="Times New Roman" w:hAnsi="Times New Roman" w:eastAsia="標楷體" w:cs="Times New Roman"/>
                <w:b/>
                <w:bCs/>
                <w:sz w:val="20"/>
                <w:szCs w:val="20"/>
              </w:rPr>
              <w:t>資料層級</w:t>
            </w:r>
          </w:p>
        </w:tc>
        <w:tc>
          <w:tcPr>
            <w:tcW w:w="700" w:type="dxa"/>
            <w:shd w:fill="EDEDED"/>
            <w:vAlign w:val="center"/>
          </w:tcPr>
          <w:p>
            <w:pPr>
              <w:keepLines/>
              <w:spacing w:before="0" w:after="0" w:line="240" w:lineRule="auto"/>
            </w:pPr>
            <w:r>
              <w:rPr>
                <w:rFonts w:ascii="Times New Roman" w:hAnsi="Times New Roman" w:eastAsia="標楷體" w:cs="Times New Roman"/>
                <w:b/>
                <w:bCs/>
                <w:sz w:val="20"/>
                <w:szCs w:val="20"/>
              </w:rPr>
              <w:t>Train</w:t>
            </w:r>
          </w:p>
        </w:tc>
        <w:tc>
          <w:tcPr>
            <w:tcW w:w="600" w:type="dxa"/>
            <w:shd w:fill="EDEDED"/>
            <w:vAlign w:val="center"/>
          </w:tcPr>
          <w:p>
            <w:pPr>
              <w:keepLines/>
              <w:spacing w:before="0" w:after="0" w:line="240" w:lineRule="auto"/>
            </w:pPr>
            <w:r>
              <w:rPr>
                <w:rFonts w:ascii="Times New Roman" w:hAnsi="Times New Roman" w:eastAsia="標楷體" w:cs="Times New Roman"/>
                <w:b/>
                <w:bCs/>
                <w:sz w:val="20"/>
                <w:szCs w:val="20"/>
              </w:rPr>
              <w:t>Val</w:t>
            </w:r>
          </w:p>
        </w:tc>
        <w:tc>
          <w:tcPr>
            <w:tcW w:w="600" w:type="dxa"/>
            <w:shd w:fill="EDEDED"/>
            <w:vAlign w:val="center"/>
          </w:tcPr>
          <w:p>
            <w:pPr>
              <w:keepLines/>
              <w:spacing w:before="0" w:after="0" w:line="240" w:lineRule="auto"/>
            </w:pPr>
            <w:r>
              <w:rPr>
                <w:rFonts w:ascii="Times New Roman" w:hAnsi="Times New Roman" w:eastAsia="標楷體" w:cs="Times New Roman"/>
                <w:b/>
                <w:bCs/>
                <w:sz w:val="20"/>
                <w:szCs w:val="20"/>
              </w:rPr>
              <w:t>Test</w:t>
            </w:r>
          </w:p>
        </w:tc>
        <w:tc>
          <w:tcPr>
            <w:tcW w:w="1290" w:type="dxa"/>
            <w:shd w:fill="EDEDED"/>
            <w:vAlign w:val="center"/>
          </w:tcPr>
          <w:p>
            <w:pPr>
              <w:keepLines/>
              <w:spacing w:before="0" w:after="0" w:line="240" w:lineRule="auto"/>
            </w:pPr>
            <w:r>
              <w:rPr>
                <w:rFonts w:ascii="Times New Roman" w:hAnsi="Times New Roman" w:eastAsia="標楷體" w:cs="Times New Roman"/>
                <w:b/>
                <w:bCs/>
                <w:sz w:val="20"/>
                <w:szCs w:val="20"/>
              </w:rPr>
              <w:t>備註</w:t>
            </w:r>
          </w:p>
        </w:tc>
      </w:tr>
      <w:tr>
        <w:trPr>
          <w:cantSplit/>
        </w:trPr>
        <w:tc>
          <w:tcPr>
            <w:tcW w:w="1150" w:type="dxa"/>
            <w:vAlign w:val="center"/>
          </w:tcPr>
          <w:p>
            <w:pPr>
              <w:keepLines/>
              <w:spacing w:before="0" w:after="0" w:line="240" w:lineRule="auto"/>
            </w:pPr>
            <w:r>
              <w:rPr>
                <w:rFonts w:ascii="Times New Roman" w:hAnsi="Times New Roman" w:eastAsia="標楷體" w:cs="Times New Roman"/>
                <w:sz w:val="20"/>
                <w:szCs w:val="20"/>
              </w:rPr>
              <w:t>ROI Phase2</w:t>
            </w:r>
          </w:p>
        </w:tc>
        <w:tc>
          <w:tcPr>
            <w:tcW w:w="700" w:type="dxa"/>
            <w:vAlign w:val="center"/>
          </w:tcPr>
          <w:p>
            <w:pPr>
              <w:keepLines/>
              <w:spacing w:before="0" w:after="0" w:line="240" w:lineRule="auto"/>
            </w:pPr>
            <w:r>
              <w:rPr>
                <w:rFonts w:ascii="Times New Roman" w:hAnsi="Times New Roman" w:eastAsia="標楷體" w:cs="Times New Roman"/>
                <w:sz w:val="20"/>
                <w:szCs w:val="20"/>
              </w:rPr>
              <w:t>3,770</w:t>
            </w:r>
          </w:p>
        </w:tc>
        <w:tc>
          <w:tcPr>
            <w:tcW w:w="600" w:type="dxa"/>
            <w:vAlign w:val="center"/>
          </w:tcPr>
          <w:p>
            <w:pPr>
              <w:keepLines/>
              <w:spacing w:before="0" w:after="0" w:line="240" w:lineRule="auto"/>
            </w:pPr>
            <w:r>
              <w:rPr>
                <w:rFonts w:ascii="Times New Roman" w:hAnsi="Times New Roman" w:eastAsia="標楷體" w:cs="Times New Roman"/>
                <w:sz w:val="20"/>
                <w:szCs w:val="20"/>
              </w:rPr>
              <w:t>454</w:t>
            </w:r>
          </w:p>
        </w:tc>
        <w:tc>
          <w:tcPr>
            <w:tcW w:w="600" w:type="dxa"/>
            <w:vAlign w:val="center"/>
          </w:tcPr>
          <w:p>
            <w:pPr>
              <w:keepLines/>
              <w:spacing w:before="0" w:after="0" w:line="240" w:lineRule="auto"/>
            </w:pPr>
            <w:r>
              <w:rPr>
                <w:rFonts w:ascii="Times New Roman" w:hAnsi="Times New Roman" w:eastAsia="標楷體" w:cs="Times New Roman"/>
                <w:sz w:val="20"/>
                <w:szCs w:val="20"/>
              </w:rPr>
              <w:t>454</w:t>
            </w:r>
          </w:p>
        </w:tc>
        <w:tc>
          <w:tcPr>
            <w:tcW w:w="1290" w:type="dxa"/>
            <w:vAlign w:val="center"/>
          </w:tcPr>
          <w:p>
            <w:pPr>
              <w:keepLines/>
              <w:spacing w:before="0" w:after="0" w:line="240" w:lineRule="auto"/>
            </w:pPr>
            <w:r>
              <w:rPr>
                <w:rFonts w:ascii="Times New Roman" w:hAnsi="Times New Roman" w:eastAsia="標楷體" w:cs="Times New Roman"/>
                <w:sz w:val="20"/>
                <w:szCs w:val="20"/>
              </w:rPr>
              <w:t>五類單標籤</w:t>
            </w:r>
          </w:p>
        </w:tc>
      </w:tr>
      <w:tr>
        <w:trPr>
          <w:cantSplit/>
        </w:trPr>
        <w:tc>
          <w:tcPr>
            <w:tcW w:w="1150" w:type="dxa"/>
            <w:vAlign w:val="center"/>
          </w:tcPr>
          <w:p>
            <w:pPr>
              <w:keepLines/>
              <w:spacing w:before="0" w:after="0" w:line="240" w:lineRule="auto"/>
            </w:pPr>
            <w:r>
              <w:rPr>
                <w:rFonts w:ascii="Times New Roman" w:hAnsi="Times New Roman" w:eastAsia="標楷體" w:cs="Times New Roman"/>
                <w:sz w:val="20"/>
                <w:szCs w:val="20"/>
              </w:rPr>
              <w:t>Full-image</w:t>
            </w:r>
          </w:p>
        </w:tc>
        <w:tc>
          <w:tcPr>
            <w:tcW w:w="700" w:type="dxa"/>
            <w:vAlign w:val="center"/>
          </w:tcPr>
          <w:p>
            <w:pPr>
              <w:keepLines/>
              <w:spacing w:before="0" w:after="0" w:line="240" w:lineRule="auto"/>
            </w:pPr>
            <w:r>
              <w:rPr>
                <w:rFonts w:ascii="Times New Roman" w:hAnsi="Times New Roman" w:eastAsia="標楷體" w:cs="Times New Roman"/>
                <w:sz w:val="20"/>
                <w:szCs w:val="20"/>
              </w:rPr>
              <w:t>472</w:t>
            </w:r>
          </w:p>
        </w:tc>
        <w:tc>
          <w:tcPr>
            <w:tcW w:w="600" w:type="dxa"/>
            <w:vAlign w:val="center"/>
          </w:tcPr>
          <w:p>
            <w:pPr>
              <w:keepLines/>
              <w:spacing w:before="0" w:after="0" w:line="240" w:lineRule="auto"/>
            </w:pPr>
            <w:r>
              <w:rPr>
                <w:rFonts w:ascii="Times New Roman" w:hAnsi="Times New Roman" w:eastAsia="標楷體" w:cs="Times New Roman"/>
                <w:sz w:val="20"/>
                <w:szCs w:val="20"/>
              </w:rPr>
              <w:t>59</w:t>
            </w:r>
          </w:p>
        </w:tc>
        <w:tc>
          <w:tcPr>
            <w:tcW w:w="600" w:type="dxa"/>
            <w:vAlign w:val="center"/>
          </w:tcPr>
          <w:p>
            <w:pPr>
              <w:keepLines/>
              <w:spacing w:before="0" w:after="0" w:line="240" w:lineRule="auto"/>
            </w:pPr>
            <w:r>
              <w:rPr>
                <w:rFonts w:ascii="Times New Roman" w:hAnsi="Times New Roman" w:eastAsia="標楷體" w:cs="Times New Roman"/>
                <w:sz w:val="20"/>
                <w:szCs w:val="20"/>
              </w:rPr>
              <w:t>59</w:t>
            </w:r>
          </w:p>
        </w:tc>
        <w:tc>
          <w:tcPr>
            <w:tcW w:w="1290" w:type="dxa"/>
            <w:vAlign w:val="center"/>
          </w:tcPr>
          <w:p>
            <w:pPr>
              <w:keepLines/>
              <w:spacing w:before="0" w:after="0" w:line="240" w:lineRule="auto"/>
            </w:pPr>
            <w:r>
              <w:rPr>
                <w:rFonts w:ascii="Times New Roman" w:hAnsi="Times New Roman" w:eastAsia="標楷體" w:cs="Times New Roman"/>
                <w:sz w:val="20"/>
                <w:szCs w:val="20"/>
              </w:rPr>
              <w:t>五類多標籤</w:t>
            </w:r>
          </w:p>
        </w:tc>
      </w:tr>
      <w:tr>
        <w:trPr>
          <w:cantSplit/>
        </w:trPr>
        <w:tc>
          <w:tcPr>
            <w:tcW w:w="1150" w:type="dxa"/>
            <w:vAlign w:val="center"/>
          </w:tcPr>
          <w:p>
            <w:pPr>
              <w:keepLines/>
              <w:spacing w:before="0" w:after="0" w:line="240" w:lineRule="auto"/>
            </w:pPr>
            <w:r>
              <w:rPr>
                <w:rFonts w:ascii="Times New Roman" w:hAnsi="Times New Roman" w:eastAsia="標楷體" w:cs="Times New Roman"/>
                <w:sz w:val="20"/>
                <w:szCs w:val="20"/>
              </w:rPr>
              <w:t>Ground Truth catalog</w:t>
            </w:r>
          </w:p>
        </w:tc>
        <w:tc>
          <w:tcPr>
            <w:tcW w:w="700" w:type="dxa"/>
            <w:vAlign w:val="center"/>
          </w:tcPr>
          <w:p>
            <w:pPr>
              <w:keepLines/>
              <w:spacing w:before="0" w:after="0" w:line="240" w:lineRule="auto"/>
            </w:pPr>
            <w:r>
              <w:rPr>
                <w:rFonts w:ascii="Times New Roman" w:hAnsi="Times New Roman" w:eastAsia="標楷體" w:cs="Times New Roman"/>
                <w:sz w:val="20"/>
                <w:szCs w:val="20"/>
              </w:rPr>
              <w:t>590</w:t>
            </w:r>
          </w:p>
        </w:tc>
        <w:tc>
          <w:tcPr>
            <w:tcW w:w="600" w:type="dxa"/>
            <w:vAlign w:val="center"/>
          </w:tcPr>
          <w:p>
            <w:pPr>
              <w:keepLines/>
              <w:spacing w:before="0" w:after="0" w:line="240" w:lineRule="auto"/>
            </w:pPr>
            <w:r>
              <w:rPr>
                <w:rFonts w:ascii="Times New Roman" w:hAnsi="Times New Roman" w:eastAsia="標楷體" w:cs="Times New Roman"/>
                <w:sz w:val="20"/>
                <w:szCs w:val="20"/>
              </w:rPr>
              <w:t>-</w:t>
            </w:r>
          </w:p>
        </w:tc>
        <w:tc>
          <w:tcPr>
            <w:tcW w:w="600" w:type="dxa"/>
            <w:vAlign w:val="center"/>
          </w:tcPr>
          <w:p>
            <w:pPr>
              <w:keepLines/>
              <w:spacing w:before="0" w:after="0" w:line="240" w:lineRule="auto"/>
            </w:pPr>
            <w:r>
              <w:rPr>
                <w:rFonts w:ascii="Times New Roman" w:hAnsi="Times New Roman" w:eastAsia="標楷體" w:cs="Times New Roman"/>
                <w:sz w:val="20"/>
                <w:szCs w:val="20"/>
              </w:rPr>
              <w:t>-</w:t>
            </w:r>
          </w:p>
        </w:tc>
        <w:tc>
          <w:tcPr>
            <w:tcW w:w="1290" w:type="dxa"/>
            <w:vAlign w:val="center"/>
          </w:tcPr>
          <w:p>
            <w:pPr>
              <w:keepLines/>
              <w:spacing w:before="0" w:after="0" w:line="240" w:lineRule="auto"/>
            </w:pPr>
            <w:r>
              <w:rPr>
                <w:rFonts w:ascii="Times New Roman" w:hAnsi="Times New Roman" w:eastAsia="標楷體" w:cs="Times New Roman"/>
                <w:sz w:val="20"/>
                <w:szCs w:val="20"/>
              </w:rPr>
              <w:t>Demo 事後比對</w:t>
            </w:r>
          </w:p>
        </w:tc>
      </w:tr>
    </w:tbl>
    <w:p>
      <w:pPr>
        <w:spacing w:before="0" w:after="35" w:line="240" w:lineRule="auto"/>
      </w:pPr>
    </w:p>
    <w:p>
      <w:pPr>
        <w:keepNext/>
        <w:keepLines/>
        <w:spacing w:before="70" w:after="30" w:line="240" w:lineRule="auto"/>
      </w:pPr>
      <w:r>
        <w:rPr>
          <w:rFonts w:ascii="Times New Roman" w:hAnsi="Times New Roman" w:eastAsia="標楷體" w:cs="Times New Roman"/>
          <w:b/>
          <w:bCs/>
          <w:sz w:val="22"/>
          <w:szCs w:val="22"/>
        </w:rPr>
        <w:t>3.2 特徵蒸餾與模型訓練</w:t>
      </w:r>
    </w:p>
    <w:p>
      <w:pPr>
        <w:keepLines/>
        <w:spacing w:before="0" w:after="35" w:line="240" w:lineRule="auto"/>
      </w:pPr>
      <w:r>
        <w:rPr>
          <w:rFonts w:ascii="Times New Roman" w:hAnsi="Times New Roman" w:eastAsia="標楷體" w:cs="Times New Roman"/>
          <w:sz w:val="20"/>
          <w:szCs w:val="20"/>
        </w:rPr>
        <w:t>CLS teacher feature shape 為 [4725, 768]；patch teacher feature shape 為 [4725, 768, 7, 7]。CLS distillation 使用 L2-normalized student/teacher feature MSE；Patch distillation 使用沿 channel dimension L2 normalization 後的 float32 MSE。ROI Phase2 使用 CrossEntropyLoss 與 AdamW with CosineAnnealingLR；Full-image 使用 BCEWithLogitsLoss 與 Sigmoid 推論。</w:t>
      </w:r>
    </w:p>
    <w:p>
      <w:pPr>
        <w:keepNext/>
        <w:keepLines/>
        <w:jc w:val="center"/>
        <w:spacing w:before="70" w:after="20" w:line="240" w:lineRule="auto"/>
      </w:pPr>
      <w:r>
        <w:rPr>
          <w:rFonts w:ascii="Times New Roman" w:hAnsi="Times New Roman" w:eastAsia="標楷體" w:cs="Times New Roman"/>
          <w:b/>
          <w:bCs/>
          <w:sz w:val="20"/>
          <w:szCs w:val="20"/>
        </w:rPr>
        <w:t>表 3　模型任務與訓練設定摘要</w:t>
      </w:r>
    </w:p>
    <w:tbl>
      <w:tblPr>
        <w:tblW w:w="4340" w:type="dxa"/>
        <w:tblLayout w:type="fixed"/>
        <w:tblCellMar>
          <w:top w:w="50" w:type="dxa"/>
          <w:left w:w="55" w:type="dxa"/>
          <w:bottom w:w="50" w:type="dxa"/>
          <w:right w:w="55"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50"/>
        <w:gridCol w:w="1120"/>
        <w:gridCol w:w="790"/>
        <w:gridCol w:w="980"/>
      </w:tblGrid>
      <w:tr>
        <w:trPr>
          <w:cantSplit/>
        </w:trPr>
        <w:tc>
          <w:tcPr>
            <w:tcW w:w="1450" w:type="dxa"/>
            <w:shd w:fill="EDEDED"/>
            <w:vAlign w:val="center"/>
          </w:tcPr>
          <w:p>
            <w:pPr>
              <w:keepLines/>
              <w:spacing w:before="0" w:after="0" w:line="240" w:lineRule="auto"/>
            </w:pPr>
            <w:r>
              <w:rPr>
                <w:rFonts w:ascii="Times New Roman" w:hAnsi="Times New Roman" w:eastAsia="標楷體" w:cs="Times New Roman"/>
                <w:b/>
                <w:bCs/>
                <w:sz w:val="20"/>
                <w:szCs w:val="20"/>
              </w:rPr>
              <w:t>模型</w:t>
            </w:r>
          </w:p>
        </w:tc>
        <w:tc>
          <w:tcPr>
            <w:tcW w:w="1120" w:type="dxa"/>
            <w:shd w:fill="EDEDED"/>
            <w:vAlign w:val="center"/>
          </w:tcPr>
          <w:p>
            <w:pPr>
              <w:keepLines/>
              <w:spacing w:before="0" w:after="0" w:line="240" w:lineRule="auto"/>
            </w:pPr>
            <w:r>
              <w:rPr>
                <w:rFonts w:ascii="Times New Roman" w:hAnsi="Times New Roman" w:eastAsia="標楷體" w:cs="Times New Roman"/>
                <w:b/>
                <w:bCs/>
                <w:sz w:val="20"/>
                <w:szCs w:val="20"/>
              </w:rPr>
              <w:t>任務</w:t>
            </w:r>
          </w:p>
        </w:tc>
        <w:tc>
          <w:tcPr>
            <w:tcW w:w="790" w:type="dxa"/>
            <w:shd w:fill="EDEDED"/>
            <w:vAlign w:val="center"/>
          </w:tcPr>
          <w:p>
            <w:pPr>
              <w:keepLines/>
              <w:spacing w:before="0" w:after="0" w:line="240" w:lineRule="auto"/>
            </w:pPr>
            <w:r>
              <w:rPr>
                <w:rFonts w:ascii="Times New Roman" w:hAnsi="Times New Roman" w:eastAsia="標楷體" w:cs="Times New Roman"/>
                <w:b/>
                <w:bCs/>
                <w:sz w:val="20"/>
                <w:szCs w:val="20"/>
              </w:rPr>
              <w:t>Act.</w:t>
            </w:r>
          </w:p>
        </w:tc>
        <w:tc>
          <w:tcPr>
            <w:tcW w:w="980" w:type="dxa"/>
            <w:shd w:fill="EDEDED"/>
            <w:vAlign w:val="center"/>
          </w:tcPr>
          <w:p>
            <w:pPr>
              <w:keepLines/>
              <w:spacing w:before="0" w:after="0" w:line="240" w:lineRule="auto"/>
            </w:pPr>
            <w:r>
              <w:rPr>
                <w:rFonts w:ascii="Times New Roman" w:hAnsi="Times New Roman" w:eastAsia="標楷體" w:cs="Times New Roman"/>
                <w:b/>
                <w:bCs/>
                <w:sz w:val="20"/>
                <w:szCs w:val="20"/>
              </w:rPr>
              <w:t>Loss</w:t>
            </w:r>
          </w:p>
        </w:tc>
      </w:tr>
      <w:tr>
        <w:trPr>
          <w:cantSplit/>
        </w:trPr>
        <w:tc>
          <w:tcPr>
            <w:tcW w:w="1450" w:type="dxa"/>
            <w:vAlign w:val="center"/>
          </w:tcPr>
          <w:p>
            <w:pPr>
              <w:keepLines/>
              <w:spacing w:before="0" w:after="0" w:line="240" w:lineRule="auto"/>
            </w:pPr>
            <w:r>
              <w:rPr>
                <w:rFonts w:ascii="Times New Roman" w:hAnsi="Times New Roman" w:eastAsia="標楷體" w:cs="Times New Roman"/>
                <w:sz w:val="20"/>
                <w:szCs w:val="20"/>
              </w:rPr>
              <w:t>ROI Baseline / CLS / Patch</w:t>
            </w:r>
          </w:p>
        </w:tc>
        <w:tc>
          <w:tcPr>
            <w:tcW w:w="1120" w:type="dxa"/>
            <w:vAlign w:val="center"/>
          </w:tcPr>
          <w:p>
            <w:pPr>
              <w:keepLines/>
              <w:spacing w:before="0" w:after="0" w:line="240" w:lineRule="auto"/>
            </w:pPr>
            <w:r>
              <w:rPr>
                <w:rFonts w:ascii="Times New Roman" w:hAnsi="Times New Roman" w:eastAsia="標楷體" w:cs="Times New Roman"/>
                <w:sz w:val="20"/>
                <w:szCs w:val="20"/>
              </w:rPr>
              <w:t>單標籤五分類</w:t>
            </w:r>
          </w:p>
        </w:tc>
        <w:tc>
          <w:tcPr>
            <w:tcW w:w="790" w:type="dxa"/>
            <w:vAlign w:val="center"/>
          </w:tcPr>
          <w:p>
            <w:pPr>
              <w:keepLines/>
              <w:spacing w:before="0" w:after="0" w:line="240" w:lineRule="auto"/>
            </w:pPr>
            <w:r>
              <w:rPr>
                <w:rFonts w:ascii="Times New Roman" w:hAnsi="Times New Roman" w:eastAsia="標楷體" w:cs="Times New Roman"/>
                <w:sz w:val="20"/>
                <w:szCs w:val="20"/>
              </w:rPr>
              <w:t>Softmax</w:t>
            </w:r>
          </w:p>
        </w:tc>
        <w:tc>
          <w:tcPr>
            <w:tcW w:w="980" w:type="dxa"/>
            <w:vAlign w:val="center"/>
          </w:tcPr>
          <w:p>
            <w:pPr>
              <w:keepLines/>
              <w:spacing w:before="0" w:after="0" w:line="240" w:lineRule="auto"/>
            </w:pPr>
            <w:r>
              <w:rPr>
                <w:rFonts w:ascii="Times New Roman" w:hAnsi="Times New Roman" w:eastAsia="標楷體" w:cs="Times New Roman"/>
                <w:sz w:val="20"/>
                <w:szCs w:val="20"/>
              </w:rPr>
              <w:t>Cross-Entropy</w:t>
            </w:r>
          </w:p>
        </w:tc>
      </w:tr>
      <w:tr>
        <w:trPr>
          <w:cantSplit/>
        </w:trPr>
        <w:tc>
          <w:tcPr>
            <w:tcW w:w="1450" w:type="dxa"/>
            <w:vAlign w:val="center"/>
          </w:tcPr>
          <w:p>
            <w:pPr>
              <w:keepLines/>
              <w:spacing w:before="0" w:after="0" w:line="240" w:lineRule="auto"/>
            </w:pPr>
            <w:r>
              <w:rPr>
                <w:rFonts w:ascii="Times New Roman" w:hAnsi="Times New Roman" w:eastAsia="標楷體" w:cs="Times New Roman"/>
                <w:sz w:val="20"/>
                <w:szCs w:val="20"/>
              </w:rPr>
              <w:t>Full-image Patch-transfer</w:t>
            </w:r>
          </w:p>
        </w:tc>
        <w:tc>
          <w:tcPr>
            <w:tcW w:w="1120" w:type="dxa"/>
            <w:vAlign w:val="center"/>
          </w:tcPr>
          <w:p>
            <w:pPr>
              <w:keepLines/>
              <w:spacing w:before="0" w:after="0" w:line="240" w:lineRule="auto"/>
            </w:pPr>
            <w:r>
              <w:rPr>
                <w:rFonts w:ascii="Times New Roman" w:hAnsi="Times New Roman" w:eastAsia="標楷體" w:cs="Times New Roman"/>
                <w:sz w:val="20"/>
                <w:szCs w:val="20"/>
              </w:rPr>
              <w:t>多標籤五分類</w:t>
            </w:r>
          </w:p>
        </w:tc>
        <w:tc>
          <w:tcPr>
            <w:tcW w:w="790" w:type="dxa"/>
            <w:vAlign w:val="center"/>
          </w:tcPr>
          <w:p>
            <w:pPr>
              <w:keepLines/>
              <w:spacing w:before="0" w:after="0" w:line="240" w:lineRule="auto"/>
            </w:pPr>
            <w:r>
              <w:rPr>
                <w:rFonts w:ascii="Times New Roman" w:hAnsi="Times New Roman" w:eastAsia="標楷體" w:cs="Times New Roman"/>
                <w:sz w:val="20"/>
                <w:szCs w:val="20"/>
              </w:rPr>
              <w:t>Sigmoid</w:t>
            </w:r>
          </w:p>
        </w:tc>
        <w:tc>
          <w:tcPr>
            <w:tcW w:w="980" w:type="dxa"/>
            <w:vAlign w:val="center"/>
          </w:tcPr>
          <w:p>
            <w:pPr>
              <w:keepLines/>
              <w:spacing w:before="0" w:after="0" w:line="240" w:lineRule="auto"/>
            </w:pPr>
            <w:r>
              <w:rPr>
                <w:rFonts w:ascii="Times New Roman" w:hAnsi="Times New Roman" w:eastAsia="標楷體" w:cs="Times New Roman"/>
                <w:sz w:val="20"/>
                <w:szCs w:val="20"/>
              </w:rPr>
              <w:t>BCE with Logits</w:t>
            </w:r>
          </w:p>
        </w:tc>
      </w:tr>
    </w:tbl>
    <w:p>
      <w:pPr>
        <w:spacing w:before="0" w:after="35" w:line="240" w:lineRule="auto"/>
      </w:pPr>
    </w:p>
    <w:p>
      <w:pPr>
        <w:keepNext/>
        <w:keepLines/>
        <w:spacing w:before="70" w:after="30" w:line="240" w:lineRule="auto"/>
      </w:pPr>
      <w:r>
        <w:rPr>
          <w:rFonts w:ascii="Times New Roman" w:hAnsi="Times New Roman" w:eastAsia="標楷體" w:cs="Times New Roman"/>
          <w:b/>
          <w:bCs/>
          <w:sz w:val="22"/>
          <w:szCs w:val="22"/>
        </w:rPr>
        <w:t>3.3 Full-image 與 Demo 流程</w:t>
      </w:r>
    </w:p>
    <w:p>
      <w:pPr>
        <w:keepLines/>
        <w:spacing w:before="0" w:after="35" w:line="240" w:lineRule="auto"/>
      </w:pPr>
      <w:r>
        <w:rPr>
          <w:rFonts w:ascii="Times New Roman" w:hAnsi="Times New Roman" w:eastAsia="標楷體" w:cs="Times New Roman"/>
          <w:sz w:val="20"/>
          <w:szCs w:val="20"/>
        </w:rPr>
        <w:t>Full-image 模型初始化自 ROI Patch Proposed exported checkpoint，轉移時丟棄 ROI head，改接 Dropout(0.2) 與 Linear(768,5) 多標籤 head。推論時輸出五個 raw logits，經 Sigmoid 得到獨立類別機率，再套用 validation thresholds：0.50、0.50、0.39、0.36、0.34。</w:t>
      </w:r>
    </w:p>
    <w:p>
      <w:pPr>
        <w:keepNext/>
        <w:keepLines/>
        <w:jc w:val="center"/>
        <w:spacing w:before="70" w:after="20" w:line="240" w:lineRule="auto"/>
      </w:pPr>
      <w:r>
        <w:br w:type="column"/>
      </w:r>
      <w:r>
        <w:rPr>
          <w:rFonts w:ascii="Times New Roman" w:hAnsi="Times New Roman" w:eastAsia="標楷體" w:cs="Times New Roman"/>
          <w:b/>
          <w:bCs/>
          <w:sz w:val="20"/>
          <w:szCs w:val="20"/>
        </w:rPr>
        <w:t>表 4　Full-image Demo 推論與報告流程</w:t>
      </w:r>
    </w:p>
    <w:tbl>
      <w:tblPr>
        <w:tblW w:w="4340" w:type="dxa"/>
        <w:tblLayout w:type="fixed"/>
        <w:tblCellMar>
          <w:top w:w="50" w:type="dxa"/>
          <w:left w:w="55" w:type="dxa"/>
          <w:bottom w:w="50" w:type="dxa"/>
          <w:right w:w="55"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00"/>
        <w:gridCol w:w="3640"/>
      </w:tblGrid>
      <w:tr>
        <w:trPr>
          <w:cantSplit/>
        </w:trPr>
        <w:tc>
          <w:tcPr>
            <w:tcW w:w="700" w:type="dxa"/>
            <w:shd w:fill="EDEDED"/>
            <w:vAlign w:val="center"/>
          </w:tcPr>
          <w:p>
            <w:pPr>
              <w:keepLines/>
              <w:spacing w:before="0" w:after="0" w:line="240" w:lineRule="auto"/>
            </w:pPr>
            <w:r>
              <w:rPr>
                <w:rFonts w:ascii="Times New Roman" w:hAnsi="Times New Roman" w:eastAsia="標楷體" w:cs="Times New Roman"/>
                <w:b/>
                <w:bCs/>
                <w:sz w:val="20"/>
                <w:szCs w:val="20"/>
              </w:rPr>
              <w:t>步驟</w:t>
            </w:r>
          </w:p>
        </w:tc>
        <w:tc>
          <w:tcPr>
            <w:tcW w:w="3640" w:type="dxa"/>
            <w:shd w:fill="EDEDED"/>
            <w:vAlign w:val="center"/>
          </w:tcPr>
          <w:p>
            <w:pPr>
              <w:keepLines/>
              <w:spacing w:before="0" w:after="0" w:line="240" w:lineRule="auto"/>
            </w:pPr>
            <w:r>
              <w:rPr>
                <w:rFonts w:ascii="Times New Roman" w:hAnsi="Times New Roman" w:eastAsia="標楷體" w:cs="Times New Roman"/>
                <w:b/>
                <w:bCs/>
                <w:sz w:val="20"/>
                <w:szCs w:val="20"/>
              </w:rPr>
              <w:t>內容</w:t>
            </w:r>
          </w:p>
        </w:tc>
      </w:tr>
      <w:tr>
        <w:trPr>
          <w:cantSplit/>
        </w:trPr>
        <w:tc>
          <w:tcPr>
            <w:tcW w:w="700" w:type="dxa"/>
            <w:vAlign w:val="center"/>
          </w:tcPr>
          <w:p>
            <w:pPr>
              <w:keepLines/>
              <w:spacing w:before="0" w:after="0" w:line="240" w:lineRule="auto"/>
            </w:pPr>
            <w:r>
              <w:rPr>
                <w:rFonts w:ascii="Times New Roman" w:hAnsi="Times New Roman" w:eastAsia="標楷體" w:cs="Times New Roman"/>
                <w:sz w:val="20"/>
                <w:szCs w:val="20"/>
              </w:rPr>
              <w:t>1</w:t>
            </w:r>
          </w:p>
        </w:tc>
        <w:tc>
          <w:tcPr>
            <w:tcW w:w="3640" w:type="dxa"/>
            <w:vAlign w:val="center"/>
          </w:tcPr>
          <w:p>
            <w:pPr>
              <w:keepLines/>
              <w:spacing w:before="0" w:after="0" w:line="240" w:lineRule="auto"/>
            </w:pPr>
            <w:r>
              <w:rPr>
                <w:rFonts w:ascii="Times New Roman" w:hAnsi="Times New Roman" w:eastAsia="標楷體" w:cs="Times New Roman"/>
                <w:sz w:val="20"/>
                <w:szCs w:val="20"/>
              </w:rPr>
              <w:t>Full-image 224×224 input</w:t>
            </w:r>
          </w:p>
        </w:tc>
      </w:tr>
      <w:tr>
        <w:trPr>
          <w:cantSplit/>
        </w:trPr>
        <w:tc>
          <w:tcPr>
            <w:tcW w:w="700" w:type="dxa"/>
            <w:vAlign w:val="center"/>
          </w:tcPr>
          <w:p>
            <w:pPr>
              <w:keepLines/>
              <w:spacing w:before="0" w:after="0" w:line="240" w:lineRule="auto"/>
            </w:pPr>
            <w:r>
              <w:rPr>
                <w:rFonts w:ascii="Times New Roman" w:hAnsi="Times New Roman" w:eastAsia="標楷體" w:cs="Times New Roman"/>
                <w:sz w:val="20"/>
                <w:szCs w:val="20"/>
              </w:rPr>
              <w:t>2</w:t>
            </w:r>
          </w:p>
        </w:tc>
        <w:tc>
          <w:tcPr>
            <w:tcW w:w="3640" w:type="dxa"/>
            <w:vAlign w:val="center"/>
          </w:tcPr>
          <w:p>
            <w:pPr>
              <w:keepLines/>
              <w:spacing w:before="0" w:after="0" w:line="240" w:lineRule="auto"/>
            </w:pPr>
            <w:r>
              <w:rPr>
                <w:rFonts w:ascii="Times New Roman" w:hAnsi="Times New Roman" w:eastAsia="標楷體" w:cs="Times New Roman"/>
                <w:sz w:val="20"/>
                <w:szCs w:val="20"/>
              </w:rPr>
              <w:t>ConvNeXt inference</w:t>
            </w:r>
          </w:p>
        </w:tc>
      </w:tr>
      <w:tr>
        <w:trPr>
          <w:cantSplit/>
        </w:trPr>
        <w:tc>
          <w:tcPr>
            <w:tcW w:w="700" w:type="dxa"/>
            <w:vAlign w:val="center"/>
          </w:tcPr>
          <w:p>
            <w:pPr>
              <w:keepLines/>
              <w:spacing w:before="0" w:after="0" w:line="240" w:lineRule="auto"/>
            </w:pPr>
            <w:r>
              <w:rPr>
                <w:rFonts w:ascii="Times New Roman" w:hAnsi="Times New Roman" w:eastAsia="標楷體" w:cs="Times New Roman"/>
                <w:sz w:val="20"/>
                <w:szCs w:val="20"/>
              </w:rPr>
              <w:t>3</w:t>
            </w:r>
          </w:p>
        </w:tc>
        <w:tc>
          <w:tcPr>
            <w:tcW w:w="3640" w:type="dxa"/>
            <w:vAlign w:val="center"/>
          </w:tcPr>
          <w:p>
            <w:pPr>
              <w:keepLines/>
              <w:spacing w:before="0" w:after="0" w:line="240" w:lineRule="auto"/>
            </w:pPr>
            <w:r>
              <w:rPr>
                <w:rFonts w:ascii="Times New Roman" w:hAnsi="Times New Roman" w:eastAsia="標楷體" w:cs="Times New Roman"/>
                <w:sz w:val="20"/>
                <w:szCs w:val="20"/>
              </w:rPr>
              <w:t>Sigmoid + thresholds</w:t>
            </w:r>
          </w:p>
        </w:tc>
      </w:tr>
      <w:tr>
        <w:trPr>
          <w:cantSplit/>
        </w:trPr>
        <w:tc>
          <w:tcPr>
            <w:tcW w:w="700" w:type="dxa"/>
            <w:vAlign w:val="center"/>
          </w:tcPr>
          <w:p>
            <w:pPr>
              <w:keepLines/>
              <w:spacing w:before="0" w:after="0" w:line="240" w:lineRule="auto"/>
            </w:pPr>
            <w:r>
              <w:rPr>
                <w:rFonts w:ascii="Times New Roman" w:hAnsi="Times New Roman" w:eastAsia="標楷體" w:cs="Times New Roman"/>
                <w:sz w:val="20"/>
                <w:szCs w:val="20"/>
              </w:rPr>
              <w:t>4</w:t>
            </w:r>
          </w:p>
        </w:tc>
        <w:tc>
          <w:tcPr>
            <w:tcW w:w="3640" w:type="dxa"/>
            <w:vAlign w:val="center"/>
          </w:tcPr>
          <w:p>
            <w:pPr>
              <w:keepLines/>
              <w:spacing w:before="0" w:after="0" w:line="240" w:lineRule="auto"/>
            </w:pPr>
            <w:r>
              <w:rPr>
                <w:rFonts w:ascii="Times New Roman" w:hAnsi="Times New Roman" w:eastAsia="標楷體" w:cs="Times New Roman"/>
                <w:sz w:val="20"/>
                <w:szCs w:val="20"/>
              </w:rPr>
              <w:t>Predicted vector</w:t>
            </w:r>
          </w:p>
        </w:tc>
      </w:tr>
      <w:tr>
        <w:trPr>
          <w:cantSplit/>
        </w:trPr>
        <w:tc>
          <w:tcPr>
            <w:tcW w:w="700" w:type="dxa"/>
            <w:vAlign w:val="center"/>
          </w:tcPr>
          <w:p>
            <w:pPr>
              <w:keepLines/>
              <w:spacing w:before="0" w:after="0" w:line="240" w:lineRule="auto"/>
            </w:pPr>
            <w:r>
              <w:rPr>
                <w:rFonts w:ascii="Times New Roman" w:hAnsi="Times New Roman" w:eastAsia="標楷體" w:cs="Times New Roman"/>
                <w:sz w:val="20"/>
                <w:szCs w:val="20"/>
              </w:rPr>
              <w:t>5</w:t>
            </w:r>
          </w:p>
        </w:tc>
        <w:tc>
          <w:tcPr>
            <w:tcW w:w="3640" w:type="dxa"/>
            <w:vAlign w:val="center"/>
          </w:tcPr>
          <w:p>
            <w:pPr>
              <w:keepLines/>
              <w:spacing w:before="0" w:after="0" w:line="240" w:lineRule="auto"/>
            </w:pPr>
            <w:r>
              <w:rPr>
                <w:rFonts w:ascii="Times New Roman" w:hAnsi="Times New Roman" w:eastAsia="標楷體" w:cs="Times New Roman"/>
                <w:sz w:val="20"/>
                <w:szCs w:val="20"/>
              </w:rPr>
              <w:t>GT post-hoc comparison</w:t>
            </w:r>
          </w:p>
        </w:tc>
      </w:tr>
      <w:tr>
        <w:trPr>
          <w:cantSplit/>
        </w:trPr>
        <w:tc>
          <w:tcPr>
            <w:tcW w:w="700" w:type="dxa"/>
            <w:vAlign w:val="center"/>
          </w:tcPr>
          <w:p>
            <w:pPr>
              <w:keepLines/>
              <w:spacing w:before="0" w:after="0" w:line="240" w:lineRule="auto"/>
            </w:pPr>
            <w:r>
              <w:rPr>
                <w:rFonts w:ascii="Times New Roman" w:hAnsi="Times New Roman" w:eastAsia="標楷體" w:cs="Times New Roman"/>
                <w:sz w:val="20"/>
                <w:szCs w:val="20"/>
              </w:rPr>
              <w:t>6</w:t>
            </w:r>
          </w:p>
        </w:tc>
        <w:tc>
          <w:tcPr>
            <w:tcW w:w="3640" w:type="dxa"/>
            <w:vAlign w:val="center"/>
          </w:tcPr>
          <w:p>
            <w:pPr>
              <w:keepLines/>
              <w:spacing w:before="0" w:after="0" w:line="240" w:lineRule="auto"/>
            </w:pPr>
            <w:r>
              <w:rPr>
                <w:rFonts w:ascii="Times New Roman" w:hAnsi="Times New Roman" w:eastAsia="標楷體" w:cs="Times New Roman"/>
                <w:sz w:val="20"/>
                <w:szCs w:val="20"/>
              </w:rPr>
              <w:t>Ollama explanation/report</w:t>
            </w:r>
          </w:p>
        </w:tc>
      </w:tr>
    </w:tbl>
    <w:p>
      <w:pPr>
        <w:spacing w:before="0" w:after="35" w:line="240" w:lineRule="auto"/>
      </w:pPr>
    </w:p>
    <w:p>
      <w:pPr>
        <w:keepLines/>
        <w:spacing w:before="0" w:after="60" w:line="240" w:lineRule="auto"/>
      </w:pPr>
      <w:r>
        <w:rPr>
          <w:rFonts w:ascii="Times New Roman" w:hAnsi="Times New Roman" w:eastAsia="標楷體" w:cs="Times New Roman"/>
          <w:sz w:val="20"/>
          <w:szCs w:val="20"/>
        </w:rPr>
        <w:t>Ground Truth 僅作 Demo 後處理比對，不輸入模型，也不傳給 Ollama。Ollama 只根據本機模型輸出的結構化結果生成說明文字，不直接判讀胸腔 X 光影像。</w:t>
      </w:r>
    </w:p>
    <w:p>
      <w:pPr>
        <w:keepNext/>
        <w:keepLines/>
        <w:spacing w:before="90" w:after="40" w:line="240" w:lineRule="auto"/>
      </w:pPr>
      <w:r>
        <w:rPr>
          <w:rFonts w:ascii="Times New Roman" w:hAnsi="Times New Roman" w:eastAsia="標楷體" w:cs="Times New Roman"/>
          <w:b/>
          <w:bCs/>
          <w:sz w:val="24"/>
          <w:szCs w:val="24"/>
        </w:rPr>
        <w:t>4. 實驗結果與討論</w:t>
      </w:r>
    </w:p>
    <w:p>
      <w:pPr>
        <w:keepLines/>
        <w:spacing w:before="0" w:after="45" w:line="240" w:lineRule="auto"/>
      </w:pPr>
      <w:r>
        <w:rPr>
          <w:rFonts w:ascii="Times New Roman" w:hAnsi="Times New Roman" w:eastAsia="標楷體" w:cs="Times New Roman"/>
          <w:sz w:val="20"/>
          <w:szCs w:val="20"/>
        </w:rPr>
        <w:t>Phase 1 結果顯示 CLS distillation 完成 30 epochs，best average distillation loss 為 0.0003958256，average cosine similarity 為 0.8480030057；Patch distillation 完成 84 epochs，monitor MSE 為 0.0002644237，monitor cosine 為 0.89846133。這些結果代表特徵對齊程度，不能直接解讀為分類指標全面最佳。</w:t>
      </w:r>
    </w:p>
    <w:p>
      <w:pPr>
        <w:keepNext/>
        <w:keepLines/>
        <w:spacing w:before="70" w:after="30" w:line="240" w:lineRule="auto"/>
      </w:pPr>
      <w:r>
        <w:rPr>
          <w:rFonts w:ascii="Times New Roman" w:hAnsi="Times New Roman" w:eastAsia="標楷體" w:cs="Times New Roman"/>
          <w:b/>
          <w:bCs/>
          <w:sz w:val="22"/>
          <w:szCs w:val="22"/>
        </w:rPr>
        <w:t>4.1 ROI 五分類結果</w:t>
      </w:r>
    </w:p>
    <w:p>
      <w:pPr>
        <w:keepNext/>
        <w:keepLines/>
        <w:jc w:val="center"/>
        <w:spacing w:before="70" w:after="20" w:line="240" w:lineRule="auto"/>
      </w:pPr>
      <w:r>
        <w:rPr>
          <w:rFonts w:ascii="Times New Roman" w:hAnsi="Times New Roman" w:eastAsia="標楷體" w:cs="Times New Roman"/>
          <w:b/>
          <w:bCs/>
          <w:sz w:val="20"/>
          <w:szCs w:val="20"/>
        </w:rPr>
        <w:t>表 5　ROI 三模型正式測試結果</w:t>
      </w:r>
    </w:p>
    <w:tbl>
      <w:tblPr>
        <w:tblW w:w="4340" w:type="dxa"/>
        <w:tblLayout w:type="fixed"/>
        <w:tblCellMar>
          <w:top w:w="50" w:type="dxa"/>
          <w:left w:w="55" w:type="dxa"/>
          <w:bottom w:w="50" w:type="dxa"/>
          <w:right w:w="55"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100"/>
        <w:gridCol w:w="810"/>
        <w:gridCol w:w="810"/>
        <w:gridCol w:w="810"/>
        <w:gridCol w:w="810"/>
      </w:tblGrid>
      <w:tr>
        <w:trPr>
          <w:cantSplit/>
        </w:trPr>
        <w:tc>
          <w:tcPr>
            <w:tcW w:w="1100" w:type="dxa"/>
            <w:shd w:fill="EDEDED"/>
            <w:vAlign w:val="center"/>
          </w:tcPr>
          <w:p>
            <w:pPr>
              <w:keepLines/>
              <w:spacing w:before="0" w:after="0" w:line="240" w:lineRule="auto"/>
            </w:pPr>
            <w:r>
              <w:rPr>
                <w:rFonts w:ascii="Times New Roman" w:hAnsi="Times New Roman" w:eastAsia="標楷體" w:cs="Times New Roman"/>
                <w:b/>
                <w:bCs/>
                <w:sz w:val="20"/>
                <w:szCs w:val="20"/>
              </w:rPr>
              <w:t>模型</w:t>
            </w:r>
          </w:p>
        </w:tc>
        <w:tc>
          <w:tcPr>
            <w:tcW w:w="810" w:type="dxa"/>
            <w:shd w:fill="EDEDED"/>
            <w:vAlign w:val="center"/>
          </w:tcPr>
          <w:p>
            <w:pPr>
              <w:keepLines/>
              <w:spacing w:before="0" w:after="0" w:line="240" w:lineRule="auto"/>
            </w:pPr>
            <w:r>
              <w:rPr>
                <w:rFonts w:ascii="Times New Roman" w:hAnsi="Times New Roman" w:eastAsia="標楷體" w:cs="Times New Roman"/>
                <w:b/>
                <w:bCs/>
                <w:sz w:val="20"/>
                <w:szCs w:val="20"/>
              </w:rPr>
              <w:t>Acc.</w:t>
            </w:r>
          </w:p>
        </w:tc>
        <w:tc>
          <w:tcPr>
            <w:tcW w:w="810" w:type="dxa"/>
            <w:shd w:fill="EDEDED"/>
            <w:vAlign w:val="center"/>
          </w:tcPr>
          <w:p>
            <w:pPr>
              <w:keepLines/>
              <w:spacing w:before="0" w:after="0" w:line="240" w:lineRule="auto"/>
            </w:pPr>
            <w:r>
              <w:rPr>
                <w:rFonts w:ascii="Times New Roman" w:hAnsi="Times New Roman" w:eastAsia="標楷體" w:cs="Times New Roman"/>
                <w:b/>
                <w:bCs/>
                <w:sz w:val="20"/>
                <w:szCs w:val="20"/>
              </w:rPr>
              <w:t>M-F1</w:t>
            </w:r>
          </w:p>
        </w:tc>
        <w:tc>
          <w:tcPr>
            <w:tcW w:w="810" w:type="dxa"/>
            <w:shd w:fill="EDEDED"/>
            <w:vAlign w:val="center"/>
          </w:tcPr>
          <w:p>
            <w:pPr>
              <w:keepLines/>
              <w:spacing w:before="0" w:after="0" w:line="240" w:lineRule="auto"/>
            </w:pPr>
            <w:r>
              <w:rPr>
                <w:rFonts w:ascii="Times New Roman" w:hAnsi="Times New Roman" w:eastAsia="標楷體" w:cs="Times New Roman"/>
                <w:b/>
                <w:bCs/>
                <w:sz w:val="20"/>
                <w:szCs w:val="20"/>
              </w:rPr>
              <w:t>W-F1</w:t>
            </w:r>
          </w:p>
        </w:tc>
        <w:tc>
          <w:tcPr>
            <w:tcW w:w="810" w:type="dxa"/>
            <w:shd w:fill="EDEDED"/>
            <w:vAlign w:val="center"/>
          </w:tcPr>
          <w:p>
            <w:pPr>
              <w:keepLines/>
              <w:spacing w:before="0" w:after="0" w:line="240" w:lineRule="auto"/>
            </w:pPr>
            <w:r>
              <w:rPr>
                <w:rFonts w:ascii="Times New Roman" w:hAnsi="Times New Roman" w:eastAsia="標楷體" w:cs="Times New Roman"/>
                <w:b/>
                <w:bCs/>
                <w:sz w:val="20"/>
                <w:szCs w:val="20"/>
              </w:rPr>
              <w:t>AUC</w:t>
            </w:r>
          </w:p>
        </w:tc>
      </w:tr>
      <w:tr>
        <w:trPr>
          <w:cantSplit/>
        </w:trPr>
        <w:tc>
          <w:tcPr>
            <w:tcW w:w="1100" w:type="dxa"/>
            <w:vAlign w:val="center"/>
          </w:tcPr>
          <w:p>
            <w:pPr>
              <w:keepLines/>
              <w:spacing w:before="0" w:after="0" w:line="240" w:lineRule="auto"/>
            </w:pPr>
            <w:r>
              <w:rPr>
                <w:rFonts w:ascii="Times New Roman" w:hAnsi="Times New Roman" w:eastAsia="標楷體" w:cs="Times New Roman"/>
                <w:sz w:val="20"/>
                <w:szCs w:val="20"/>
              </w:rPr>
              <w:t>ImageNet Baseline</w:t>
            </w:r>
          </w:p>
        </w:tc>
        <w:tc>
          <w:tcPr>
            <w:tcW w:w="810" w:type="dxa"/>
            <w:vAlign w:val="center"/>
          </w:tcPr>
          <w:p>
            <w:pPr>
              <w:keepLines/>
              <w:spacing w:before="0" w:after="0" w:line="240" w:lineRule="auto"/>
            </w:pPr>
            <w:r>
              <w:rPr>
                <w:rFonts w:ascii="Times New Roman" w:hAnsi="Times New Roman" w:eastAsia="標楷體" w:cs="Times New Roman"/>
                <w:sz w:val="20"/>
                <w:szCs w:val="20"/>
              </w:rPr>
              <w:t>0.7996</w:t>
            </w:r>
          </w:p>
        </w:tc>
        <w:tc>
          <w:tcPr>
            <w:tcW w:w="810" w:type="dxa"/>
            <w:vAlign w:val="center"/>
          </w:tcPr>
          <w:p>
            <w:pPr>
              <w:keepLines/>
              <w:spacing w:before="0" w:after="0" w:line="240" w:lineRule="auto"/>
            </w:pPr>
            <w:r>
              <w:rPr>
                <w:rFonts w:ascii="Times New Roman" w:hAnsi="Times New Roman" w:eastAsia="標楷體" w:cs="Times New Roman"/>
                <w:sz w:val="20"/>
                <w:szCs w:val="20"/>
              </w:rPr>
              <w:t>0.8080</w:t>
            </w:r>
          </w:p>
        </w:tc>
        <w:tc>
          <w:tcPr>
            <w:tcW w:w="810" w:type="dxa"/>
            <w:vAlign w:val="center"/>
          </w:tcPr>
          <w:p>
            <w:pPr>
              <w:keepLines/>
              <w:spacing w:before="0" w:after="0" w:line="240" w:lineRule="auto"/>
            </w:pPr>
            <w:r>
              <w:rPr>
                <w:rFonts w:ascii="Times New Roman" w:hAnsi="Times New Roman" w:eastAsia="標楷體" w:cs="Times New Roman"/>
                <w:sz w:val="20"/>
                <w:szCs w:val="20"/>
              </w:rPr>
              <w:t>0.7904</w:t>
            </w:r>
          </w:p>
        </w:tc>
        <w:tc>
          <w:tcPr>
            <w:tcW w:w="810" w:type="dxa"/>
            <w:vAlign w:val="center"/>
          </w:tcPr>
          <w:p>
            <w:pPr>
              <w:keepLines/>
              <w:spacing w:before="0" w:after="0" w:line="240" w:lineRule="auto"/>
            </w:pPr>
            <w:r>
              <w:rPr>
                <w:rFonts w:ascii="Times New Roman" w:hAnsi="Times New Roman" w:eastAsia="標楷體" w:cs="Times New Roman"/>
                <w:sz w:val="20"/>
                <w:szCs w:val="20"/>
              </w:rPr>
              <w:t>0.9484</w:t>
            </w:r>
          </w:p>
        </w:tc>
      </w:tr>
      <w:tr>
        <w:trPr>
          <w:cantSplit/>
        </w:trPr>
        <w:tc>
          <w:tcPr>
            <w:tcW w:w="1100" w:type="dxa"/>
            <w:vAlign w:val="center"/>
          </w:tcPr>
          <w:p>
            <w:pPr>
              <w:keepLines/>
              <w:spacing w:before="0" w:after="0" w:line="240" w:lineRule="auto"/>
            </w:pPr>
            <w:r>
              <w:rPr>
                <w:rFonts w:ascii="Times New Roman" w:hAnsi="Times New Roman" w:eastAsia="標楷體" w:cs="Times New Roman"/>
                <w:sz w:val="20"/>
                <w:szCs w:val="20"/>
              </w:rPr>
              <w:t>RAD-DINO CLS</w:t>
            </w:r>
          </w:p>
        </w:tc>
        <w:tc>
          <w:tcPr>
            <w:tcW w:w="810" w:type="dxa"/>
            <w:vAlign w:val="center"/>
          </w:tcPr>
          <w:p>
            <w:pPr>
              <w:keepLines/>
              <w:spacing w:before="0" w:after="0" w:line="240" w:lineRule="auto"/>
            </w:pPr>
            <w:r>
              <w:rPr>
                <w:rFonts w:ascii="Times New Roman" w:hAnsi="Times New Roman" w:eastAsia="標楷體" w:cs="Times New Roman"/>
                <w:sz w:val="20"/>
                <w:szCs w:val="20"/>
              </w:rPr>
              <w:t>0.7930</w:t>
            </w:r>
          </w:p>
        </w:tc>
        <w:tc>
          <w:tcPr>
            <w:tcW w:w="810" w:type="dxa"/>
            <w:vAlign w:val="center"/>
          </w:tcPr>
          <w:p>
            <w:pPr>
              <w:keepLines/>
              <w:spacing w:before="0" w:after="0" w:line="240" w:lineRule="auto"/>
            </w:pPr>
            <w:r>
              <w:rPr>
                <w:rFonts w:ascii="Times New Roman" w:hAnsi="Times New Roman" w:eastAsia="標楷體" w:cs="Times New Roman"/>
                <w:sz w:val="20"/>
                <w:szCs w:val="20"/>
              </w:rPr>
              <w:t>0.8017</w:t>
            </w:r>
          </w:p>
        </w:tc>
        <w:tc>
          <w:tcPr>
            <w:tcW w:w="810" w:type="dxa"/>
            <w:vAlign w:val="center"/>
          </w:tcPr>
          <w:p>
            <w:pPr>
              <w:keepLines/>
              <w:spacing w:before="0" w:after="0" w:line="240" w:lineRule="auto"/>
            </w:pPr>
            <w:r>
              <w:rPr>
                <w:rFonts w:ascii="Times New Roman" w:hAnsi="Times New Roman" w:eastAsia="標楷體" w:cs="Times New Roman"/>
                <w:sz w:val="20"/>
                <w:szCs w:val="20"/>
              </w:rPr>
              <w:t>0.7844</w:t>
            </w:r>
          </w:p>
        </w:tc>
        <w:tc>
          <w:tcPr>
            <w:tcW w:w="810" w:type="dxa"/>
            <w:vAlign w:val="center"/>
          </w:tcPr>
          <w:p>
            <w:pPr>
              <w:keepLines/>
              <w:spacing w:before="0" w:after="0" w:line="240" w:lineRule="auto"/>
            </w:pPr>
            <w:r>
              <w:rPr>
                <w:rFonts w:ascii="Times New Roman" w:hAnsi="Times New Roman" w:eastAsia="標楷體" w:cs="Times New Roman"/>
                <w:sz w:val="20"/>
                <w:szCs w:val="20"/>
              </w:rPr>
              <w:t>0.9507</w:t>
            </w:r>
          </w:p>
        </w:tc>
      </w:tr>
      <w:tr>
        <w:trPr>
          <w:cantSplit/>
        </w:trPr>
        <w:tc>
          <w:tcPr>
            <w:tcW w:w="1100" w:type="dxa"/>
            <w:vAlign w:val="center"/>
          </w:tcPr>
          <w:p>
            <w:pPr>
              <w:keepLines/>
              <w:spacing w:before="0" w:after="0" w:line="240" w:lineRule="auto"/>
            </w:pPr>
            <w:r>
              <w:rPr>
                <w:rFonts w:ascii="Times New Roman" w:hAnsi="Times New Roman" w:eastAsia="標楷體" w:cs="Times New Roman"/>
                <w:sz w:val="20"/>
                <w:szCs w:val="20"/>
              </w:rPr>
              <w:t>RAD-DINO Patch</w:t>
            </w:r>
          </w:p>
        </w:tc>
        <w:tc>
          <w:tcPr>
            <w:tcW w:w="810" w:type="dxa"/>
            <w:vAlign w:val="center"/>
          </w:tcPr>
          <w:p>
            <w:pPr>
              <w:keepLines/>
              <w:spacing w:before="0" w:after="0" w:line="240" w:lineRule="auto"/>
            </w:pPr>
            <w:r>
              <w:rPr>
                <w:rFonts w:ascii="Times New Roman" w:hAnsi="Times New Roman" w:eastAsia="標楷體" w:cs="Times New Roman"/>
                <w:sz w:val="20"/>
                <w:szCs w:val="20"/>
              </w:rPr>
              <w:t>0.7996</w:t>
            </w:r>
          </w:p>
        </w:tc>
        <w:tc>
          <w:tcPr>
            <w:tcW w:w="810" w:type="dxa"/>
            <w:vAlign w:val="center"/>
          </w:tcPr>
          <w:p>
            <w:pPr>
              <w:keepLines/>
              <w:spacing w:before="0" w:after="0" w:line="240" w:lineRule="auto"/>
            </w:pPr>
            <w:r>
              <w:rPr>
                <w:rFonts w:ascii="Times New Roman" w:hAnsi="Times New Roman" w:eastAsia="標楷體" w:cs="Times New Roman"/>
                <w:sz w:val="20"/>
                <w:szCs w:val="20"/>
              </w:rPr>
              <w:t>0.8053</w:t>
            </w:r>
          </w:p>
        </w:tc>
        <w:tc>
          <w:tcPr>
            <w:tcW w:w="810" w:type="dxa"/>
            <w:vAlign w:val="center"/>
          </w:tcPr>
          <w:p>
            <w:pPr>
              <w:keepLines/>
              <w:spacing w:before="0" w:after="0" w:line="240" w:lineRule="auto"/>
            </w:pPr>
            <w:r>
              <w:rPr>
                <w:rFonts w:ascii="Times New Roman" w:hAnsi="Times New Roman" w:eastAsia="標楷體" w:cs="Times New Roman"/>
                <w:sz w:val="20"/>
                <w:szCs w:val="20"/>
              </w:rPr>
              <w:t>0.7918</w:t>
            </w:r>
          </w:p>
        </w:tc>
        <w:tc>
          <w:tcPr>
            <w:tcW w:w="810" w:type="dxa"/>
            <w:vAlign w:val="center"/>
          </w:tcPr>
          <w:p>
            <w:pPr>
              <w:keepLines/>
              <w:spacing w:before="0" w:after="0" w:line="240" w:lineRule="auto"/>
            </w:pPr>
            <w:r>
              <w:rPr>
                <w:rFonts w:ascii="Times New Roman" w:hAnsi="Times New Roman" w:eastAsia="標楷體" w:cs="Times New Roman"/>
                <w:sz w:val="20"/>
                <w:szCs w:val="20"/>
              </w:rPr>
              <w:t>0.9506</w:t>
            </w:r>
          </w:p>
        </w:tc>
      </w:tr>
    </w:tbl>
    <w:p>
      <w:pPr>
        <w:spacing w:before="0" w:after="35" w:line="240" w:lineRule="auto"/>
      </w:pPr>
    </w:p>
    <w:p>
      <w:pPr>
        <w:keepLines/>
        <w:spacing w:before="0" w:after="45" w:line="240" w:lineRule="auto"/>
      </w:pPr>
      <w:r>
        <w:rPr>
          <w:rFonts w:ascii="Times New Roman" w:hAnsi="Times New Roman" w:eastAsia="標楷體" w:cs="Times New Roman"/>
          <w:sz w:val="20"/>
          <w:szCs w:val="20"/>
        </w:rPr>
        <w:t>ROI 結果顯示 Patch Proposed 在 Weighted-F1 與 Macro-AUROC 具競爭力，但 Accuracy 與 Baseline 相同，Macro-F1 略低於 Baseline。Bootstrap 主要比較的 95% CI 皆跨越 0，因此本文不宣稱 Patch Proposed 對 Baseline 具有統計顯著優勢。</w:t>
      </w:r>
    </w:p>
    <w:p>
      <w:pPr>
        <w:keepNext/>
        <w:keepLines/>
        <w:spacing w:before="70" w:after="30" w:line="240" w:lineRule="auto"/>
      </w:pPr>
      <w:r>
        <w:rPr>
          <w:rFonts w:ascii="Times New Roman" w:hAnsi="Times New Roman" w:eastAsia="標楷體" w:cs="Times New Roman"/>
          <w:b/>
          <w:bCs/>
          <w:sz w:val="22"/>
          <w:szCs w:val="22"/>
        </w:rPr>
        <w:t>4.2 Full-image 多標籤結果</w:t>
      </w:r>
    </w:p>
    <w:p>
      <w:pPr>
        <w:keepNext/>
        <w:keepLines/>
        <w:jc w:val="center"/>
        <w:spacing w:before="70" w:after="20" w:line="240" w:lineRule="auto"/>
      </w:pPr>
      <w:r>
        <w:br w:type="column"/>
      </w:r>
      <w:r>
        <w:rPr>
          <w:rFonts w:ascii="Times New Roman" w:hAnsi="Times New Roman" w:eastAsia="標楷體" w:cs="Times New Roman"/>
          <w:b/>
          <w:bCs/>
          <w:sz w:val="20"/>
          <w:szCs w:val="20"/>
        </w:rPr>
        <w:t>表 6　Full-image 多標籤測試結果</w:t>
      </w:r>
    </w:p>
    <w:tbl>
      <w:tblPr>
        <w:tblW w:w="4340" w:type="dxa"/>
        <w:tblLayout w:type="fixed"/>
        <w:tblCellMar>
          <w:top w:w="50" w:type="dxa"/>
          <w:left w:w="55" w:type="dxa"/>
          <w:bottom w:w="50" w:type="dxa"/>
          <w:right w:w="55"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00"/>
        <w:gridCol w:w="2040"/>
      </w:tblGrid>
      <w:tr>
        <w:trPr>
          <w:cantSplit/>
        </w:trPr>
        <w:tc>
          <w:tcPr>
            <w:tcW w:w="2300" w:type="dxa"/>
            <w:shd w:fill="EDEDED"/>
            <w:vAlign w:val="center"/>
          </w:tcPr>
          <w:p>
            <w:pPr>
              <w:keepLines/>
              <w:spacing w:before="0" w:after="0" w:line="240" w:lineRule="auto"/>
            </w:pPr>
            <w:r>
              <w:rPr>
                <w:rFonts w:ascii="Times New Roman" w:hAnsi="Times New Roman" w:eastAsia="標楷體" w:cs="Times New Roman"/>
                <w:b/>
                <w:bCs/>
                <w:sz w:val="20"/>
                <w:szCs w:val="20"/>
              </w:rPr>
              <w:t>Metric</w:t>
            </w:r>
          </w:p>
        </w:tc>
        <w:tc>
          <w:tcPr>
            <w:tcW w:w="2040" w:type="dxa"/>
            <w:shd w:fill="EDEDED"/>
            <w:vAlign w:val="center"/>
          </w:tcPr>
          <w:p>
            <w:pPr>
              <w:keepLines/>
              <w:spacing w:before="0" w:after="0" w:line="240" w:lineRule="auto"/>
            </w:pPr>
            <w:r>
              <w:rPr>
                <w:rFonts w:ascii="Times New Roman" w:hAnsi="Times New Roman" w:eastAsia="標楷體" w:cs="Times New Roman"/>
                <w:b/>
                <w:bCs/>
                <w:sz w:val="20"/>
                <w:szCs w:val="20"/>
              </w:rPr>
              <w:t>Value</w:t>
            </w:r>
          </w:p>
        </w:tc>
      </w:tr>
      <w:tr>
        <w:trPr>
          <w:cantSplit/>
        </w:trPr>
        <w:tc>
          <w:tcPr>
            <w:tcW w:w="2300" w:type="dxa"/>
            <w:vAlign w:val="center"/>
          </w:tcPr>
          <w:p>
            <w:pPr>
              <w:keepLines/>
              <w:spacing w:before="0" w:after="0" w:line="240" w:lineRule="auto"/>
            </w:pPr>
            <w:r>
              <w:rPr>
                <w:rFonts w:ascii="Times New Roman" w:hAnsi="Times New Roman" w:eastAsia="標楷體" w:cs="Times New Roman"/>
                <w:sz w:val="20"/>
                <w:szCs w:val="20"/>
              </w:rPr>
              <w:t>Macro-F1</w:t>
            </w:r>
          </w:p>
        </w:tc>
        <w:tc>
          <w:tcPr>
            <w:tcW w:w="2040" w:type="dxa"/>
            <w:vAlign w:val="center"/>
          </w:tcPr>
          <w:p>
            <w:pPr>
              <w:keepLines/>
              <w:spacing w:before="0" w:after="0" w:line="240" w:lineRule="auto"/>
            </w:pPr>
            <w:r>
              <w:rPr>
                <w:rFonts w:ascii="Times New Roman" w:hAnsi="Times New Roman" w:eastAsia="標楷體" w:cs="Times New Roman"/>
                <w:sz w:val="20"/>
                <w:szCs w:val="20"/>
              </w:rPr>
              <w:t>0.7865</w:t>
            </w:r>
          </w:p>
        </w:tc>
      </w:tr>
      <w:tr>
        <w:trPr>
          <w:cantSplit/>
        </w:trPr>
        <w:tc>
          <w:tcPr>
            <w:tcW w:w="2300" w:type="dxa"/>
            <w:vAlign w:val="center"/>
          </w:tcPr>
          <w:p>
            <w:pPr>
              <w:keepLines/>
              <w:spacing w:before="0" w:after="0" w:line="240" w:lineRule="auto"/>
            </w:pPr>
            <w:r>
              <w:rPr>
                <w:rFonts w:ascii="Times New Roman" w:hAnsi="Times New Roman" w:eastAsia="標楷體" w:cs="Times New Roman"/>
                <w:sz w:val="20"/>
                <w:szCs w:val="20"/>
              </w:rPr>
              <w:t>Micro-F1</w:t>
            </w:r>
          </w:p>
        </w:tc>
        <w:tc>
          <w:tcPr>
            <w:tcW w:w="2040" w:type="dxa"/>
            <w:vAlign w:val="center"/>
          </w:tcPr>
          <w:p>
            <w:pPr>
              <w:keepLines/>
              <w:spacing w:before="0" w:after="0" w:line="240" w:lineRule="auto"/>
            </w:pPr>
            <w:r>
              <w:rPr>
                <w:rFonts w:ascii="Times New Roman" w:hAnsi="Times New Roman" w:eastAsia="標楷體" w:cs="Times New Roman"/>
                <w:sz w:val="20"/>
                <w:szCs w:val="20"/>
              </w:rPr>
              <w:t>0.7859</w:t>
            </w:r>
          </w:p>
        </w:tc>
      </w:tr>
      <w:tr>
        <w:trPr>
          <w:cantSplit/>
        </w:trPr>
        <w:tc>
          <w:tcPr>
            <w:tcW w:w="2300" w:type="dxa"/>
            <w:vAlign w:val="center"/>
          </w:tcPr>
          <w:p>
            <w:pPr>
              <w:keepLines/>
              <w:spacing w:before="0" w:after="0" w:line="240" w:lineRule="auto"/>
            </w:pPr>
            <w:r>
              <w:rPr>
                <w:rFonts w:ascii="Times New Roman" w:hAnsi="Times New Roman" w:eastAsia="標楷體" w:cs="Times New Roman"/>
                <w:sz w:val="20"/>
                <w:szCs w:val="20"/>
              </w:rPr>
              <w:t>Exact Subset Accuracy</w:t>
            </w:r>
          </w:p>
        </w:tc>
        <w:tc>
          <w:tcPr>
            <w:tcW w:w="2040" w:type="dxa"/>
            <w:vAlign w:val="center"/>
          </w:tcPr>
          <w:p>
            <w:pPr>
              <w:keepLines/>
              <w:spacing w:before="0" w:after="0" w:line="240" w:lineRule="auto"/>
            </w:pPr>
            <w:r>
              <w:rPr>
                <w:rFonts w:ascii="Times New Roman" w:hAnsi="Times New Roman" w:eastAsia="標楷體" w:cs="Times New Roman"/>
                <w:sz w:val="20"/>
                <w:szCs w:val="20"/>
              </w:rPr>
              <w:t>0.1695</w:t>
            </w:r>
          </w:p>
        </w:tc>
      </w:tr>
      <w:tr>
        <w:trPr>
          <w:cantSplit/>
        </w:trPr>
        <w:tc>
          <w:tcPr>
            <w:tcW w:w="2300" w:type="dxa"/>
            <w:vAlign w:val="center"/>
          </w:tcPr>
          <w:p>
            <w:pPr>
              <w:keepLines/>
              <w:spacing w:before="0" w:after="0" w:line="240" w:lineRule="auto"/>
            </w:pPr>
            <w:r>
              <w:rPr>
                <w:rFonts w:ascii="Times New Roman" w:hAnsi="Times New Roman" w:eastAsia="標楷體" w:cs="Times New Roman"/>
                <w:sz w:val="20"/>
                <w:szCs w:val="20"/>
              </w:rPr>
              <w:t>Hamming Loss</w:t>
            </w:r>
          </w:p>
        </w:tc>
        <w:tc>
          <w:tcPr>
            <w:tcW w:w="2040" w:type="dxa"/>
            <w:vAlign w:val="center"/>
          </w:tcPr>
          <w:p>
            <w:pPr>
              <w:keepLines/>
              <w:spacing w:before="0" w:after="0" w:line="240" w:lineRule="auto"/>
            </w:pPr>
            <w:r>
              <w:rPr>
                <w:rFonts w:ascii="Times New Roman" w:hAnsi="Times New Roman" w:eastAsia="標楷體" w:cs="Times New Roman"/>
                <w:sz w:val="20"/>
                <w:szCs w:val="20"/>
              </w:rPr>
              <w:t>0.2881</w:t>
            </w:r>
          </w:p>
        </w:tc>
      </w:tr>
      <w:tr>
        <w:trPr>
          <w:cantSplit/>
        </w:trPr>
        <w:tc>
          <w:tcPr>
            <w:tcW w:w="2300" w:type="dxa"/>
            <w:vAlign w:val="center"/>
          </w:tcPr>
          <w:p>
            <w:pPr>
              <w:keepLines/>
              <w:spacing w:before="0" w:after="0" w:line="240" w:lineRule="auto"/>
            </w:pPr>
            <w:r>
              <w:rPr>
                <w:rFonts w:ascii="Times New Roman" w:hAnsi="Times New Roman" w:eastAsia="標楷體" w:cs="Times New Roman"/>
                <w:sz w:val="20"/>
                <w:szCs w:val="20"/>
              </w:rPr>
              <w:t>Macro-AUROC</w:t>
            </w:r>
          </w:p>
        </w:tc>
        <w:tc>
          <w:tcPr>
            <w:tcW w:w="2040" w:type="dxa"/>
            <w:vAlign w:val="center"/>
          </w:tcPr>
          <w:p>
            <w:pPr>
              <w:keepLines/>
              <w:spacing w:before="0" w:after="0" w:line="240" w:lineRule="auto"/>
            </w:pPr>
            <w:r>
              <w:rPr>
                <w:rFonts w:ascii="Times New Roman" w:hAnsi="Times New Roman" w:eastAsia="標楷體" w:cs="Times New Roman"/>
                <w:sz w:val="20"/>
                <w:szCs w:val="20"/>
              </w:rPr>
              <w:t>0.7660</w:t>
            </w:r>
          </w:p>
        </w:tc>
      </w:tr>
      <w:tr>
        <w:trPr>
          <w:cantSplit/>
        </w:trPr>
        <w:tc>
          <w:tcPr>
            <w:tcW w:w="2300" w:type="dxa"/>
            <w:vAlign w:val="center"/>
          </w:tcPr>
          <w:p>
            <w:pPr>
              <w:keepLines/>
              <w:spacing w:before="0" w:after="0" w:line="240" w:lineRule="auto"/>
            </w:pPr>
            <w:r>
              <w:rPr>
                <w:rFonts w:ascii="Times New Roman" w:hAnsi="Times New Roman" w:eastAsia="標楷體" w:cs="Times New Roman"/>
                <w:sz w:val="20"/>
                <w:szCs w:val="20"/>
              </w:rPr>
              <w:t>Micro-AUROC</w:t>
            </w:r>
          </w:p>
        </w:tc>
        <w:tc>
          <w:tcPr>
            <w:tcW w:w="2040" w:type="dxa"/>
            <w:vAlign w:val="center"/>
          </w:tcPr>
          <w:p>
            <w:pPr>
              <w:keepLines/>
              <w:spacing w:before="0" w:after="0" w:line="240" w:lineRule="auto"/>
            </w:pPr>
            <w:r>
              <w:rPr>
                <w:rFonts w:ascii="Times New Roman" w:hAnsi="Times New Roman" w:eastAsia="標楷體" w:cs="Times New Roman"/>
                <w:sz w:val="20"/>
                <w:szCs w:val="20"/>
              </w:rPr>
              <w:t>0.7760</w:t>
            </w:r>
          </w:p>
        </w:tc>
      </w:tr>
    </w:tbl>
    <w:p>
      <w:pPr>
        <w:spacing w:before="0" w:after="35" w:line="240" w:lineRule="auto"/>
      </w:pPr>
    </w:p>
    <w:p>
      <w:pPr>
        <w:keepNext/>
        <w:keepLines/>
        <w:spacing w:before="70" w:after="30" w:line="240" w:lineRule="auto"/>
      </w:pPr>
      <w:r>
        <w:rPr>
          <w:rFonts w:ascii="Times New Roman" w:hAnsi="Times New Roman" w:eastAsia="標楷體" w:cs="Times New Roman"/>
          <w:b/>
          <w:bCs/>
          <w:sz w:val="22"/>
          <w:szCs w:val="22"/>
        </w:rPr>
        <w:t>4.3 討論</w:t>
      </w:r>
    </w:p>
    <w:p>
      <w:pPr>
        <w:keepLines/>
        <w:spacing w:before="0" w:after="35" w:line="240" w:lineRule="auto"/>
      </w:pPr>
      <w:r>
        <w:rPr>
          <w:rFonts w:ascii="Times New Roman" w:hAnsi="Times New Roman" w:eastAsia="標楷體" w:cs="Times New Roman"/>
          <w:sz w:val="20"/>
          <w:szCs w:val="20"/>
        </w:rPr>
        <w:t>ROI Accuracy 為單一標籤分類正確率；Full-image Exact Subset Accuracy 要求一張影像所有標籤完全一致，因此較嚴格。Full-image 的 Macro-F1 與 Micro-F1 反映多標籤預測能力，而 Exact Subset Accuracy 反映整張影像向量完全吻合程度。</w:t>
      </w:r>
    </w:p>
    <w:p>
      <w:pPr>
        <w:keepNext/>
        <w:keepLines/>
        <w:jc w:val="center"/>
        <w:spacing w:before="70" w:after="20" w:line="240" w:lineRule="auto"/>
      </w:pPr>
      <w:r>
        <w:rPr>
          <w:rFonts w:ascii="Times New Roman" w:hAnsi="Times New Roman" w:eastAsia="標楷體" w:cs="Times New Roman"/>
          <w:b/>
          <w:bCs/>
          <w:sz w:val="20"/>
          <w:szCs w:val="20"/>
        </w:rPr>
        <w:t>表 7　結果解讀與系統角色界線</w:t>
      </w:r>
    </w:p>
    <w:tbl>
      <w:tblPr>
        <w:tblW w:w="4340" w:type="dxa"/>
        <w:tblLayout w:type="fixed"/>
        <w:tblCellMar>
          <w:top w:w="50" w:type="dxa"/>
          <w:left w:w="55" w:type="dxa"/>
          <w:bottom w:w="50" w:type="dxa"/>
          <w:right w:w="55" w:type="dxa"/>
        </w:tblCellMa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50"/>
        <w:gridCol w:w="3090"/>
      </w:tblGrid>
      <w:tr>
        <w:trPr>
          <w:cantSplit/>
        </w:trPr>
        <w:tc>
          <w:tcPr>
            <w:tcW w:w="1250" w:type="dxa"/>
            <w:shd w:fill="EDEDED"/>
            <w:vAlign w:val="center"/>
          </w:tcPr>
          <w:p>
            <w:pPr>
              <w:keepLines/>
              <w:spacing w:before="0" w:after="0" w:line="240" w:lineRule="auto"/>
            </w:pPr>
            <w:r>
              <w:rPr>
                <w:rFonts w:ascii="Times New Roman" w:hAnsi="Times New Roman" w:eastAsia="標楷體" w:cs="Times New Roman"/>
                <w:b/>
                <w:bCs/>
                <w:sz w:val="20"/>
                <w:szCs w:val="20"/>
              </w:rPr>
              <w:t>比較面向</w:t>
            </w:r>
          </w:p>
        </w:tc>
        <w:tc>
          <w:tcPr>
            <w:tcW w:w="3090" w:type="dxa"/>
            <w:shd w:fill="EDEDED"/>
            <w:vAlign w:val="center"/>
          </w:tcPr>
          <w:p>
            <w:pPr>
              <w:keepLines/>
              <w:spacing w:before="0" w:after="0" w:line="240" w:lineRule="auto"/>
            </w:pPr>
            <w:r>
              <w:rPr>
                <w:rFonts w:ascii="Times New Roman" w:hAnsi="Times New Roman" w:eastAsia="標楷體" w:cs="Times New Roman"/>
                <w:b/>
                <w:bCs/>
                <w:sz w:val="20"/>
                <w:szCs w:val="20"/>
              </w:rPr>
              <w:t>保守解讀</w:t>
            </w:r>
          </w:p>
        </w:tc>
      </w:tr>
      <w:tr>
        <w:trPr>
          <w:cantSplit/>
        </w:trPr>
        <w:tc>
          <w:tcPr>
            <w:tcW w:w="1250" w:type="dxa"/>
            <w:vAlign w:val="center"/>
          </w:tcPr>
          <w:p>
            <w:pPr>
              <w:keepLines/>
              <w:spacing w:before="0" w:after="0" w:line="240" w:lineRule="auto"/>
            </w:pPr>
            <w:r>
              <w:rPr>
                <w:rFonts w:ascii="Times New Roman" w:hAnsi="Times New Roman" w:eastAsia="標楷體" w:cs="Times New Roman"/>
                <w:sz w:val="20"/>
                <w:szCs w:val="20"/>
              </w:rPr>
              <w:t>Patch Proposed</w:t>
            </w:r>
          </w:p>
        </w:tc>
        <w:tc>
          <w:tcPr>
            <w:tcW w:w="3090" w:type="dxa"/>
            <w:vAlign w:val="center"/>
          </w:tcPr>
          <w:p>
            <w:pPr>
              <w:keepLines/>
              <w:spacing w:before="0" w:after="0" w:line="240" w:lineRule="auto"/>
            </w:pPr>
            <w:r>
              <w:rPr>
                <w:rFonts w:ascii="Times New Roman" w:hAnsi="Times New Roman" w:eastAsia="標楷體" w:cs="Times New Roman"/>
                <w:sz w:val="20"/>
                <w:szCs w:val="20"/>
              </w:rPr>
              <w:t>可作為後續 Full-image transfer backbone，但不宣稱全面勝過 Baseline</w:t>
            </w:r>
          </w:p>
        </w:tc>
      </w:tr>
      <w:tr>
        <w:trPr>
          <w:cantSplit/>
        </w:trPr>
        <w:tc>
          <w:tcPr>
            <w:tcW w:w="1250" w:type="dxa"/>
            <w:vAlign w:val="center"/>
          </w:tcPr>
          <w:p>
            <w:pPr>
              <w:keepLines/>
              <w:spacing w:before="0" w:after="0" w:line="240" w:lineRule="auto"/>
            </w:pPr>
            <w:r>
              <w:rPr>
                <w:rFonts w:ascii="Times New Roman" w:hAnsi="Times New Roman" w:eastAsia="標楷體" w:cs="Times New Roman"/>
                <w:sz w:val="20"/>
                <w:szCs w:val="20"/>
              </w:rPr>
              <w:t>Full-image</w:t>
            </w:r>
          </w:p>
        </w:tc>
        <w:tc>
          <w:tcPr>
            <w:tcW w:w="3090" w:type="dxa"/>
            <w:vAlign w:val="center"/>
          </w:tcPr>
          <w:p>
            <w:pPr>
              <w:keepLines/>
              <w:spacing w:before="0" w:after="0" w:line="240" w:lineRule="auto"/>
            </w:pPr>
            <w:r>
              <w:rPr>
                <w:rFonts w:ascii="Times New Roman" w:hAnsi="Times New Roman" w:eastAsia="標楷體" w:cs="Times New Roman"/>
                <w:sz w:val="20"/>
                <w:szCs w:val="20"/>
              </w:rPr>
              <w:t>能輸出五類多標籤機率與報告，尚非臨床驗證系統</w:t>
            </w:r>
          </w:p>
        </w:tc>
      </w:tr>
      <w:tr>
        <w:trPr>
          <w:cantSplit/>
        </w:trPr>
        <w:tc>
          <w:tcPr>
            <w:tcW w:w="1250" w:type="dxa"/>
            <w:vAlign w:val="center"/>
          </w:tcPr>
          <w:p>
            <w:pPr>
              <w:keepLines/>
              <w:spacing w:before="0" w:after="0" w:line="240" w:lineRule="auto"/>
            </w:pPr>
            <w:r>
              <w:rPr>
                <w:rFonts w:ascii="Times New Roman" w:hAnsi="Times New Roman" w:eastAsia="標楷體" w:cs="Times New Roman"/>
                <w:sz w:val="20"/>
                <w:szCs w:val="20"/>
              </w:rPr>
              <w:t>Demo</w:t>
            </w:r>
          </w:p>
        </w:tc>
        <w:tc>
          <w:tcPr>
            <w:tcW w:w="3090" w:type="dxa"/>
            <w:vAlign w:val="center"/>
          </w:tcPr>
          <w:p>
            <w:pPr>
              <w:keepLines/>
              <w:spacing w:before="0" w:after="0" w:line="240" w:lineRule="auto"/>
            </w:pPr>
            <w:r>
              <w:rPr>
                <w:rFonts w:ascii="Times New Roman" w:hAnsi="Times New Roman" w:eastAsia="標楷體" w:cs="Times New Roman"/>
                <w:sz w:val="20"/>
                <w:szCs w:val="20"/>
              </w:rPr>
              <w:t>支援 Ground Truth 事後比對與 Ollama 說明，不讓標註進入模型或 LLM</w:t>
            </w:r>
          </w:p>
        </w:tc>
      </w:tr>
    </w:tbl>
    <w:p>
      <w:pPr>
        <w:spacing w:before="0" w:after="35" w:line="240" w:lineRule="auto"/>
      </w:pPr>
    </w:p>
    <w:p>
      <w:pPr>
        <w:keepNext/>
        <w:keepLines/>
        <w:spacing w:before="90" w:after="40" w:line="240" w:lineRule="auto"/>
      </w:pPr>
      <w:r>
        <w:rPr>
          <w:rFonts w:ascii="Times New Roman" w:hAnsi="Times New Roman" w:eastAsia="標楷體" w:cs="Times New Roman"/>
          <w:b/>
          <w:bCs/>
          <w:sz w:val="24"/>
          <w:szCs w:val="24"/>
        </w:rPr>
        <w:t>5. 系統實作</w:t>
      </w:r>
    </w:p>
    <w:p>
      <w:pPr>
        <w:keepLines/>
        <w:spacing w:before="0" w:after="45" w:line="240" w:lineRule="auto"/>
      </w:pPr>
      <w:r>
        <w:rPr>
          <w:rFonts w:ascii="Times New Roman" w:hAnsi="Times New Roman" w:eastAsia="標楷體" w:cs="Times New Roman"/>
          <w:sz w:val="20"/>
          <w:szCs w:val="20"/>
        </w:rPr>
        <w:t>系統主程式為 Gradio Demo，核心流程為完整影像輸入、ConvNeXt-Tiny 多標籤推論、Sigmoid 與 thresholds 轉換、Ground Truth 事後比對、Ollama 說明生成與 session/report 輸出。Demo 不使用即時 ROI crop、BBox 偵測或 YOLO 流程。</w:t>
      </w:r>
    </w:p>
    <w:p>
      <w:pPr>
        <w:keepLines/>
        <w:spacing w:before="0" w:after="60" w:line="240" w:lineRule="auto"/>
      </w:pPr>
      <w:r>
        <w:rPr>
          <w:rFonts w:ascii="Times New Roman" w:hAnsi="Times New Roman" w:eastAsia="標楷體" w:cs="Times New Roman"/>
          <w:sz w:val="20"/>
          <w:szCs w:val="20"/>
        </w:rPr>
        <w:t>系統輸出包含五類機率、預測陽性標籤、Ground Truth 比對結果與下載報告。報告固定加入非正式診斷警語，避免將模型輸出包裝為正式醫療診斷。</w:t>
      </w:r>
    </w:p>
    <w:p>
      <w:pPr>
        <w:keepNext/>
        <w:keepLines/>
        <w:spacing w:before="90" w:after="40" w:line="240" w:lineRule="auto"/>
      </w:pPr>
      <w:r>
        <w:rPr>
          <w:rFonts w:ascii="Times New Roman" w:hAnsi="Times New Roman" w:eastAsia="標楷體" w:cs="Times New Roman"/>
          <w:b/>
          <w:bCs/>
          <w:sz w:val="24"/>
          <w:szCs w:val="24"/>
        </w:rPr>
        <w:t>6. 結論與未來工作</w:t>
      </w:r>
    </w:p>
    <w:p>
      <w:pPr>
        <w:keepLines/>
        <w:spacing w:before="0" w:after="45" w:line="240" w:lineRule="auto"/>
      </w:pPr>
      <w:r>
        <w:rPr>
          <w:rFonts w:ascii="Times New Roman" w:hAnsi="Times New Roman" w:eastAsia="標楷體" w:cs="Times New Roman"/>
          <w:sz w:val="20"/>
          <w:szCs w:val="20"/>
        </w:rPr>
        <w:t>本研究完成從 ROI 特徵蒸餾、ROI 分類、Full-image 多標籤模型到 Gradio/Ollama 報告系統的整合原型。實驗結果支持 Patch Proposed backbone 可作為 Full-image transfer 的初始化來源，但 ROI 三模型間未呈現統計顯著差異；Full-image 結果亦尚未進行外部資料集驗證。</w:t>
      </w:r>
    </w:p>
    <w:p>
      <w:pPr>
        <w:keepLines/>
        <w:spacing w:before="0" w:after="60" w:line="240" w:lineRule="auto"/>
      </w:pPr>
      <w:r>
        <w:rPr>
          <w:rFonts w:ascii="Times New Roman" w:hAnsi="Times New Roman" w:eastAsia="標楷體" w:cs="Times New Roman"/>
          <w:sz w:val="20"/>
          <w:szCs w:val="20"/>
        </w:rPr>
        <w:t>未來工作包含進行外部資料集驗證、擴充人工審查、補充 Full-image bootstrap confidence interval，並進一步改善報告生成的安全與醫療語氣控制。</w:t>
      </w:r>
    </w:p>
    <w:p>
      <w:pPr>
        <w:keepNext/>
        <w:keepLines/>
        <w:spacing w:before="90" w:after="40" w:line="240" w:lineRule="auto"/>
      </w:pPr>
      <w:r>
        <w:rPr>
          <w:rFonts w:ascii="Times New Roman" w:hAnsi="Times New Roman" w:eastAsia="標楷體" w:cs="Times New Roman"/>
          <w:b/>
          <w:bCs/>
          <w:sz w:val="24"/>
          <w:szCs w:val="24"/>
        </w:rPr>
        <w:t>參考文獻</w:t>
      </w:r>
    </w:p>
    <w:p>
      <w:pPr>
        <w:keepLines/>
        <w:spacing w:before="0" w:after="25" w:line="240" w:lineRule="auto"/>
        <w:ind w:left="360" w:hanging="360"/>
      </w:pPr>
      <w:r>
        <w:rPr>
          <w:rFonts w:ascii="Times New Roman" w:hAnsi="Times New Roman" w:eastAsia="標楷體" w:cs="Times New Roman"/>
          <w:sz w:val="20"/>
          <w:szCs w:val="20"/>
        </w:rPr>
        <w:t>[1] X. Wang, Y. Peng, L. Lu, Z. Lu, M. Bagheri, and R. M. Summers, "ChestX-ray8: Hospital-Scale Chest X-Ray Database and Benchmarks on Weakly-Supervised Classification and Localization of Common Thorax Diseases," Proc. IEEE Conf. Computer Vision and Pattern Recognition, pp. 2097-2106, 2017.</w:t>
      </w:r>
    </w:p>
    <w:p>
      <w:pPr>
        <w:keepLines/>
        <w:spacing w:before="0" w:after="25" w:line="240" w:lineRule="auto"/>
        <w:ind w:left="360" w:hanging="360"/>
      </w:pPr>
      <w:r>
        <w:rPr>
          <w:rFonts w:ascii="Times New Roman" w:hAnsi="Times New Roman" w:eastAsia="標楷體" w:cs="Times New Roman"/>
          <w:sz w:val="20"/>
          <w:szCs w:val="20"/>
        </w:rPr>
        <w:t>[2] J. Irvin et al., "CheXpert: A Large Chest Radiograph Dataset with Uncertainty Labels and Expert Comparison," Proc. AAAI Conf. Artificial Intelligence, vol. 33, no. 01, pp. 590-597, 2019, doi: 10.1609/aaai.v33i01.3301590.</w:t>
      </w:r>
    </w:p>
    <w:p>
      <w:pPr>
        <w:keepLines/>
        <w:spacing w:before="0" w:after="25" w:line="240" w:lineRule="auto"/>
        <w:ind w:left="360" w:hanging="360"/>
      </w:pPr>
      <w:r>
        <w:rPr>
          <w:rFonts w:ascii="Times New Roman" w:hAnsi="Times New Roman" w:eastAsia="標楷體" w:cs="Times New Roman"/>
          <w:sz w:val="20"/>
          <w:szCs w:val="20"/>
        </w:rPr>
        <w:t>[3] A. Dosovitskiy et al., "An Image is Worth 16x16 Words: Transformers for Image Recognition at Scale," International Conference on Learning Representations, 2021, doi: 10.48550/arXiv.2010.11929.</w:t>
      </w:r>
    </w:p>
    <w:p>
      <w:pPr>
        <w:keepLines/>
        <w:spacing w:before="0" w:after="25" w:line="240" w:lineRule="auto"/>
        <w:ind w:left="360" w:hanging="360"/>
      </w:pPr>
      <w:r>
        <w:rPr>
          <w:rFonts w:ascii="Times New Roman" w:hAnsi="Times New Roman" w:eastAsia="標楷體" w:cs="Times New Roman"/>
          <w:sz w:val="20"/>
          <w:szCs w:val="20"/>
        </w:rPr>
        <w:t>[4] M. Oquab et al., "DINOv2: Learning Robust Visual Features without Supervision," arXiv:2304.07193, 2024, doi: 10.48550/arXiv.2304.07193.</w:t>
      </w:r>
    </w:p>
    <w:p>
      <w:pPr>
        <w:keepLines/>
        <w:spacing w:before="0" w:after="25" w:line="240" w:lineRule="auto"/>
        <w:ind w:left="360" w:hanging="360"/>
      </w:pPr>
      <w:r>
        <w:rPr>
          <w:rFonts w:ascii="Times New Roman" w:hAnsi="Times New Roman" w:eastAsia="標楷體" w:cs="Times New Roman"/>
          <w:sz w:val="20"/>
          <w:szCs w:val="20"/>
        </w:rPr>
        <w:t>[5] F. Pérez-García et al., "Exploring scalable medical image encoders beyond text supervision," Nature Machine Intelligence, vol. 7, pp. 119-130, 2025, doi: 10.1038/s42256-024-00965-w.</w:t>
      </w:r>
    </w:p>
    <w:p>
      <w:pPr>
        <w:keepLines/>
        <w:spacing w:before="0" w:after="25" w:line="240" w:lineRule="auto"/>
        <w:ind w:left="360" w:hanging="360"/>
      </w:pPr>
      <w:r>
        <w:br w:type="column"/>
      </w:r>
      <w:r>
        <w:rPr>
          <w:rFonts w:ascii="Times New Roman" w:hAnsi="Times New Roman" w:eastAsia="標楷體" w:cs="Times New Roman"/>
          <w:sz w:val="20"/>
          <w:szCs w:val="20"/>
        </w:rPr>
        <w:t>[6] Z. Liu, H. Mao, C.-Y. Wu, C. Feichtenhofer, T. Darrell, and S. Xie, "A ConvNet for the 2020s," Proc. IEEE/CVF Conf. Computer Vision and Pattern Recognition, pp. 11976-11986, 2022.</w:t>
      </w:r>
    </w:p>
    <w:p>
      <w:pPr>
        <w:keepLines/>
        <w:spacing w:before="0" w:after="25" w:line="240" w:lineRule="auto"/>
        <w:ind w:left="360" w:hanging="360"/>
      </w:pPr>
      <w:r>
        <w:rPr>
          <w:rFonts w:ascii="Times New Roman" w:hAnsi="Times New Roman" w:eastAsia="標楷體" w:cs="Times New Roman"/>
          <w:sz w:val="20"/>
          <w:szCs w:val="20"/>
        </w:rPr>
        <w:t>[7] G. Hinton, O. Vinyals, and J. Dean, "Distilling the Knowledge in a Neural Network," arXiv:1503.02531, 2015, doi: 10.48550/arXiv.1503.02531.</w:t>
      </w:r>
    </w:p>
    <w:p>
      <w:pPr>
        <w:keepLines/>
        <w:spacing w:before="0" w:after="25" w:line="240" w:lineRule="auto"/>
        <w:ind w:left="360" w:hanging="360"/>
      </w:pPr>
      <w:r>
        <w:rPr>
          <w:rFonts w:ascii="Times New Roman" w:hAnsi="Times New Roman" w:eastAsia="標楷體" w:cs="Times New Roman"/>
          <w:sz w:val="20"/>
          <w:szCs w:val="20"/>
        </w:rPr>
        <w:t>[8] Z. Chen, Y. Song, T.-H. Chang, and X. Wan, "Generating Radiology Reports via Memory-driven Transformer," Proc. EMNLP, pp. 1439-1449, 2020, doi: 10.18653/v1/2020.emnlp-main.112.</w:t>
      </w:r>
    </w:p>
    <w:p>
      <w:pPr>
        <w:keepLines/>
        <w:spacing w:before="0" w:after="25" w:line="240" w:lineRule="auto"/>
        <w:ind w:left="360" w:hanging="360"/>
      </w:pPr>
      <w:r>
        <w:rPr>
          <w:rFonts w:ascii="Times New Roman" w:hAnsi="Times New Roman" w:eastAsia="標楷體" w:cs="Times New Roman"/>
          <w:sz w:val="20"/>
          <w:szCs w:val="20"/>
        </w:rPr>
        <w:t>[9] K. Singhal et al., "Large language models encode clinical knowledge," Nature, vol. 620, no. 7972, pp. 172-180, 2023, doi: 10.1038/s41586-023-06291-2.</w:t>
      </w:r>
    </w:p>
    <w:sectPr>
      <w:type w:val="continuous"/>
      <w:pgSz w:w="11906" w:h="16838"/>
      <w:pgMar w:top="1417" w:right="1417" w:bottom="1417" w:left="1417" w:header="720" w:footer="720" w:gutter="0"/>
      <w:cols w:num="2" w:space="284" w:equalWidth="1"/>
      <w:docGrid w:linePitch="360"/>
    </w:sectPr>
  </w:body>
</w:document>
</file>

<file path=word/styles.xml><?xml version="1.0" encoding="utf-8"?>
<w:styles xmlns:w="http://schemas.openxmlformats.org/wordprocessingml/2006/main">
  <w:docDefaults>
    <w:rPrDefault>
      <w:rPr>
        <w:rFonts w:ascii="Times New Roman" w:hAnsi="Times New Roman" w:eastAsia="標楷體" w:cs="Times New Roman"/>
        <w:sz w:val="20"/>
        <w:szCs w:val="20"/>
      </w:rPr>
    </w:rPrDefault>
    <w:pPrDefault>
      <w:pPr>
        <w:spacing w:before="0" w:after="0" w:line="240" w:lineRule="auto"/>
      </w:pPr>
    </w:pPrDefault>
  </w:docDefaults>
  <w:style w:type="paragraph" w:default="1" w:styleId="Normal">
    <w:name w:val="Normal"/>
    <w:qFormat/>
    <w:rPr>
      <w:rFonts w:ascii="Times New Roman" w:hAnsi="Times New Roman" w:eastAsia="標楷體" w:cs="Times New Roman"/>
      <w:sz w:val="20"/>
      <w:szCs w:val="20"/>
    </w:rPr>
    <w:pPr>
      <w:spacing w:before="0" w:after="0" w:line="240"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