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ns1="http://schemas.openxmlformats.org/officeDocument/2006/relationships" xmlns:w="http://schemas.openxmlformats.org/wordprocessingml/2006/main">
  <w:body>
    <w:p>
      <w:pPr>
        <w:pStyle w:val="TitleStyle"/>
      </w:pPr>
      <w:r>
        <w:t>胸腔X光影像分類與知識蒸餾系統：論文保守初稿</w:t>
      </w:r>
    </w:p>
    <w:p>
      <w:pPr>
        <w:pStyle w:val="Subtitle"/>
      </w:pPr>
      <w:r>
        <w:t>保守初稿，依據 evidence package 建立；未驗證內容均以待確認標記呈現。</w:t>
      </w:r>
    </w:p>
    <w:p>
      <w:pPr>
        <w:pStyle w:val="BodyText"/>
      </w:pPr>
      <w:r>
        <w:t>本文件為依據 docs/thesis/evidence_package/ 建立之保守初稿。所有未能由正式程式、CSV、JSON、audit 或 metrics 直接確認之內容，均以待確認或待補正式文獻標記。</w:t>
      </w:r>
    </w:p>
    <w:p>
      <w:pPr>
        <w:pStyle w:val="Heading1"/>
      </w:pPr>
      <w:r>
        <w:t>第一章　緒論</w:t>
      </w:r>
    </w:p>
    <w:p>
      <w:pPr>
        <w:pStyle w:val="Heading2"/>
      </w:pPr>
      <w:r>
        <w:t>1.1 研究背景與動機</w:t>
      </w:r>
    </w:p>
    <w:p>
      <w:pPr>
        <w:pStyle w:val="BodyText"/>
      </w:pPr>
      <w:r>
        <w:t>胸腔 X 光影像是臨床常見且取得相對容易的影像檢查之一，常被用於觀察心胸輪廓、肺部紋理、肋膜變化與胸腔內液體等影像徵象。隨著深度學習技術發展，卷積神經網路與視覺基礎模型逐漸被應用於醫學影像分類與輔助判讀。然而，胸腔 X 光影像中的異常位置、大小與對比差異很大，若僅使用完整影像進行分類，模型可能同時受到背景、姿勢、影像品質與多重標籤共存等因素影響。</w:t>
      </w:r>
    </w:p>
    <w:p>
      <w:pPr>
        <w:pStyle w:val="BodyText"/>
      </w:pPr>
      <w:r>
        <w:t>本專題以五類胸腔 X 光相關影像標籤為研究範圍，先建立 ROI 階段的五類單標籤分類流程，再將 ROI 階段的 Patch Proposed backbone 轉移至 Full-image 五類多標籤任務，最後整合 Gradio 使用者介面、本機 Ollama 說明生成、Ground Truth 比對與報告匯出。由於本研究仍屬學術專題展示，所有模型輸出均不得視為正式醫療診斷。</w:t>
      </w:r>
    </w:p>
    <w:p>
      <w:pPr>
        <w:pStyle w:val="Heading2"/>
      </w:pPr>
      <w:r>
        <w:t>1.2 研究問題</w:t>
      </w:r>
    </w:p>
    <w:p>
      <w:pPr>
        <w:pStyle w:val="BodyText"/>
      </w:pPr>
      <w:r>
        <w:t>本研究關注的核心問題包括：ROI 區域化是否有助於建立較清楚的五類影像辨識流程；RAD-DINO 的 CLS 與 patch feature 是否能作為 ConvNeXt-Tiny 的蒸餾 teacher；Patch-level 蒸餾特徵能否作為 Full-image 多標籤模型的初始化來源；以及最終 Demo 是否能在不讓大型語言模型直接判讀影像的前提下，根據本機模型輸出產生保守、可稽核的白話說明。</w:t>
      </w:r>
    </w:p>
    <w:p>
      <w:pPr>
        <w:pStyle w:val="Heading2"/>
      </w:pPr>
      <w:r>
        <w:t>1.3 研究目的</w:t>
      </w:r>
    </w:p>
    <w:p>
      <w:pPr>
        <w:pStyle w:val="ListParagraph"/>
        <w:numPr>
          <w:ilvl w:val="0"/>
          <w:numId w:val="1"/>
        </w:numPr>
      </w:pPr>
      <w:r>
        <w:t>建立五類 ROI 單標籤分類資料與對應之 train、validation、test 流程。</w:t>
      </w:r>
    </w:p>
    <w:p>
      <w:pPr>
        <w:pStyle w:val="ListParagraph"/>
        <w:numPr>
          <w:ilvl w:val="0"/>
          <w:numId w:val="1"/>
        </w:numPr>
      </w:pPr>
      <w:r>
        <w:t>使用 RAD-DINO frozen teacher 建立 CLS 與 patch feature cache，並蒸餾至 ConvNeXt-Tiny student。</w:t>
      </w:r>
    </w:p>
    <w:p>
      <w:pPr>
        <w:pStyle w:val="ListParagraph"/>
        <w:numPr>
          <w:ilvl w:val="0"/>
          <w:numId w:val="1"/>
        </w:numPr>
      </w:pPr>
      <w:r>
        <w:t>比較 ImageNet Baseline、RAD-DINO CLS Proposed 與 RAD-DINO Patch Proposed 三種 ROI 模型。</w:t>
      </w:r>
    </w:p>
    <w:p>
      <w:pPr>
        <w:pStyle w:val="ListParagraph"/>
        <w:numPr>
          <w:ilvl w:val="0"/>
          <w:numId w:val="1"/>
        </w:numPr>
      </w:pPr>
      <w:r>
        <w:t>將 ROI Patch Proposed backbone 轉移至 Full-image 五類多標籤分類模型。</w:t>
      </w:r>
    </w:p>
    <w:p>
      <w:pPr>
        <w:pStyle w:val="ListParagraph"/>
        <w:numPr>
          <w:ilvl w:val="0"/>
          <w:numId w:val="1"/>
        </w:numPr>
      </w:pPr>
      <w:r>
        <w:t>完成可本機展示的 Gradio Demo，呈現五類機率、Ground Truth 比對、Ollama 輔助說明與報告匯出。</w:t>
      </w:r>
    </w:p>
    <w:p>
      <w:pPr>
        <w:pStyle w:val="Heading2"/>
      </w:pPr>
      <w:r>
        <w:t>1.4 研究範圍</w:t>
      </w:r>
    </w:p>
    <w:p>
      <w:pPr>
        <w:pStyle w:val="BodyText"/>
      </w:pPr>
      <w:r>
        <w:t>本研究範圍限定於 evidence package 已驗證之資料、程式與輸出結果。ROI 階段為五類單標籤分類；Full-image 階段為五類多標籤分類。兩者任務定義、activation、loss 與評估指標不同，因此不可將 ROI Accuracy 與 Full-image Exact Subset Accuracy 直接視為同一種指標比較。</w:t>
      </w:r>
    </w:p>
    <w:p>
      <w:pPr>
        <w:pStyle w:val="Heading2"/>
      </w:pPr>
      <w:r>
        <w:t>1.5 研究貢獻</w:t>
      </w:r>
    </w:p>
    <w:p>
      <w:pPr>
        <w:pStyle w:val="ListParagraph"/>
        <w:numPr>
          <w:ilvl w:val="0"/>
          <w:numId w:val="1"/>
        </w:numPr>
      </w:pPr>
      <w:r>
        <w:t>整理出 ROI 到 Full-image 的可追蹤研究流程。</w:t>
      </w:r>
    </w:p>
    <w:p>
      <w:pPr>
        <w:pStyle w:val="ListParagraph"/>
        <w:numPr>
          <w:ilvl w:val="0"/>
          <w:numId w:val="1"/>
        </w:numPr>
      </w:pPr>
      <w:r>
        <w:t>建立 RAD-DINO feature distillation 與 ConvNeXt-Tiny downstream classification 的比較框架。</w:t>
      </w:r>
    </w:p>
    <w:p>
      <w:pPr>
        <w:pStyle w:val="ListParagraph"/>
        <w:numPr>
          <w:ilvl w:val="0"/>
          <w:numId w:val="1"/>
        </w:numPr>
      </w:pPr>
      <w:r>
        <w:t>以正式輸出結果說明 Patch Proposed 在部分指標具競爭力，但不宣稱全面或統計顯著優於 Baseline。</w:t>
      </w:r>
    </w:p>
    <w:p>
      <w:pPr>
        <w:pStyle w:val="ListParagraph"/>
        <w:numPr>
          <w:ilvl w:val="0"/>
          <w:numId w:val="1"/>
        </w:numPr>
      </w:pPr>
      <w:r>
        <w:t>建置可重現的 Full-image 多標籤 Demo 與本機文字說明流程，並明確隔離 Ground Truth 與模型推論。</w:t>
      </w:r>
    </w:p>
    <w:p>
      <w:pPr>
        <w:pStyle w:val="Heading2"/>
      </w:pPr>
      <w:r>
        <w:t>1.6 論文架構</w:t>
      </w:r>
    </w:p>
    <w:p>
      <w:pPr>
        <w:pStyle w:val="BodyText"/>
      </w:pPr>
      <w:r>
        <w:t>本文共分六章。第一章說明研究背景、問題與目的；第二章整理相關技術背景，文獻引用於正式版本需補充來源；第三章說明資料、模型與訓練流程；第四章呈現正式實驗結果；第五章說明系統設計與 Demo 流程；第六章總結成果與限制。</w:t>
      </w:r>
    </w:p>
    <w:p>
      <w:pPr>
        <w:pStyle w:val="Heading1"/>
      </w:pPr>
      <w:r>
        <w:t>第二章　文獻探討</w:t>
      </w:r>
    </w:p>
    <w:p>
      <w:pPr>
        <w:pStyle w:val="Heading2"/>
      </w:pPr>
      <w:r>
        <w:t>2.1 胸腔 X 光影像分析</w:t>
      </w:r>
    </w:p>
    <w:p>
      <w:pPr>
        <w:pStyle w:val="BodyText"/>
      </w:pPr>
      <w:r>
        <w:t>胸腔 X 光影像具有低成本、低輻射與高臨床可近性的特性，但其影像判讀需同時考慮解剖結構重疊、拍攝姿勢、病灶大小與影像品質。正式論文版本需補充胸腔 X 光影像分析與自動化輔助判讀之正式文獻。〔待補正式文獻〕</w:t>
      </w:r>
    </w:p>
    <w:p>
      <w:pPr>
        <w:pStyle w:val="Heading2"/>
      </w:pPr>
      <w:r>
        <w:t>2.2 深度學習影像分類</w:t>
      </w:r>
    </w:p>
    <w:p>
      <w:pPr>
        <w:pStyle w:val="BodyText"/>
      </w:pPr>
      <w:r>
        <w:t>深度學習模型可由影像資料中自動學習階層式特徵。卷積神經網路常用於局部紋理與形狀辨識，而現代架構則進一步改善表徵能力與訓練穩定性。此處需於定稿時補充深度學習影像分類與醫學影像應用之正式文獻。〔待補正式文獻〕</w:t>
      </w:r>
    </w:p>
    <w:p>
      <w:pPr>
        <w:pStyle w:val="Heading2"/>
      </w:pPr>
      <w:r>
        <w:t>2.3 Vision Transformer 與自監督學習</w:t>
      </w:r>
    </w:p>
    <w:p>
      <w:pPr>
        <w:pStyle w:val="BodyText"/>
      </w:pPr>
      <w:r>
        <w:t>自監督學習可利用大量未標註影像學習一般化特徵，Vision Transformer 類模型則常以 patch 為單位建模影像資訊。本研究使用 RAD-DINO 作為 frozen teacher，但不將其作為最終 Demo 推論模型。〔待補正式文獻〕</w:t>
      </w:r>
    </w:p>
    <w:p>
      <w:pPr>
        <w:pStyle w:val="Heading2"/>
      </w:pPr>
      <w:r>
        <w:t>2.4 RAD-DINO 醫學影像基礎模型</w:t>
      </w:r>
    </w:p>
    <w:p>
      <w:pPr>
        <w:pStyle w:val="BodyText"/>
      </w:pPr>
      <w:r>
        <w:t>RAD-DINO 在本研究中被定位為醫學影像特徵 teacher，分別提供 CLS feature 與 patch feature 作為蒸餾目標。正式版本需補充 RAD-DINO 模型來源、訓練資料與方法之文獻。〔待補正式文獻〕</w:t>
      </w:r>
    </w:p>
    <w:p>
      <w:pPr>
        <w:pStyle w:val="Heading2"/>
      </w:pPr>
      <w:r>
        <w:t>2.5 ConvNeXt</w:t>
      </w:r>
    </w:p>
    <w:p>
      <w:pPr>
        <w:pStyle w:val="BodyText"/>
      </w:pPr>
      <w:r>
        <w:t>ConvNeXt-Tiny 為本專題的 student backbone 與後續分類模型基礎。其架構可被用於接收蒸餾後的影像表徵，再於 ROI 或 Full-image 任務進行下游訓練。〔待補正式文獻〕</w:t>
      </w:r>
    </w:p>
    <w:p>
      <w:pPr>
        <w:pStyle w:val="Heading2"/>
      </w:pPr>
      <w:r>
        <w:t>2.6 知識蒸餾</w:t>
      </w:r>
    </w:p>
    <w:p>
      <w:pPr>
        <w:pStyle w:val="BodyText"/>
      </w:pPr>
      <w:r>
        <w:t>知識蒸餾旨在讓 student 模型學習 teacher 模型輸出的表徵或預測。本研究採 feature-level distillation，分為 CLS feature 與 patch feature 兩條路徑。〔待補正式文獻〕</w:t>
      </w:r>
    </w:p>
    <w:p>
      <w:pPr>
        <w:pStyle w:val="Heading2"/>
      </w:pPr>
      <w:r>
        <w:t>2.7 CLS 與 Patch 特徵</w:t>
      </w:r>
    </w:p>
    <w:p>
      <w:pPr>
        <w:pStyle w:val="BodyText"/>
      </w:pPr>
      <w:r>
        <w:t>CLS feature 代表影像層級摘要；patch feature 保留空間網格資訊。本研究比較兩者對 ROI 下游分類的影響，並將 Patch Proposed backbone 轉移至 Full-image 多標籤任務。〔待補正式文獻〕</w:t>
      </w:r>
    </w:p>
    <w:p>
      <w:pPr>
        <w:pStyle w:val="Heading2"/>
      </w:pPr>
      <w:r>
        <w:t>2.8 多標籤分類</w:t>
      </w:r>
    </w:p>
    <w:p>
      <w:pPr>
        <w:pStyle w:val="BodyText"/>
      </w:pPr>
      <w:r>
        <w:t>Full-image 階段一張完整胸腔 X 光影像可能同時包含多個目標標籤，因此使用五類多標籤設定。模型輸出五個 raw logits，推論時以 Sigmoid 轉為各類獨立機率，再依 validation-tuned thresholds 判定陽性標籤。〔待補正式文獻〕</w:t>
      </w:r>
    </w:p>
    <w:p>
      <w:pPr>
        <w:pStyle w:val="Heading2"/>
      </w:pPr>
      <w:r>
        <w:t>2.9 大型語言模型輔助報告生成</w:t>
      </w:r>
    </w:p>
    <w:p>
      <w:pPr>
        <w:pStyle w:val="BodyText"/>
      </w:pPr>
      <w:r>
        <w:t>本專題 Demo 中的 Ollama 只根據本機影像模型輸出的結構化結果產生說明文字，不直接判讀 X 光影像，也不接收 Ground Truth 作為生成內容。正式版本需補充大型語言模型輔助醫學報告生成之正式文獻。〔待補正式文獻〕</w:t>
      </w:r>
    </w:p>
    <w:p>
      <w:pPr>
        <w:pStyle w:val="Heading1"/>
      </w:pPr>
      <w:r>
        <w:t>第三章　研究方法</w:t>
      </w:r>
    </w:p>
    <w:p>
      <w:pPr>
        <w:pStyle w:val="Heading2"/>
      </w:pPr>
      <w:r>
        <w:t>3.1 整體研究架構</w:t>
      </w:r>
    </w:p>
    <w:p>
      <w:pPr>
        <w:pStyle w:val="BodyText"/>
      </w:pPr>
      <w:r>
        <w:t>整體流程可分為 ROI 階段與 Full-image 階段。ROI 階段先以 BBox 標註建立五類 ROI 影像，再建立 balanced ROI dataset，並進行 RAD-DINO CLS 與 patch feature cache。其後將 feature cache 作為 teacher 訊號訓練 ConvNeXt-Tiny student，最後進行 ROI 五類單標籤分類比較。Full-image 階段則以 ROI Patch Proposed checkpoint 匯出的 backbone 作為初始化，訓練完整胸腔 X 光五類多標籤模型。</w:t>
      </w:r>
    </w:p>
    <w:p>
      <w:pPr>
        <w:pStyle w:val="Caption"/>
      </w:pPr>
      <w:r>
        <w:t>表 1　正式五類與任務定義</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2340"/>
        <w:gridCol w:w="2340"/>
        <w:gridCol w:w="2340"/>
        <w:gridCol w:w="2340"/>
      </w:tblGrid>
      <w:tr>
        <w:tc>
          <w:tcPr>
            <w:tcW w:w="2340" w:type="dxa"/>
            <w:shd w:fill="F4F6F9"/>
          </w:tcPr>
          <w:p>
            <w:pPr>
              <w:pStyle w:val="TableText"/>
            </w:pPr>
            <w:r>
              <w:t>類別編號</w:t>
            </w:r>
          </w:p>
        </w:tc>
        <w:tc>
          <w:tcPr>
            <w:tcW w:w="2340" w:type="dxa"/>
            <w:shd w:fill="F4F6F9"/>
          </w:tcPr>
          <w:p>
            <w:pPr>
              <w:pStyle w:val="TableText"/>
            </w:pPr>
            <w:r>
              <w:t>英文類別名稱</w:t>
            </w:r>
          </w:p>
        </w:tc>
        <w:tc>
          <w:tcPr>
            <w:tcW w:w="2340" w:type="dxa"/>
            <w:shd w:fill="F4F6F9"/>
          </w:tcPr>
          <w:p>
            <w:pPr>
              <w:pStyle w:val="TableText"/>
            </w:pPr>
            <w:r>
              <w:t>ROI 階段</w:t>
            </w:r>
          </w:p>
        </w:tc>
        <w:tc>
          <w:tcPr>
            <w:tcW w:w="2340" w:type="dxa"/>
            <w:shd w:fill="F4F6F9"/>
          </w:tcPr>
          <w:p>
            <w:pPr>
              <w:pStyle w:val="TableText"/>
            </w:pPr>
            <w:r>
              <w:t>Full-image 階段</w:t>
            </w:r>
          </w:p>
        </w:tc>
      </w:tr>
      <w:tr>
        <w:tc>
          <w:tcPr>
            <w:tcW w:w="2340" w:type="dxa"/>
          </w:tcPr>
          <w:p>
            <w:pPr>
              <w:pStyle w:val="TableText"/>
            </w:pPr>
            <w:r>
              <w:t>0</w:t>
            </w:r>
          </w:p>
        </w:tc>
        <w:tc>
          <w:tcPr>
            <w:tcW w:w="2340" w:type="dxa"/>
          </w:tcPr>
          <w:p>
            <w:pPr>
              <w:pStyle w:val="TableText"/>
            </w:pPr>
            <w:r>
              <w:t>Aortic enlargement</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1</w:t>
            </w:r>
          </w:p>
        </w:tc>
        <w:tc>
          <w:tcPr>
            <w:tcW w:w="2340" w:type="dxa"/>
          </w:tcPr>
          <w:p>
            <w:pPr>
              <w:pStyle w:val="TableText"/>
            </w:pPr>
            <w:r>
              <w:t>Cardiomegaly</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2</w:t>
            </w:r>
          </w:p>
        </w:tc>
        <w:tc>
          <w:tcPr>
            <w:tcW w:w="2340" w:type="dxa"/>
          </w:tcPr>
          <w:p>
            <w:pPr>
              <w:pStyle w:val="TableText"/>
            </w:pPr>
            <w:r>
              <w:t>Pleural thickening</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3</w:t>
            </w:r>
          </w:p>
        </w:tc>
        <w:tc>
          <w:tcPr>
            <w:tcW w:w="2340" w:type="dxa"/>
          </w:tcPr>
          <w:p>
            <w:pPr>
              <w:pStyle w:val="TableText"/>
            </w:pPr>
            <w:r>
              <w:t>Pulmonary fibrosis</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4</w:t>
            </w:r>
          </w:p>
        </w:tc>
        <w:tc>
          <w:tcPr>
            <w:tcW w:w="2340" w:type="dxa"/>
          </w:tcPr>
          <w:p>
            <w:pPr>
              <w:pStyle w:val="TableText"/>
            </w:pPr>
            <w:r>
              <w:t>Pleural effusion</w:t>
            </w:r>
          </w:p>
        </w:tc>
        <w:tc>
          <w:tcPr>
            <w:tcW w:w="2340" w:type="dxa"/>
          </w:tcPr>
          <w:p>
            <w:pPr>
              <w:pStyle w:val="TableText"/>
            </w:pPr>
            <w:r>
              <w:t>單標籤分類候選類別</w:t>
            </w:r>
          </w:p>
        </w:tc>
        <w:tc>
          <w:tcPr>
            <w:tcW w:w="2340" w:type="dxa"/>
          </w:tcPr>
          <w:p>
            <w:pPr>
              <w:pStyle w:val="TableText"/>
            </w:pPr>
            <w:r>
              <w:t>多標籤獨立陽性標籤</w:t>
            </w:r>
          </w:p>
        </w:tc>
      </w:tr>
    </w:tbl>
    <w:p>
      <w:pPr>
        <w:pStyle w:val="Heading2"/>
      </w:pPr>
      <w:r>
        <w:t>3.2 資料來源與五類疾病</w:t>
      </w:r>
    </w:p>
    <w:p>
      <w:pPr>
        <w:pStyle w:val="BodyText"/>
      </w:pPr>
      <w:r>
        <w:t>本研究的正式五類為 Aortic enlargement、Cardiomegaly、Pleural thickening、Pulmonary fibrosis 與 Pleural effusion，不包含 No Finding 類別。ROI 階段使用經 BBox 裁切後的單標籤資料；Full-image 階段則使用完整胸腔 X 光影像與五類多標籤 ground truth。</w:t>
      </w:r>
    </w:p>
    <w:p>
      <w:pPr>
        <w:pStyle w:val="Heading2"/>
      </w:pPr>
      <w:r>
        <w:t>3.3 BBox 標註與 ROI 製作</w:t>
      </w:r>
    </w:p>
    <w:p>
      <w:pPr>
        <w:pStyle w:val="BodyText"/>
      </w:pPr>
      <w:r>
        <w:t>ROI 製作流程依據 BBox 標註裁切病灶區域，並產生 224×224 ROI 版本供 feature cache、distillation 與分類訓練使用。現有 evidence 可確認曾進行 BBox overlay、crop 與 resize summary 層級人工檢查；逐筆人工審查紀錄目前未納入證據包，因此本文僅保守描述為 summary 層級品質檢查。</w:t>
      </w:r>
    </w:p>
    <w:p>
      <w:pPr>
        <w:pStyle w:val="Heading2"/>
      </w:pPr>
      <w:r>
        <w:t>3.4 ROI 平衡與資料增強</w:t>
      </w:r>
    </w:p>
    <w:p>
      <w:pPr>
        <w:pStyle w:val="BodyText"/>
      </w:pPr>
      <w:r>
        <w:t>ROI 原始資料共 4546 筆 ROI rows；balanced feature cache 共 4725 筆，五類各 945 筆。其中 4256 筆為原始 ROI，469 筆為可由 manifest 與檔名反向驗證之 brightness augmentation 影像。由於目前未找到 brightness generator 程式，本文不宣稱其產生方式為特定隨機公式。</w:t>
      </w:r>
    </w:p>
    <w:p>
      <w:pPr>
        <w:pStyle w:val="Caption"/>
      </w:pPr>
      <w:r>
        <w:t>表 2　ROI balanced dataset 類別數量</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3120"/>
        <w:gridCol w:w="3120"/>
        <w:gridCol w:w="3120"/>
      </w:tblGrid>
      <w:tr>
        <w:tc>
          <w:tcPr>
            <w:tcW w:w="3120" w:type="dxa"/>
            <w:shd w:fill="F4F6F9"/>
          </w:tcPr>
          <w:p>
            <w:pPr>
              <w:pStyle w:val="TableText"/>
            </w:pPr>
            <w:r>
              <w:t>類別</w:t>
            </w:r>
          </w:p>
        </w:tc>
        <w:tc>
          <w:tcPr>
            <w:tcW w:w="3120" w:type="dxa"/>
            <w:shd w:fill="F4F6F9"/>
          </w:tcPr>
          <w:p>
            <w:pPr>
              <w:pStyle w:val="TableText"/>
            </w:pPr>
            <w:r>
              <w:t>ROI rows</w:t>
            </w:r>
          </w:p>
        </w:tc>
        <w:tc>
          <w:tcPr>
            <w:tcW w:w="3120" w:type="dxa"/>
            <w:shd w:fill="F4F6F9"/>
          </w:tcPr>
          <w:p>
            <w:pPr>
              <w:pStyle w:val="TableText"/>
            </w:pPr>
            <w:r>
              <w:t>Brightness augmented rows</w:t>
            </w:r>
          </w:p>
        </w:tc>
      </w:tr>
      <w:tr>
        <w:tc>
          <w:tcPr>
            <w:tcW w:w="3120" w:type="dxa"/>
          </w:tcPr>
          <w:p>
            <w:pPr>
              <w:pStyle w:val="TableText"/>
            </w:pPr>
            <w:r>
              <w:t>Aortic enlargement</w:t>
            </w:r>
          </w:p>
        </w:tc>
        <w:tc>
          <w:tcPr>
            <w:tcW w:w="3120" w:type="dxa"/>
          </w:tcPr>
          <w:p>
            <w:pPr>
              <w:pStyle w:val="TableText"/>
            </w:pPr>
            <w:r>
              <w:t>945</w:t>
            </w:r>
          </w:p>
        </w:tc>
        <w:tc>
          <w:tcPr>
            <w:tcW w:w="3120" w:type="dxa"/>
          </w:tcPr>
          <w:p>
            <w:pPr>
              <w:pStyle w:val="TableText"/>
            </w:pPr>
            <w:r>
              <w:t>173</w:t>
            </w:r>
          </w:p>
        </w:tc>
      </w:tr>
      <w:tr>
        <w:tc>
          <w:tcPr>
            <w:tcW w:w="3120" w:type="dxa"/>
          </w:tcPr>
          <w:p>
            <w:pPr>
              <w:pStyle w:val="TableText"/>
            </w:pPr>
            <w:r>
              <w:t>Cardiomegaly</w:t>
            </w:r>
          </w:p>
        </w:tc>
        <w:tc>
          <w:tcPr>
            <w:tcW w:w="3120" w:type="dxa"/>
          </w:tcPr>
          <w:p>
            <w:pPr>
              <w:pStyle w:val="TableText"/>
            </w:pPr>
            <w:r>
              <w:t>945</w:t>
            </w:r>
          </w:p>
        </w:tc>
        <w:tc>
          <w:tcPr>
            <w:tcW w:w="3120" w:type="dxa"/>
          </w:tcPr>
          <w:p>
            <w:pPr>
              <w:pStyle w:val="TableText"/>
            </w:pPr>
            <w:r>
              <w:t>162</w:t>
            </w:r>
          </w:p>
        </w:tc>
      </w:tr>
      <w:tr>
        <w:tc>
          <w:tcPr>
            <w:tcW w:w="3120" w:type="dxa"/>
          </w:tcPr>
          <w:p>
            <w:pPr>
              <w:pStyle w:val="TableText"/>
            </w:pPr>
            <w:r>
              <w:t>Pleural thickening</w:t>
            </w:r>
          </w:p>
        </w:tc>
        <w:tc>
          <w:tcPr>
            <w:tcW w:w="3120" w:type="dxa"/>
          </w:tcPr>
          <w:p>
            <w:pPr>
              <w:pStyle w:val="TableText"/>
            </w:pPr>
            <w:r>
              <w:t>945</w:t>
            </w:r>
          </w:p>
        </w:tc>
        <w:tc>
          <w:tcPr>
            <w:tcW w:w="3120" w:type="dxa"/>
          </w:tcPr>
          <w:p>
            <w:pPr>
              <w:pStyle w:val="TableText"/>
            </w:pPr>
            <w:r>
              <w:t>0</w:t>
            </w:r>
          </w:p>
        </w:tc>
      </w:tr>
      <w:tr>
        <w:tc>
          <w:tcPr>
            <w:tcW w:w="3120" w:type="dxa"/>
          </w:tcPr>
          <w:p>
            <w:pPr>
              <w:pStyle w:val="TableText"/>
            </w:pPr>
            <w:r>
              <w:t>Pulmonary fibrosis</w:t>
            </w:r>
          </w:p>
        </w:tc>
        <w:tc>
          <w:tcPr>
            <w:tcW w:w="3120" w:type="dxa"/>
          </w:tcPr>
          <w:p>
            <w:pPr>
              <w:pStyle w:val="TableText"/>
            </w:pPr>
            <w:r>
              <w:t>945</w:t>
            </w:r>
          </w:p>
        </w:tc>
        <w:tc>
          <w:tcPr>
            <w:tcW w:w="3120" w:type="dxa"/>
          </w:tcPr>
          <w:p>
            <w:pPr>
              <w:pStyle w:val="TableText"/>
            </w:pPr>
            <w:r>
              <w:t>0</w:t>
            </w:r>
          </w:p>
        </w:tc>
      </w:tr>
      <w:tr>
        <w:tc>
          <w:tcPr>
            <w:tcW w:w="3120" w:type="dxa"/>
          </w:tcPr>
          <w:p>
            <w:pPr>
              <w:pStyle w:val="TableText"/>
            </w:pPr>
            <w:r>
              <w:t>Pleural effusion</w:t>
            </w:r>
          </w:p>
        </w:tc>
        <w:tc>
          <w:tcPr>
            <w:tcW w:w="3120" w:type="dxa"/>
          </w:tcPr>
          <w:p>
            <w:pPr>
              <w:pStyle w:val="TableText"/>
            </w:pPr>
            <w:r>
              <w:t>945</w:t>
            </w:r>
          </w:p>
        </w:tc>
        <w:tc>
          <w:tcPr>
            <w:tcW w:w="3120" w:type="dxa"/>
          </w:tcPr>
          <w:p>
            <w:pPr>
              <w:pStyle w:val="TableText"/>
            </w:pPr>
            <w:r>
              <w:t>134</w:t>
            </w:r>
          </w:p>
        </w:tc>
      </w:tr>
    </w:tbl>
    <w:p>
      <w:pPr>
        <w:pStyle w:val="Caption"/>
      </w:pPr>
      <w:r>
        <w:t>表 3　Brightness augmentation factor 反向驗證分布</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4680"/>
        <w:gridCol w:w="4680"/>
      </w:tblGrid>
      <w:tr>
        <w:tc>
          <w:tcPr>
            <w:tcW w:w="4680" w:type="dxa"/>
            <w:shd w:fill="F4F6F9"/>
          </w:tcPr>
          <w:p>
            <w:pPr>
              <w:pStyle w:val="TableText"/>
            </w:pPr>
            <w:r>
              <w:t>Factor</w:t>
            </w:r>
          </w:p>
        </w:tc>
        <w:tc>
          <w:tcPr>
            <w:tcW w:w="4680" w:type="dxa"/>
            <w:shd w:fill="F4F6F9"/>
          </w:tcPr>
          <w:p>
            <w:pPr>
              <w:pStyle w:val="TableText"/>
            </w:pPr>
            <w:r>
              <w:t>影像數量</w:t>
            </w:r>
          </w:p>
        </w:tc>
      </w:tr>
      <w:tr>
        <w:tc>
          <w:tcPr>
            <w:tcW w:w="4680" w:type="dxa"/>
          </w:tcPr>
          <w:p>
            <w:pPr>
              <w:pStyle w:val="TableText"/>
            </w:pPr>
            <w:r>
              <w:t>0.95</w:t>
            </w:r>
          </w:p>
        </w:tc>
        <w:tc>
          <w:tcPr>
            <w:tcW w:w="4680" w:type="dxa"/>
          </w:tcPr>
          <w:p>
            <w:pPr>
              <w:pStyle w:val="TableText"/>
            </w:pPr>
            <w:r>
              <w:t>22</w:t>
            </w:r>
          </w:p>
        </w:tc>
      </w:tr>
      <w:tr>
        <w:tc>
          <w:tcPr>
            <w:tcW w:w="4680" w:type="dxa"/>
          </w:tcPr>
          <w:p>
            <w:pPr>
              <w:pStyle w:val="TableText"/>
            </w:pPr>
            <w:r>
              <w:t>0.96</w:t>
            </w:r>
          </w:p>
        </w:tc>
        <w:tc>
          <w:tcPr>
            <w:tcW w:w="4680" w:type="dxa"/>
          </w:tcPr>
          <w:p>
            <w:pPr>
              <w:pStyle w:val="TableText"/>
            </w:pPr>
            <w:r>
              <w:t>54</w:t>
            </w:r>
          </w:p>
        </w:tc>
      </w:tr>
      <w:tr>
        <w:tc>
          <w:tcPr>
            <w:tcW w:w="4680" w:type="dxa"/>
          </w:tcPr>
          <w:p>
            <w:pPr>
              <w:pStyle w:val="TableText"/>
            </w:pPr>
            <w:r>
              <w:t>0.97</w:t>
            </w:r>
          </w:p>
        </w:tc>
        <w:tc>
          <w:tcPr>
            <w:tcW w:w="4680" w:type="dxa"/>
          </w:tcPr>
          <w:p>
            <w:pPr>
              <w:pStyle w:val="TableText"/>
            </w:pPr>
            <w:r>
              <w:t>73</w:t>
            </w:r>
          </w:p>
        </w:tc>
      </w:tr>
      <w:tr>
        <w:tc>
          <w:tcPr>
            <w:tcW w:w="4680" w:type="dxa"/>
          </w:tcPr>
          <w:p>
            <w:pPr>
              <w:pStyle w:val="TableText"/>
            </w:pPr>
            <w:r>
              <w:t>0.98</w:t>
            </w:r>
          </w:p>
        </w:tc>
        <w:tc>
          <w:tcPr>
            <w:tcW w:w="4680" w:type="dxa"/>
          </w:tcPr>
          <w:p>
            <w:pPr>
              <w:pStyle w:val="TableText"/>
            </w:pPr>
            <w:r>
              <w:t>57</w:t>
            </w:r>
          </w:p>
        </w:tc>
      </w:tr>
      <w:tr>
        <w:tc>
          <w:tcPr>
            <w:tcW w:w="4680" w:type="dxa"/>
          </w:tcPr>
          <w:p>
            <w:pPr>
              <w:pStyle w:val="TableText"/>
            </w:pPr>
            <w:r>
              <w:t>0.99</w:t>
            </w:r>
          </w:p>
        </w:tc>
        <w:tc>
          <w:tcPr>
            <w:tcW w:w="4680" w:type="dxa"/>
          </w:tcPr>
          <w:p>
            <w:pPr>
              <w:pStyle w:val="TableText"/>
            </w:pPr>
            <w:r>
              <w:t>26</w:t>
            </w:r>
          </w:p>
        </w:tc>
      </w:tr>
      <w:tr>
        <w:tc>
          <w:tcPr>
            <w:tcW w:w="4680" w:type="dxa"/>
          </w:tcPr>
          <w:p>
            <w:pPr>
              <w:pStyle w:val="TableText"/>
            </w:pPr>
            <w:r>
              <w:t>1.01</w:t>
            </w:r>
          </w:p>
        </w:tc>
        <w:tc>
          <w:tcPr>
            <w:tcW w:w="4680" w:type="dxa"/>
          </w:tcPr>
          <w:p>
            <w:pPr>
              <w:pStyle w:val="TableText"/>
            </w:pPr>
            <w:r>
              <w:t>21</w:t>
            </w:r>
          </w:p>
        </w:tc>
      </w:tr>
      <w:tr>
        <w:tc>
          <w:tcPr>
            <w:tcW w:w="4680" w:type="dxa"/>
          </w:tcPr>
          <w:p>
            <w:pPr>
              <w:pStyle w:val="TableText"/>
            </w:pPr>
            <w:r>
              <w:t>1.02</w:t>
            </w:r>
          </w:p>
        </w:tc>
        <w:tc>
          <w:tcPr>
            <w:tcW w:w="4680" w:type="dxa"/>
          </w:tcPr>
          <w:p>
            <w:pPr>
              <w:pStyle w:val="TableText"/>
            </w:pPr>
            <w:r>
              <w:t>53</w:t>
            </w:r>
          </w:p>
        </w:tc>
      </w:tr>
      <w:tr>
        <w:tc>
          <w:tcPr>
            <w:tcW w:w="4680" w:type="dxa"/>
          </w:tcPr>
          <w:p>
            <w:pPr>
              <w:pStyle w:val="TableText"/>
            </w:pPr>
            <w:r>
              <w:t>1.03</w:t>
            </w:r>
          </w:p>
        </w:tc>
        <w:tc>
          <w:tcPr>
            <w:tcW w:w="4680" w:type="dxa"/>
          </w:tcPr>
          <w:p>
            <w:pPr>
              <w:pStyle w:val="TableText"/>
            </w:pPr>
            <w:r>
              <w:t>63</w:t>
            </w:r>
          </w:p>
        </w:tc>
      </w:tr>
      <w:tr>
        <w:tc>
          <w:tcPr>
            <w:tcW w:w="4680" w:type="dxa"/>
          </w:tcPr>
          <w:p>
            <w:pPr>
              <w:pStyle w:val="TableText"/>
            </w:pPr>
            <w:r>
              <w:t>1.04</w:t>
            </w:r>
          </w:p>
        </w:tc>
        <w:tc>
          <w:tcPr>
            <w:tcW w:w="4680" w:type="dxa"/>
          </w:tcPr>
          <w:p>
            <w:pPr>
              <w:pStyle w:val="TableText"/>
            </w:pPr>
            <w:r>
              <w:t>75</w:t>
            </w:r>
          </w:p>
        </w:tc>
      </w:tr>
      <w:tr>
        <w:tc>
          <w:tcPr>
            <w:tcW w:w="4680" w:type="dxa"/>
          </w:tcPr>
          <w:p>
            <w:pPr>
              <w:pStyle w:val="TableText"/>
            </w:pPr>
            <w:r>
              <w:t>1.05</w:t>
            </w:r>
          </w:p>
        </w:tc>
        <w:tc>
          <w:tcPr>
            <w:tcW w:w="4680" w:type="dxa"/>
          </w:tcPr>
          <w:p>
            <w:pPr>
              <w:pStyle w:val="TableText"/>
            </w:pPr>
            <w:r>
              <w:t>25</w:t>
            </w:r>
          </w:p>
        </w:tc>
      </w:tr>
    </w:tbl>
    <w:p>
      <w:pPr>
        <w:pStyle w:val="Heading2"/>
      </w:pPr>
      <w:r>
        <w:t>3.5 Source-level 資料切分及資料洩漏控制</w:t>
      </w:r>
    </w:p>
    <w:p>
      <w:pPr>
        <w:pStyle w:val="Caption"/>
      </w:pPr>
      <w:r>
        <w:t>表 4　ROI Phase2 grouped split 類別數量</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170"/>
        <w:gridCol w:w="1170"/>
        <w:gridCol w:w="1170"/>
        <w:gridCol w:w="1170"/>
        <w:gridCol w:w="1170"/>
        <w:gridCol w:w="1170"/>
        <w:gridCol w:w="1170"/>
        <w:gridCol w:w="1170"/>
      </w:tblGrid>
      <w:tr>
        <w:tc>
          <w:tcPr>
            <w:tcW w:w="1170" w:type="dxa"/>
            <w:shd w:fill="F4F6F9"/>
          </w:tcPr>
          <w:p>
            <w:pPr>
              <w:pStyle w:val="TableText"/>
            </w:pPr>
            <w:r>
              <w:t>Split</w:t>
            </w:r>
          </w:p>
        </w:tc>
        <w:tc>
          <w:tcPr>
            <w:tcW w:w="1170" w:type="dxa"/>
            <w:shd w:fill="F4F6F9"/>
          </w:tcPr>
          <w:p>
            <w:pPr>
              <w:pStyle w:val="TableText"/>
            </w:pPr>
            <w:r>
              <w:t>Total</w:t>
            </w:r>
          </w:p>
        </w:tc>
        <w:tc>
          <w:tcPr>
            <w:tcW w:w="1170" w:type="dxa"/>
            <w:shd w:fill="F4F6F9"/>
          </w:tcPr>
          <w:p>
            <w:pPr>
              <w:pStyle w:val="TableText"/>
            </w:pPr>
            <w:r>
              <w:t>Brightness rows</w:t>
            </w:r>
          </w:p>
        </w:tc>
        <w:tc>
          <w:tcPr>
            <w:tcW w:w="1170" w:type="dxa"/>
            <w:shd w:fill="F4F6F9"/>
          </w:tcPr>
          <w:p>
            <w:pPr>
              <w:pStyle w:val="TableText"/>
            </w:pPr>
            <w:r>
              <w:t>Aortic enlargement</w:t>
            </w:r>
          </w:p>
        </w:tc>
        <w:tc>
          <w:tcPr>
            <w:tcW w:w="1170" w:type="dxa"/>
            <w:shd w:fill="F4F6F9"/>
          </w:tcPr>
          <w:p>
            <w:pPr>
              <w:pStyle w:val="TableText"/>
            </w:pPr>
            <w:r>
              <w:t>Cardiomegaly</w:t>
            </w:r>
          </w:p>
        </w:tc>
        <w:tc>
          <w:tcPr>
            <w:tcW w:w="1170" w:type="dxa"/>
            <w:shd w:fill="F4F6F9"/>
          </w:tcPr>
          <w:p>
            <w:pPr>
              <w:pStyle w:val="TableText"/>
            </w:pPr>
            <w:r>
              <w:t>Pleural thickening</w:t>
            </w:r>
          </w:p>
        </w:tc>
        <w:tc>
          <w:tcPr>
            <w:tcW w:w="1170" w:type="dxa"/>
            <w:shd w:fill="F4F6F9"/>
          </w:tcPr>
          <w:p>
            <w:pPr>
              <w:pStyle w:val="TableText"/>
            </w:pPr>
            <w:r>
              <w:t>Pulmonary fibrosis</w:t>
            </w:r>
          </w:p>
        </w:tc>
        <w:tc>
          <w:tcPr>
            <w:tcW w:w="1170" w:type="dxa"/>
            <w:shd w:fill="F4F6F9"/>
          </w:tcPr>
          <w:p>
            <w:pPr>
              <w:pStyle w:val="TableText"/>
            </w:pPr>
            <w:r>
              <w:t>Pleural effusion</w:t>
            </w:r>
          </w:p>
        </w:tc>
      </w:tr>
      <w:tr>
        <w:tc>
          <w:tcPr>
            <w:tcW w:w="1170" w:type="dxa"/>
          </w:tcPr>
          <w:p>
            <w:pPr>
              <w:pStyle w:val="TableText"/>
            </w:pPr>
            <w:r>
              <w:t>train</w:t>
            </w:r>
          </w:p>
        </w:tc>
        <w:tc>
          <w:tcPr>
            <w:tcW w:w="1170" w:type="dxa"/>
          </w:tcPr>
          <w:p>
            <w:pPr>
              <w:pStyle w:val="TableText"/>
            </w:pPr>
            <w:r>
              <w:t>3770</w:t>
            </w:r>
          </w:p>
        </w:tc>
        <w:tc>
          <w:tcPr>
            <w:tcW w:w="1170" w:type="dxa"/>
          </w:tcPr>
          <w:p>
            <w:pPr>
              <w:pStyle w:val="TableText"/>
            </w:pPr>
            <w:r>
              <w:t>357</w:t>
            </w:r>
          </w:p>
        </w:tc>
        <w:tc>
          <w:tcPr>
            <w:tcW w:w="1170" w:type="dxa"/>
          </w:tcPr>
          <w:p>
            <w:pPr>
              <w:pStyle w:val="TableText"/>
            </w:pPr>
            <w:r>
              <w:t>744</w:t>
            </w:r>
          </w:p>
        </w:tc>
        <w:tc>
          <w:tcPr>
            <w:tcW w:w="1170" w:type="dxa"/>
          </w:tcPr>
          <w:p>
            <w:pPr>
              <w:pStyle w:val="TableText"/>
            </w:pPr>
            <w:r>
              <w:t>759</w:t>
            </w:r>
          </w:p>
        </w:tc>
        <w:tc>
          <w:tcPr>
            <w:tcW w:w="1170" w:type="dxa"/>
          </w:tcPr>
          <w:p>
            <w:pPr>
              <w:pStyle w:val="TableText"/>
            </w:pPr>
            <w:r>
              <w:t>763</w:t>
            </w:r>
          </w:p>
        </w:tc>
        <w:tc>
          <w:tcPr>
            <w:tcW w:w="1170" w:type="dxa"/>
          </w:tcPr>
          <w:p>
            <w:pPr>
              <w:pStyle w:val="TableText"/>
            </w:pPr>
            <w:r>
              <w:t>756</w:t>
            </w:r>
          </w:p>
        </w:tc>
        <w:tc>
          <w:tcPr>
            <w:tcW w:w="1170" w:type="dxa"/>
          </w:tcPr>
          <w:p>
            <w:pPr>
              <w:pStyle w:val="TableText"/>
            </w:pPr>
            <w:r>
              <w:t>748</w:t>
            </w:r>
          </w:p>
        </w:tc>
      </w:tr>
      <w:tr>
        <w:tc>
          <w:tcPr>
            <w:tcW w:w="1170" w:type="dxa"/>
          </w:tcPr>
          <w:p>
            <w:pPr>
              <w:pStyle w:val="TableText"/>
            </w:pPr>
            <w:r>
              <w:t>val</w:t>
            </w:r>
          </w:p>
        </w:tc>
        <w:tc>
          <w:tcPr>
            <w:tcW w:w="1170" w:type="dxa"/>
          </w:tcPr>
          <w:p>
            <w:pPr>
              <w:pStyle w:val="TableText"/>
            </w:pPr>
            <w:r>
              <w:t>454</w:t>
            </w:r>
          </w:p>
        </w:tc>
        <w:tc>
          <w:tcPr>
            <w:tcW w:w="1170" w:type="dxa"/>
          </w:tcPr>
          <w:p>
            <w:pPr>
              <w:pStyle w:val="TableText"/>
            </w:pPr>
            <w:r>
              <w:t>0</w:t>
            </w:r>
          </w:p>
        </w:tc>
        <w:tc>
          <w:tcPr>
            <w:tcW w:w="1170" w:type="dxa"/>
          </w:tcPr>
          <w:p>
            <w:pPr>
              <w:pStyle w:val="TableText"/>
            </w:pPr>
            <w:r>
              <w:t>77</w:t>
            </w:r>
          </w:p>
        </w:tc>
        <w:tc>
          <w:tcPr>
            <w:tcW w:w="1170" w:type="dxa"/>
          </w:tcPr>
          <w:p>
            <w:pPr>
              <w:pStyle w:val="TableText"/>
            </w:pPr>
            <w:r>
              <w:t>78</w:t>
            </w:r>
          </w:p>
        </w:tc>
        <w:tc>
          <w:tcPr>
            <w:tcW w:w="1170" w:type="dxa"/>
          </w:tcPr>
          <w:p>
            <w:pPr>
              <w:pStyle w:val="TableText"/>
            </w:pPr>
            <w:r>
              <w:t>112</w:t>
            </w:r>
          </w:p>
        </w:tc>
        <w:tc>
          <w:tcPr>
            <w:tcW w:w="1170" w:type="dxa"/>
          </w:tcPr>
          <w:p>
            <w:pPr>
              <w:pStyle w:val="TableText"/>
            </w:pPr>
            <w:r>
              <w:t>106</w:t>
            </w:r>
          </w:p>
        </w:tc>
        <w:tc>
          <w:tcPr>
            <w:tcW w:w="1170" w:type="dxa"/>
          </w:tcPr>
          <w:p>
            <w:pPr>
              <w:pStyle w:val="TableText"/>
            </w:pPr>
            <w:r>
              <w:t>81</w:t>
            </w:r>
          </w:p>
        </w:tc>
      </w:tr>
      <w:tr>
        <w:tc>
          <w:tcPr>
            <w:tcW w:w="1170" w:type="dxa"/>
          </w:tcPr>
          <w:p>
            <w:pPr>
              <w:pStyle w:val="TableText"/>
            </w:pPr>
            <w:r>
              <w:t>test</w:t>
            </w:r>
          </w:p>
        </w:tc>
        <w:tc>
          <w:tcPr>
            <w:tcW w:w="1170" w:type="dxa"/>
          </w:tcPr>
          <w:p>
            <w:pPr>
              <w:pStyle w:val="TableText"/>
            </w:pPr>
            <w:r>
              <w:t>454</w:t>
            </w:r>
          </w:p>
        </w:tc>
        <w:tc>
          <w:tcPr>
            <w:tcW w:w="1170" w:type="dxa"/>
          </w:tcPr>
          <w:p>
            <w:pPr>
              <w:pStyle w:val="TableText"/>
            </w:pPr>
            <w:r>
              <w:t>0</w:t>
            </w:r>
          </w:p>
        </w:tc>
        <w:tc>
          <w:tcPr>
            <w:tcW w:w="1170" w:type="dxa"/>
          </w:tcPr>
          <w:p>
            <w:pPr>
              <w:pStyle w:val="TableText"/>
            </w:pPr>
            <w:r>
              <w:t>77</w:t>
            </w:r>
          </w:p>
        </w:tc>
        <w:tc>
          <w:tcPr>
            <w:tcW w:w="1170" w:type="dxa"/>
          </w:tcPr>
          <w:p>
            <w:pPr>
              <w:pStyle w:val="TableText"/>
            </w:pPr>
            <w:r>
              <w:t>78</w:t>
            </w:r>
          </w:p>
        </w:tc>
        <w:tc>
          <w:tcPr>
            <w:tcW w:w="1170" w:type="dxa"/>
          </w:tcPr>
          <w:p>
            <w:pPr>
              <w:pStyle w:val="TableText"/>
            </w:pPr>
            <w:r>
              <w:t>112</w:t>
            </w:r>
          </w:p>
        </w:tc>
        <w:tc>
          <w:tcPr>
            <w:tcW w:w="1170" w:type="dxa"/>
          </w:tcPr>
          <w:p>
            <w:pPr>
              <w:pStyle w:val="TableText"/>
            </w:pPr>
            <w:r>
              <w:t>106</w:t>
            </w:r>
          </w:p>
        </w:tc>
        <w:tc>
          <w:tcPr>
            <w:tcW w:w="1170" w:type="dxa"/>
          </w:tcPr>
          <w:p>
            <w:pPr>
              <w:pStyle w:val="TableText"/>
            </w:pPr>
            <w:r>
              <w:t>81</w:t>
            </w:r>
          </w:p>
        </w:tc>
      </w:tr>
    </w:tbl>
    <w:p>
      <w:pPr>
        <w:pStyle w:val="BodyText"/>
      </w:pPr>
      <w:r>
        <w:t>ROI Phase2 grouped split 中，train split 含 brightness augmentation；validation 與 test split 的 brightness augmented rows 皆為 0。此設定可避免以增強影像污染 validation 或 test 評估。</w:t>
      </w:r>
    </w:p>
    <w:p>
      <w:pPr>
        <w:pStyle w:val="Heading2"/>
      </w:pPr>
      <w:r>
        <w:t>3.6 Phase 0：RAD-DINO CLS Feature Cache</w:t>
      </w:r>
    </w:p>
    <w:p>
      <w:pPr>
        <w:pStyle w:val="BodyText"/>
      </w:pPr>
      <w:r>
        <w:t>RAD-DINO CLS teacher cache 使用 frozen/eval 模式，針對 ROI 224 balanced manifest 建立 teacher features，輸出形狀為 [4725, 768]。此階段僅進行 teacher feature extraction，不訓練 teacher。</w:t>
      </w:r>
    </w:p>
    <w:p>
      <w:pPr>
        <w:pStyle w:val="Heading2"/>
      </w:pPr>
      <w:r>
        <w:t>3.7 Phase 0：RAD-DINO Patch Feature Cache</w:t>
      </w:r>
    </w:p>
    <w:p>
      <w:pPr>
        <w:pStyle w:val="BodyText"/>
      </w:pPr>
      <w:r>
        <w:t>RAD-DINO Patch teacher cache 同樣使用 frozen/eval 模式。其處理器輸入為 [B, 3, 518, 518]，輸出 patch teacher features 形狀為 [4725, 768, 7, 7]，保留 7×7 空間格點表徵。</w:t>
      </w:r>
    </w:p>
    <w:p>
      <w:pPr>
        <w:pStyle w:val="Heading2"/>
      </w:pPr>
      <w:r>
        <w:t>3.8 Phase 1：CLS Feature Distillation</w:t>
      </w:r>
    </w:p>
    <w:p>
      <w:pPr>
        <w:pStyle w:val="BodyText"/>
      </w:pPr>
      <w:r>
        <w:t>CLS distillation 以 ConvNeXt-Tiny student 學習 RAD-DINO CLS feature，teacher feature shape 為 [4725, 768]。特徵對齊方式為 L2-normalized student feature 與 L2-normalized teacher feature 之 MSE；optimizer 為 AdamW；backbone learning rate 為 0.0001；有效 batch size 為 64；epoch 設定為 30；early stopping patience 為 7；checkpoint selection 依 best average distillation loss，並以特徵對齊監控指標選擇最佳 checkpoint。正式蒸餾結果與比較將於第四章說明。</w:t>
      </w:r>
    </w:p>
    <w:p>
      <w:pPr>
        <w:pStyle w:val="Heading2"/>
      </w:pPr>
      <w:r>
        <w:t>3.9 Phase 1：Patch Feature Distillation</w:t>
      </w:r>
    </w:p>
    <w:p>
      <w:pPr>
        <w:pStyle w:val="BodyText"/>
      </w:pPr>
      <w:r>
        <w:t>Patch distillation 以 ConvNeXt-Tiny ImageNet1K V1 student 學習 RAD-DINO 7×7 patch feature，teacher patch feature shape 為 [4725, 768, 7, 7]。特徵對齊方式為沿 channel dimension 進行 L2 normalization 後的 float32 MSE；optimizer 為 AdamW；backbone learning rate 為 0.0001；有效 batch size 為 64；epoch 上限為 100，minimum epochs 為 60；early stopping patience 為 15；checkpoint selection 依 patch MSE/cosine 監控指標。正式蒸餾結果與比較將於第四章說明。</w:t>
      </w:r>
    </w:p>
    <w:p>
      <w:pPr>
        <w:pStyle w:val="Caption"/>
      </w:pPr>
      <w:r>
        <w:t>表 5　Phase 1 distillation 訓練設定與監控指標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階段</w:t>
            </w:r>
          </w:p>
        </w:tc>
        <w:tc>
          <w:tcPr>
            <w:tcW w:w="1872" w:type="dxa"/>
            <w:shd w:fill="F4F6F9"/>
          </w:tcPr>
          <w:p>
            <w:pPr>
              <w:pStyle w:val="TableText"/>
            </w:pPr>
            <w:r>
              <w:t>Teacher / feature shape</w:t>
            </w:r>
          </w:p>
        </w:tc>
        <w:tc>
          <w:tcPr>
            <w:tcW w:w="1872" w:type="dxa"/>
            <w:shd w:fill="F4F6F9"/>
          </w:tcPr>
          <w:p>
            <w:pPr>
              <w:pStyle w:val="TableText"/>
            </w:pPr>
            <w:r>
              <w:t>Student / 對齊目標</w:t>
            </w:r>
          </w:p>
        </w:tc>
        <w:tc>
          <w:tcPr>
            <w:tcW w:w="1872" w:type="dxa"/>
            <w:shd w:fill="F4F6F9"/>
          </w:tcPr>
          <w:p>
            <w:pPr>
              <w:pStyle w:val="TableText"/>
            </w:pPr>
            <w:r>
              <w:t>訓練設定</w:t>
            </w:r>
          </w:p>
        </w:tc>
        <w:tc>
          <w:tcPr>
            <w:tcW w:w="1872" w:type="dxa"/>
            <w:shd w:fill="F4F6F9"/>
          </w:tcPr>
          <w:p>
            <w:pPr>
              <w:pStyle w:val="TableText"/>
            </w:pPr>
            <w:r>
              <w:t>Checkpoint monitor</w:t>
            </w:r>
          </w:p>
        </w:tc>
      </w:tr>
      <w:tr>
        <w:tc>
          <w:tcPr>
            <w:tcW w:w="1872" w:type="dxa"/>
          </w:tcPr>
          <w:p>
            <w:pPr>
              <w:pStyle w:val="TableText"/>
            </w:pPr>
            <w:r>
              <w:t>CLS distillation</w:t>
            </w:r>
          </w:p>
        </w:tc>
        <w:tc>
          <w:tcPr>
            <w:tcW w:w="1872" w:type="dxa"/>
          </w:tcPr>
          <w:p>
            <w:pPr>
              <w:pStyle w:val="TableText"/>
            </w:pPr>
            <w:r>
              <w:t>RAD-DINO CLS [4725, 768]</w:t>
            </w:r>
          </w:p>
        </w:tc>
        <w:tc>
          <w:tcPr>
            <w:tcW w:w="1872" w:type="dxa"/>
          </w:tcPr>
          <w:p>
            <w:pPr>
              <w:pStyle w:val="TableText"/>
            </w:pPr>
            <w:r>
              <w:t>768-dim student feature；L2-normalized feature MSE</w:t>
            </w:r>
          </w:p>
        </w:tc>
        <w:tc>
          <w:tcPr>
            <w:tcW w:w="1872" w:type="dxa"/>
          </w:tcPr>
          <w:p>
            <w:pPr>
              <w:pStyle w:val="TableText"/>
            </w:pPr>
            <w:r>
              <w:t>AdamW；lr 0.0001；batch size 64；epoch 30；patience 7</w:t>
            </w:r>
          </w:p>
        </w:tc>
        <w:tc>
          <w:tcPr>
            <w:tcW w:w="1872" w:type="dxa"/>
          </w:tcPr>
          <w:p>
            <w:pPr>
              <w:pStyle w:val="TableText"/>
            </w:pPr>
            <w:r>
              <w:t>best average distillation loss</w:t>
            </w:r>
          </w:p>
        </w:tc>
      </w:tr>
      <w:tr>
        <w:tc>
          <w:tcPr>
            <w:tcW w:w="1872" w:type="dxa"/>
          </w:tcPr>
          <w:p>
            <w:pPr>
              <w:pStyle w:val="TableText"/>
            </w:pPr>
            <w:r>
              <w:t>Patch distillation</w:t>
            </w:r>
          </w:p>
        </w:tc>
        <w:tc>
          <w:tcPr>
            <w:tcW w:w="1872" w:type="dxa"/>
          </w:tcPr>
          <w:p>
            <w:pPr>
              <w:pStyle w:val="TableText"/>
            </w:pPr>
            <w:r>
              <w:t>RAD-DINO patch [4725, 768, 7, 7]</w:t>
            </w:r>
          </w:p>
        </w:tc>
        <w:tc>
          <w:tcPr>
            <w:tcW w:w="1872" w:type="dxa"/>
          </w:tcPr>
          <w:p>
            <w:pPr>
              <w:pStyle w:val="TableText"/>
            </w:pPr>
            <w:r>
              <w:t>student final feature map [B, 768, 7, 7]；channel L2-normalized float32 MSE</w:t>
            </w:r>
          </w:p>
        </w:tc>
        <w:tc>
          <w:tcPr>
            <w:tcW w:w="1872" w:type="dxa"/>
          </w:tcPr>
          <w:p>
            <w:pPr>
              <w:pStyle w:val="TableText"/>
            </w:pPr>
            <w:r>
              <w:t>AdamW；lr 0.0001；batch size 64；max epoch 100；min epoch 60；patience 15</w:t>
            </w:r>
          </w:p>
        </w:tc>
        <w:tc>
          <w:tcPr>
            <w:tcW w:w="1872" w:type="dxa"/>
          </w:tcPr>
          <w:p>
            <w:pPr>
              <w:pStyle w:val="TableText"/>
            </w:pPr>
            <w:r>
              <w:t>patch MSE/cosine</w:t>
            </w:r>
          </w:p>
        </w:tc>
      </w:tr>
    </w:tbl>
    <w:p>
      <w:pPr>
        <w:pStyle w:val="Heading2"/>
      </w:pPr>
      <w:r>
        <w:t>3.10 Phase 2：ROI 五分類模型</w:t>
      </w:r>
    </w:p>
    <w:p>
      <w:pPr>
        <w:pStyle w:val="BodyText"/>
      </w:pPr>
      <w:r>
        <w:t>ROI Phase2 為五類單標籤分類，輸出 5 logits，評估時使用 Softmax 機率。三個模型分別為 ImageNet Baseline、RAD-DINO CLS Proposed 與 RAD-DINO Patch Proposed。三者皆使用 CrossEntropyLoss、AdamW with CosineAnnealingLR、backbone learning rate 1e-05、head learning rate 0.0001、有效 batch size 64、最大 50 epochs，checkpoint selection 以 best validation loss 為準，且不使用 test set 選擇 checkpoint。</w:t>
      </w:r>
    </w:p>
    <w:p>
      <w:pPr>
        <w:pStyle w:val="Heading2"/>
      </w:pPr>
      <w:r>
        <w:t>3.11 ROI 三模型比較設計</w:t>
      </w:r>
    </w:p>
    <w:p>
      <w:pPr>
        <w:pStyle w:val="BodyText"/>
      </w:pPr>
      <w:r>
        <w:t>正式 ROI 比較採三模型公平比較資料夾中的輸出，不採早期二模型比較。公平性稽核顯示 augmentation 設定鎖定且 train-only，因此三模型比較具一致實驗條件。</w:t>
      </w:r>
    </w:p>
    <w:p>
      <w:pPr>
        <w:pStyle w:val="Heading2"/>
      </w:pPr>
      <w:r>
        <w:t>3.12 ROI Patch Backbone 轉移</w:t>
      </w:r>
    </w:p>
    <w:p>
      <w:pPr>
        <w:pStyle w:val="BodyText"/>
      </w:pPr>
      <w:r>
        <w:t>Full-image 階段的初始化來源為 ROI RAD-DINO Patch Proposed 匯出的 ConvNeXt-Tiny 五類 checkpoint。轉移時丟棄 ROI head，改接 Full-image 多標籤任務的新分類 head。此作法將 ROI patch-level distillation 學到的 backbone 表徵帶入完整影像任務。</w:t>
      </w:r>
    </w:p>
    <w:p>
      <w:pPr>
        <w:pStyle w:val="Heading2"/>
      </w:pPr>
      <w:r>
        <w:t>3.13 Full-image 多標籤 Fine-tuning</w:t>
      </w:r>
    </w:p>
    <w:p>
      <w:pPr>
        <w:pStyle w:val="Caption"/>
      </w:pPr>
      <w:r>
        <w:t>表 6　Full-image 多標籤 split 與每類 positive count</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337"/>
        <w:gridCol w:w="1337"/>
        <w:gridCol w:w="1337"/>
        <w:gridCol w:w="1337"/>
        <w:gridCol w:w="1337"/>
        <w:gridCol w:w="1337"/>
        <w:gridCol w:w="1337"/>
      </w:tblGrid>
      <w:tr>
        <w:tc>
          <w:tcPr>
            <w:tcW w:w="1337" w:type="dxa"/>
            <w:shd w:fill="F4F6F9"/>
          </w:tcPr>
          <w:p>
            <w:pPr>
              <w:pStyle w:val="TableText"/>
            </w:pPr>
            <w:r>
              <w:t>Split</w:t>
            </w:r>
          </w:p>
        </w:tc>
        <w:tc>
          <w:tcPr>
            <w:tcW w:w="1337" w:type="dxa"/>
            <w:shd w:fill="F4F6F9"/>
          </w:tcPr>
          <w:p>
            <w:pPr>
              <w:pStyle w:val="TableText"/>
            </w:pPr>
            <w:r>
              <w:t>Images</w:t>
            </w:r>
          </w:p>
        </w:tc>
        <w:tc>
          <w:tcPr>
            <w:tcW w:w="1337" w:type="dxa"/>
            <w:shd w:fill="F4F6F9"/>
          </w:tcPr>
          <w:p>
            <w:pPr>
              <w:pStyle w:val="TableText"/>
            </w:pPr>
            <w:r>
              <w:t>Aortic enlargement</w:t>
            </w:r>
          </w:p>
        </w:tc>
        <w:tc>
          <w:tcPr>
            <w:tcW w:w="1337" w:type="dxa"/>
            <w:shd w:fill="F4F6F9"/>
          </w:tcPr>
          <w:p>
            <w:pPr>
              <w:pStyle w:val="TableText"/>
            </w:pPr>
            <w:r>
              <w:t>Cardiomegaly</w:t>
            </w:r>
          </w:p>
        </w:tc>
        <w:tc>
          <w:tcPr>
            <w:tcW w:w="1337" w:type="dxa"/>
            <w:shd w:fill="F4F6F9"/>
          </w:tcPr>
          <w:p>
            <w:pPr>
              <w:pStyle w:val="TableText"/>
            </w:pPr>
            <w:r>
              <w:t>Pleural thickening</w:t>
            </w:r>
          </w:p>
        </w:tc>
        <w:tc>
          <w:tcPr>
            <w:tcW w:w="1337" w:type="dxa"/>
            <w:shd w:fill="F4F6F9"/>
          </w:tcPr>
          <w:p>
            <w:pPr>
              <w:pStyle w:val="TableText"/>
            </w:pPr>
            <w:r>
              <w:t>Pulmonary fibrosis</w:t>
            </w:r>
          </w:p>
        </w:tc>
        <w:tc>
          <w:tcPr>
            <w:tcW w:w="1337" w:type="dxa"/>
            <w:shd w:fill="F4F6F9"/>
          </w:tcPr>
          <w:p>
            <w:pPr>
              <w:pStyle w:val="TableText"/>
            </w:pPr>
            <w:r>
              <w:t>Pleural effusion</w:t>
            </w:r>
          </w:p>
        </w:tc>
      </w:tr>
      <w:tr>
        <w:tc>
          <w:tcPr>
            <w:tcW w:w="1337" w:type="dxa"/>
          </w:tcPr>
          <w:p>
            <w:pPr>
              <w:pStyle w:val="TableText"/>
            </w:pPr>
            <w:r>
              <w:t>train</w:t>
            </w:r>
          </w:p>
        </w:tc>
        <w:tc>
          <w:tcPr>
            <w:tcW w:w="1337" w:type="dxa"/>
          </w:tcPr>
          <w:p>
            <w:pPr>
              <w:pStyle w:val="TableText"/>
            </w:pPr>
            <w:r>
              <w:t>472</w:t>
            </w:r>
          </w:p>
        </w:tc>
        <w:tc>
          <w:tcPr>
            <w:tcW w:w="1337" w:type="dxa"/>
          </w:tcPr>
          <w:p>
            <w:pPr>
              <w:pStyle w:val="TableText"/>
            </w:pPr>
            <w:r>
              <w:t>280</w:t>
            </w:r>
          </w:p>
        </w:tc>
        <w:tc>
          <w:tcPr>
            <w:tcW w:w="1337" w:type="dxa"/>
          </w:tcPr>
          <w:p>
            <w:pPr>
              <w:pStyle w:val="TableText"/>
            </w:pPr>
            <w:r>
              <w:t>279</w:t>
            </w:r>
          </w:p>
        </w:tc>
        <w:tc>
          <w:tcPr>
            <w:tcW w:w="1337" w:type="dxa"/>
          </w:tcPr>
          <w:p>
            <w:pPr>
              <w:pStyle w:val="TableText"/>
            </w:pPr>
            <w:r>
              <w:t>280</w:t>
            </w:r>
          </w:p>
        </w:tc>
        <w:tc>
          <w:tcPr>
            <w:tcW w:w="1337" w:type="dxa"/>
          </w:tcPr>
          <w:p>
            <w:pPr>
              <w:pStyle w:val="TableText"/>
            </w:pPr>
            <w:r>
              <w:t>278</w:t>
            </w:r>
          </w:p>
        </w:tc>
        <w:tc>
          <w:tcPr>
            <w:tcW w:w="1337" w:type="dxa"/>
          </w:tcPr>
          <w:p>
            <w:pPr>
              <w:pStyle w:val="TableText"/>
            </w:pPr>
            <w:r>
              <w:t>280</w:t>
            </w:r>
          </w:p>
        </w:tc>
      </w:tr>
      <w:tr>
        <w:tc>
          <w:tcPr>
            <w:tcW w:w="1337" w:type="dxa"/>
          </w:tcPr>
          <w:p>
            <w:pPr>
              <w:pStyle w:val="TableText"/>
            </w:pPr>
            <w:r>
              <w:t>val</w:t>
            </w:r>
          </w:p>
        </w:tc>
        <w:tc>
          <w:tcPr>
            <w:tcW w:w="1337" w:type="dxa"/>
          </w:tcPr>
          <w:p>
            <w:pPr>
              <w:pStyle w:val="TableText"/>
            </w:pPr>
            <w:r>
              <w:t>59</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r>
      <w:tr>
        <w:tc>
          <w:tcPr>
            <w:tcW w:w="1337" w:type="dxa"/>
          </w:tcPr>
          <w:p>
            <w:pPr>
              <w:pStyle w:val="TableText"/>
            </w:pPr>
            <w:r>
              <w:t>test</w:t>
            </w:r>
          </w:p>
        </w:tc>
        <w:tc>
          <w:tcPr>
            <w:tcW w:w="1337" w:type="dxa"/>
          </w:tcPr>
          <w:p>
            <w:pPr>
              <w:pStyle w:val="TableText"/>
            </w:pPr>
            <w:r>
              <w:t>59</w:t>
            </w:r>
          </w:p>
        </w:tc>
        <w:tc>
          <w:tcPr>
            <w:tcW w:w="1337" w:type="dxa"/>
          </w:tcPr>
          <w:p>
            <w:pPr>
              <w:pStyle w:val="TableText"/>
            </w:pPr>
            <w:r>
              <w:t>35</w:t>
            </w:r>
          </w:p>
        </w:tc>
        <w:tc>
          <w:tcPr>
            <w:tcW w:w="1337" w:type="dxa"/>
          </w:tcPr>
          <w:p>
            <w:pPr>
              <w:pStyle w:val="TableText"/>
            </w:pPr>
            <w:r>
              <w:t>35</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r>
    </w:tbl>
    <w:p>
      <w:pPr>
        <w:pStyle w:val="BodyText"/>
      </w:pPr>
      <w:r>
        <w:t>Full-image 階段使用完整胸腔 X 光影像，不使用 BBox、ROI crop 或資料增強。輸入影像 resize 為 [3,224,224]；模型輸出五個 raw logits，訓練 loss 為 BCEWithLogitsLoss，推論時使用 Sigmoid 取得五類獨立機率。</w:t>
      </w:r>
    </w:p>
    <w:p>
      <w:pPr>
        <w:pStyle w:val="Heading2"/>
      </w:pPr>
      <w:r>
        <w:t>3.14 Validation Threshold</w:t>
      </w:r>
    </w:p>
    <w:p>
      <w:pPr>
        <w:pStyle w:val="Caption"/>
      </w:pPr>
      <w:r>
        <w:t>表 7　Validation-tuned thresholds</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2340"/>
        <w:gridCol w:w="2340"/>
        <w:gridCol w:w="2340"/>
        <w:gridCol w:w="2340"/>
      </w:tblGrid>
      <w:tr>
        <w:tc>
          <w:tcPr>
            <w:tcW w:w="2340" w:type="dxa"/>
            <w:shd w:fill="F4F6F9"/>
          </w:tcPr>
          <w:p>
            <w:pPr>
              <w:pStyle w:val="TableText"/>
            </w:pPr>
            <w:r>
              <w:t>類別</w:t>
            </w:r>
          </w:p>
        </w:tc>
        <w:tc>
          <w:tcPr>
            <w:tcW w:w="2340" w:type="dxa"/>
            <w:shd w:fill="F4F6F9"/>
          </w:tcPr>
          <w:p>
            <w:pPr>
              <w:pStyle w:val="TableText"/>
            </w:pPr>
            <w:r>
              <w:t>Threshold</w:t>
            </w:r>
          </w:p>
        </w:tc>
        <w:tc>
          <w:tcPr>
            <w:tcW w:w="2340" w:type="dxa"/>
            <w:shd w:fill="F4F6F9"/>
          </w:tcPr>
          <w:p>
            <w:pPr>
              <w:pStyle w:val="TableText"/>
            </w:pPr>
            <w:r>
              <w:t>Validation F1</w:t>
            </w:r>
          </w:p>
        </w:tc>
        <w:tc>
          <w:tcPr>
            <w:tcW w:w="2340" w:type="dxa"/>
            <w:shd w:fill="F4F6F9"/>
          </w:tcPr>
          <w:p>
            <w:pPr>
              <w:pStyle w:val="TableText"/>
            </w:pPr>
            <w:r>
              <w:t>Tie break</w:t>
            </w:r>
          </w:p>
        </w:tc>
      </w:tr>
      <w:tr>
        <w:tc>
          <w:tcPr>
            <w:tcW w:w="2340" w:type="dxa"/>
          </w:tcPr>
          <w:p>
            <w:pPr>
              <w:pStyle w:val="TableText"/>
            </w:pPr>
            <w:r>
              <w:t>Aortic enlargement</w:t>
            </w:r>
          </w:p>
        </w:tc>
        <w:tc>
          <w:tcPr>
            <w:tcW w:w="2340" w:type="dxa"/>
          </w:tcPr>
          <w:p>
            <w:pPr>
              <w:pStyle w:val="TableText"/>
            </w:pPr>
            <w:r>
              <w:t>0.5</w:t>
            </w:r>
          </w:p>
        </w:tc>
        <w:tc>
          <w:tcPr>
            <w:tcW w:w="2340" w:type="dxa"/>
          </w:tcPr>
          <w:p>
            <w:pPr>
              <w:pStyle w:val="TableText"/>
            </w:pPr>
            <w:r>
              <w:t>0.8493</w:t>
            </w:r>
          </w:p>
        </w:tc>
        <w:tc>
          <w:tcPr>
            <w:tcW w:w="2340" w:type="dxa"/>
          </w:tcPr>
          <w:p>
            <w:pPr>
              <w:pStyle w:val="TableText"/>
            </w:pPr>
            <w:r>
              <w:t>closest_to_0.5_then_lower_threshold</w:t>
            </w:r>
          </w:p>
        </w:tc>
      </w:tr>
      <w:tr>
        <w:tc>
          <w:tcPr>
            <w:tcW w:w="2340" w:type="dxa"/>
          </w:tcPr>
          <w:p>
            <w:pPr>
              <w:pStyle w:val="TableText"/>
            </w:pPr>
            <w:r>
              <w:t>Cardiomegaly</w:t>
            </w:r>
          </w:p>
        </w:tc>
        <w:tc>
          <w:tcPr>
            <w:tcW w:w="2340" w:type="dxa"/>
          </w:tcPr>
          <w:p>
            <w:pPr>
              <w:pStyle w:val="TableText"/>
            </w:pPr>
            <w:r>
              <w:t>0.5</w:t>
            </w:r>
          </w:p>
        </w:tc>
        <w:tc>
          <w:tcPr>
            <w:tcW w:w="2340" w:type="dxa"/>
          </w:tcPr>
          <w:p>
            <w:pPr>
              <w:pStyle w:val="TableText"/>
            </w:pPr>
            <w:r>
              <w:t>0.9333</w:t>
            </w:r>
          </w:p>
        </w:tc>
        <w:tc>
          <w:tcPr>
            <w:tcW w:w="2340" w:type="dxa"/>
          </w:tcPr>
          <w:p>
            <w:pPr>
              <w:pStyle w:val="TableText"/>
            </w:pPr>
            <w:r>
              <w:t>closest_to_0.5_then_lower_threshold</w:t>
            </w:r>
          </w:p>
        </w:tc>
      </w:tr>
      <w:tr>
        <w:tc>
          <w:tcPr>
            <w:tcW w:w="2340" w:type="dxa"/>
          </w:tcPr>
          <w:p>
            <w:pPr>
              <w:pStyle w:val="TableText"/>
            </w:pPr>
            <w:r>
              <w:t>Pleural thickening</w:t>
            </w:r>
          </w:p>
        </w:tc>
        <w:tc>
          <w:tcPr>
            <w:tcW w:w="2340" w:type="dxa"/>
          </w:tcPr>
          <w:p>
            <w:pPr>
              <w:pStyle w:val="TableText"/>
            </w:pPr>
            <w:r>
              <w:t>0.39</w:t>
            </w:r>
          </w:p>
        </w:tc>
        <w:tc>
          <w:tcPr>
            <w:tcW w:w="2340" w:type="dxa"/>
          </w:tcPr>
          <w:p>
            <w:pPr>
              <w:pStyle w:val="TableText"/>
            </w:pPr>
            <w:r>
              <w:t>0.8767</w:t>
            </w:r>
          </w:p>
        </w:tc>
        <w:tc>
          <w:tcPr>
            <w:tcW w:w="2340" w:type="dxa"/>
          </w:tcPr>
          <w:p>
            <w:pPr>
              <w:pStyle w:val="TableText"/>
            </w:pPr>
            <w:r>
              <w:t>closest_to_0.5_then_lower_threshold</w:t>
            </w:r>
          </w:p>
        </w:tc>
      </w:tr>
      <w:tr>
        <w:tc>
          <w:tcPr>
            <w:tcW w:w="2340" w:type="dxa"/>
          </w:tcPr>
          <w:p>
            <w:pPr>
              <w:pStyle w:val="TableText"/>
            </w:pPr>
            <w:r>
              <w:t>Pulmonary fibrosis</w:t>
            </w:r>
          </w:p>
        </w:tc>
        <w:tc>
          <w:tcPr>
            <w:tcW w:w="2340" w:type="dxa"/>
          </w:tcPr>
          <w:p>
            <w:pPr>
              <w:pStyle w:val="TableText"/>
            </w:pPr>
            <w:r>
              <w:t>0.36</w:t>
            </w:r>
          </w:p>
        </w:tc>
        <w:tc>
          <w:tcPr>
            <w:tcW w:w="2340" w:type="dxa"/>
          </w:tcPr>
          <w:p>
            <w:pPr>
              <w:pStyle w:val="TableText"/>
            </w:pPr>
            <w:r>
              <w:t>0.8000</w:t>
            </w:r>
          </w:p>
        </w:tc>
        <w:tc>
          <w:tcPr>
            <w:tcW w:w="2340" w:type="dxa"/>
          </w:tcPr>
          <w:p>
            <w:pPr>
              <w:pStyle w:val="TableText"/>
            </w:pPr>
            <w:r>
              <w:t>closest_to_0.5_then_lower_threshold</w:t>
            </w:r>
          </w:p>
        </w:tc>
      </w:tr>
      <w:tr>
        <w:tc>
          <w:tcPr>
            <w:tcW w:w="2340" w:type="dxa"/>
          </w:tcPr>
          <w:p>
            <w:pPr>
              <w:pStyle w:val="TableText"/>
            </w:pPr>
            <w:r>
              <w:t>Pleural effusion</w:t>
            </w:r>
          </w:p>
        </w:tc>
        <w:tc>
          <w:tcPr>
            <w:tcW w:w="2340" w:type="dxa"/>
          </w:tcPr>
          <w:p>
            <w:pPr>
              <w:pStyle w:val="TableText"/>
            </w:pPr>
            <w:r>
              <w:t>0.34</w:t>
            </w:r>
          </w:p>
        </w:tc>
        <w:tc>
          <w:tcPr>
            <w:tcW w:w="2340" w:type="dxa"/>
          </w:tcPr>
          <w:p>
            <w:pPr>
              <w:pStyle w:val="TableText"/>
            </w:pPr>
            <w:r>
              <w:t>0.8919</w:t>
            </w:r>
          </w:p>
        </w:tc>
        <w:tc>
          <w:tcPr>
            <w:tcW w:w="2340" w:type="dxa"/>
          </w:tcPr>
          <w:p>
            <w:pPr>
              <w:pStyle w:val="TableText"/>
            </w:pPr>
            <w:r>
              <w:t>closest_to_0.5_then_lower_threshold</w:t>
            </w:r>
          </w:p>
        </w:tc>
      </w:tr>
    </w:tbl>
    <w:p>
      <w:pPr>
        <w:pStyle w:val="BodyText"/>
      </w:pPr>
      <w:r>
        <w:t>Threshold 搜尋範圍為 0.05 至 0.95，step 為 0.01；selection metric 為 per-class Validation F1。`validation_selected_thresholds.json` 顯示 `test_used` 為 False，因此 test set 未用於 threshold 選擇。</w:t>
      </w:r>
    </w:p>
    <w:p>
      <w:pPr>
        <w:pStyle w:val="Heading2"/>
      </w:pPr>
      <w:r>
        <w:t>3.15 評估指標</w:t>
      </w:r>
    </w:p>
    <w:p>
      <w:pPr>
        <w:pStyle w:val="BodyText"/>
      </w:pPr>
      <w:r>
        <w:t>ROI 單標籤分類使用 Accuracy、Macro-F1、Weighted-F1、Macro-AUROC 等指標。Full-image 多標籤分類使用 Macro-F1、Micro-F1、Exact Subset Accuracy、Hamming Loss、Macro-AUROC、Micro-AUROC 與各類 precision、recall、F1。Exact Subset Accuracy 表示一張影像所有標籤完全一致的比例，不能與 ROI 單標籤 Accuracy 直接等同。</w:t>
      </w:r>
    </w:p>
    <w:p>
      <w:pPr>
        <w:pStyle w:val="Heading2"/>
      </w:pPr>
      <w:r>
        <w:t>3.16 實驗環境</w:t>
      </w:r>
    </w:p>
    <w:p>
      <w:r>
        <w:t>本研究正式實驗環境依使用者確認資料與專案輸出紀錄整理如下。其中 GPU、CPU、RAM、Python、PyTorch 與 CUDA 為正式實驗環境資訊；未列入本表之作業系統版本、CUDA driver、cuDNN 與其他套件版本，若需作為正式環境資訊，仍保留為〔待確認〕。</w:t>
      </w:r>
    </w:p>
    <w:p>
      <w:r>
        <w:t>表 8　正式實驗環境與套件角色</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100"/>
        <w:gridCol w:w="3200"/>
        <w:gridCol w:w="4700"/>
      </w:tblGrid>
      <w:tr>
        <w:tc>
          <w:tcPr>
            <w:tcW w:w="2100" w:type="dxa"/>
            <w:shd w:fill="EAF2F8"/>
          </w:tcPr>
          <w:p>
            <w:r>
              <w:rPr>
                <w:b/>
              </w:rPr>
              <w:t>項目</w:t>
            </w:r>
          </w:p>
        </w:tc>
        <w:tc>
          <w:tcPr>
            <w:tcW w:w="3200" w:type="dxa"/>
            <w:shd w:fill="EAF2F8"/>
          </w:tcPr>
          <w:p>
            <w:r>
              <w:rPr>
                <w:b/>
              </w:rPr>
              <w:t>正式採用內容</w:t>
            </w:r>
          </w:p>
        </w:tc>
        <w:tc>
          <w:tcPr>
            <w:tcW w:w="4700" w:type="dxa"/>
            <w:shd w:fill="EAF2F8"/>
          </w:tcPr>
          <w:p>
            <w:r>
              <w:rPr>
                <w:b/>
              </w:rPr>
              <w:t>來源與備註</w:t>
            </w:r>
          </w:p>
        </w:tc>
      </w:tr>
      <w:tr>
        <w:tc>
          <w:tcPr>
            <w:tcW w:w="2100" w:type="dxa"/>
          </w:tcPr>
          <w:p>
            <w:r>
              <w:t>GPU</w:t>
            </w:r>
          </w:p>
        </w:tc>
        <w:tc>
          <w:tcPr>
            <w:tcW w:w="3200" w:type="dxa"/>
          </w:tcPr>
          <w:p>
            <w:r>
              <w:t>NVIDIA GeForce RTX 4060 Laptop GPU</w:t>
            </w:r>
          </w:p>
        </w:tc>
        <w:tc>
          <w:tcPr>
            <w:tcW w:w="4700" w:type="dxa"/>
          </w:tcPr>
          <w:p>
            <w:r>
              <w:t>使用者確認</w:t>
            </w:r>
          </w:p>
        </w:tc>
      </w:tr>
      <w:tr>
        <w:tc>
          <w:tcPr>
            <w:tcW w:w="2100" w:type="dxa"/>
          </w:tcPr>
          <w:p>
            <w:r>
              <w:t>GPU VRAM</w:t>
            </w:r>
          </w:p>
        </w:tc>
        <w:tc>
          <w:tcPr>
            <w:tcW w:w="3200" w:type="dxa"/>
          </w:tcPr>
          <w:p>
            <w:r>
              <w:t>約 8 GB</w:t>
            </w:r>
          </w:p>
        </w:tc>
        <w:tc>
          <w:tcPr>
            <w:tcW w:w="4700" w:type="dxa"/>
          </w:tcPr>
          <w:p>
            <w:r>
              <w:t>使用者確認</w:t>
            </w:r>
          </w:p>
        </w:tc>
      </w:tr>
      <w:tr>
        <w:tc>
          <w:tcPr>
            <w:tcW w:w="2100" w:type="dxa"/>
          </w:tcPr>
          <w:p>
            <w:r>
              <w:t>CPU</w:t>
            </w:r>
          </w:p>
        </w:tc>
        <w:tc>
          <w:tcPr>
            <w:tcW w:w="3200" w:type="dxa"/>
          </w:tcPr>
          <w:p>
            <w:r>
              <w:t>13th Gen Intel Core i7-13620H</w:t>
            </w:r>
          </w:p>
        </w:tc>
        <w:tc>
          <w:tcPr>
            <w:tcW w:w="4700" w:type="dxa"/>
          </w:tcPr>
          <w:p>
            <w:r>
              <w:t>使用者確認</w:t>
            </w:r>
          </w:p>
        </w:tc>
      </w:tr>
      <w:tr>
        <w:tc>
          <w:tcPr>
            <w:tcW w:w="2100" w:type="dxa"/>
          </w:tcPr>
          <w:p>
            <w:r>
              <w:t>RAM</w:t>
            </w:r>
          </w:p>
        </w:tc>
        <w:tc>
          <w:tcPr>
            <w:tcW w:w="3200" w:type="dxa"/>
          </w:tcPr>
          <w:p>
            <w:r>
              <w:t>16 GB</w:t>
            </w:r>
          </w:p>
        </w:tc>
        <w:tc>
          <w:tcPr>
            <w:tcW w:w="4700" w:type="dxa"/>
          </w:tcPr>
          <w:p>
            <w:r>
              <w:t>使用者確認</w:t>
            </w:r>
          </w:p>
        </w:tc>
      </w:tr>
      <w:tr>
        <w:tc>
          <w:tcPr>
            <w:tcW w:w="2100" w:type="dxa"/>
          </w:tcPr>
          <w:p>
            <w:r>
              <w:t>Python</w:t>
            </w:r>
          </w:p>
        </w:tc>
        <w:tc>
          <w:tcPr>
            <w:tcW w:w="3200" w:type="dxa"/>
          </w:tcPr>
          <w:p>
            <w:r>
              <w:t>3.12</w:t>
            </w:r>
          </w:p>
        </w:tc>
        <w:tc>
          <w:tcPr>
            <w:tcW w:w="4700" w:type="dxa"/>
          </w:tcPr>
          <w:p>
            <w:r>
              <w:t>使用者確認</w:t>
            </w:r>
          </w:p>
        </w:tc>
      </w:tr>
      <w:tr>
        <w:tc>
          <w:tcPr>
            <w:tcW w:w="2100" w:type="dxa"/>
          </w:tcPr>
          <w:p>
            <w:r>
              <w:t>PyTorch</w:t>
            </w:r>
          </w:p>
        </w:tc>
        <w:tc>
          <w:tcPr>
            <w:tcW w:w="3200" w:type="dxa"/>
          </w:tcPr>
          <w:p>
            <w:r>
              <w:t>2.6.0</w:t>
            </w:r>
          </w:p>
        </w:tc>
        <w:tc>
          <w:tcPr>
            <w:tcW w:w="4700" w:type="dxa"/>
          </w:tcPr>
          <w:p>
            <w:r>
              <w:t>使用者確認</w:t>
            </w:r>
          </w:p>
        </w:tc>
      </w:tr>
      <w:tr>
        <w:tc>
          <w:tcPr>
            <w:tcW w:w="2100" w:type="dxa"/>
          </w:tcPr>
          <w:p>
            <w:r>
              <w:t>CUDA</w:t>
            </w:r>
          </w:p>
        </w:tc>
        <w:tc>
          <w:tcPr>
            <w:tcW w:w="3200" w:type="dxa"/>
          </w:tcPr>
          <w:p>
            <w:r>
              <w:t>12.4</w:t>
            </w:r>
          </w:p>
        </w:tc>
        <w:tc>
          <w:tcPr>
            <w:tcW w:w="4700" w:type="dxa"/>
          </w:tcPr>
          <w:p>
            <w:r>
              <w:t>使用者確認</w:t>
            </w:r>
          </w:p>
        </w:tc>
      </w:tr>
    </w:tbl>
    <w:p>
      <w:r>
        <w:t>本節僅列入使用者正式確認之實驗環境資訊；其他套件及版本若無正式證據，不寫入主要實驗環境表。</w:t>
      </w:r>
    </w:p>
    <w:p>
      <w:pPr>
        <w:pStyle w:val="Heading1"/>
      </w:pPr>
      <w:r>
        <w:t>第四章　實驗結果與分析</w:t>
      </w:r>
    </w:p>
    <w:p>
      <w:pPr>
        <w:pStyle w:val="Heading2"/>
      </w:pPr>
      <w:r>
        <w:t>4.1 資料集統計</w:t>
      </w:r>
    </w:p>
    <w:p>
      <w:pPr>
        <w:pStyle w:val="BodyText"/>
      </w:pPr>
      <w:r>
        <w:t>ROI balanced dataset 的五類數量一致，均為 945 筆。Full-image 多標籤資料則為 472 張 train、59 張 validation、59 張 test；因為多標籤任務允許同一張影像同時具有多個陽性類別，所以每類 positive count 的總和會大於影像張數。</w:t>
      </w:r>
    </w:p>
    <w:p>
      <w:pPr>
        <w:pStyle w:val="Heading2"/>
      </w:pPr>
      <w:r>
        <w:t>4.2 CLS Distillation 結果</w:t>
      </w:r>
    </w:p>
    <w:p>
      <w:pPr>
        <w:pStyle w:val="BodyText"/>
      </w:pPr>
      <w:r>
        <w:t>CLS distillation 訓練完成 30 epochs，最佳 average distillation loss 為 0.0003958256，最佳 average cosine similarity 為 0.8480030057。此結果顯示 student 可在 CLS feature 層級學習 teacher 表徵，但該階段並非直接分類結果。</w:t>
      </w:r>
    </w:p>
    <w:p>
      <w:pPr>
        <w:pStyle w:val="Heading2"/>
      </w:pPr>
      <w:r>
        <w:t>4.3 Patch Distillation 結果</w:t>
      </w:r>
    </w:p>
    <w:p>
      <w:pPr>
        <w:pStyle w:val="BodyText"/>
      </w:pPr>
      <w:r>
        <w:t>Patch distillation 訓練完成 84 epochs，Epoch 84 的 monitor MSE 為 0.0002644237，monitor cosine 為 0.89846133。相較 CLS distillation，patch feature 目標保留空間結構，可作為後續 ROI Patch Proposed 與 Full-image transfer 的基礎。</w:t>
      </w:r>
    </w:p>
    <w:p>
      <w:pPr>
        <w:pStyle w:val="BodyText"/>
      </w:pPr>
      <w:r>
        <w:t>Phase 1 蒸餾結果集中於本章呈現：CLS distillation 完成 30 epochs，最佳 average distillation loss 為 0.0003958256，最佳 average cosine similarity 為 0.8480030057；Patch distillation 完成 84 epochs，Epoch 84 的 monitor MSE 為 0.0002644237，monitor cosine 為 0.89846133。這些數值屬於正式實驗結果，因此不再放入第三章方法設定表。</w:t>
      </w:r>
    </w:p>
    <w:p>
      <w:pPr>
        <w:pStyle w:val="Heading2"/>
      </w:pPr>
      <w:r>
        <w:t>4.4 ROI 三模型整體結果</w:t>
      </w:r>
    </w:p>
    <w:p>
      <w:pPr>
        <w:pStyle w:val="Caption"/>
      </w:pPr>
      <w:r>
        <w:t>表 8　ROI 三模型正式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560"/>
        <w:gridCol w:w="1560"/>
        <w:gridCol w:w="1560"/>
        <w:gridCol w:w="1560"/>
        <w:gridCol w:w="1560"/>
        <w:gridCol w:w="1560"/>
      </w:tblGrid>
      <w:tr>
        <w:tc>
          <w:tcPr>
            <w:tcW w:w="1560" w:type="dxa"/>
            <w:shd w:fill="F4F6F9"/>
          </w:tcPr>
          <w:p>
            <w:pPr>
              <w:pStyle w:val="TableText"/>
            </w:pPr>
            <w:r>
              <w:t>模型</w:t>
            </w:r>
          </w:p>
        </w:tc>
        <w:tc>
          <w:tcPr>
            <w:tcW w:w="1560" w:type="dxa"/>
            <w:shd w:fill="F4F6F9"/>
          </w:tcPr>
          <w:p>
            <w:pPr>
              <w:pStyle w:val="TableText"/>
            </w:pPr>
            <w:r>
              <w:t>Loss</w:t>
            </w:r>
          </w:p>
        </w:tc>
        <w:tc>
          <w:tcPr>
            <w:tcW w:w="1560" w:type="dxa"/>
            <w:shd w:fill="F4F6F9"/>
          </w:tcPr>
          <w:p>
            <w:pPr>
              <w:pStyle w:val="TableText"/>
            </w:pPr>
            <w:r>
              <w:t>Accuracy</w:t>
            </w:r>
          </w:p>
        </w:tc>
        <w:tc>
          <w:tcPr>
            <w:tcW w:w="1560" w:type="dxa"/>
            <w:shd w:fill="F4F6F9"/>
          </w:tcPr>
          <w:p>
            <w:pPr>
              <w:pStyle w:val="TableText"/>
            </w:pPr>
            <w:r>
              <w:t>Macro-F1</w:t>
            </w:r>
          </w:p>
        </w:tc>
        <w:tc>
          <w:tcPr>
            <w:tcW w:w="1560" w:type="dxa"/>
            <w:shd w:fill="F4F6F9"/>
          </w:tcPr>
          <w:p>
            <w:pPr>
              <w:pStyle w:val="TableText"/>
            </w:pPr>
            <w:r>
              <w:t>Weighted-F1</w:t>
            </w:r>
          </w:p>
        </w:tc>
        <w:tc>
          <w:tcPr>
            <w:tcW w:w="1560" w:type="dxa"/>
            <w:shd w:fill="F4F6F9"/>
          </w:tcPr>
          <w:p>
            <w:pPr>
              <w:pStyle w:val="TableText"/>
            </w:pPr>
            <w:r>
              <w:t>Macro-AUROC</w:t>
            </w:r>
          </w:p>
        </w:tc>
      </w:tr>
      <w:tr>
        <w:tc>
          <w:tcPr>
            <w:tcW w:w="1560" w:type="dxa"/>
          </w:tcPr>
          <w:p>
            <w:pPr>
              <w:pStyle w:val="TableText"/>
            </w:pPr>
            <w:r>
              <w:t>ImageNet Baseline</w:t>
            </w:r>
          </w:p>
        </w:tc>
        <w:tc>
          <w:tcPr>
            <w:tcW w:w="1560" w:type="dxa"/>
          </w:tcPr>
          <w:p>
            <w:pPr>
              <w:pStyle w:val="TableText"/>
            </w:pPr>
            <w:r>
              <w:t>0.6040</w:t>
            </w:r>
          </w:p>
        </w:tc>
        <w:tc>
          <w:tcPr>
            <w:tcW w:w="1560" w:type="dxa"/>
          </w:tcPr>
          <w:p>
            <w:pPr>
              <w:pStyle w:val="TableText"/>
            </w:pPr>
            <w:r>
              <w:t>0.7996</w:t>
            </w:r>
          </w:p>
        </w:tc>
        <w:tc>
          <w:tcPr>
            <w:tcW w:w="1560" w:type="dxa"/>
          </w:tcPr>
          <w:p>
            <w:pPr>
              <w:pStyle w:val="TableText"/>
            </w:pPr>
            <w:r>
              <w:t>0.8080</w:t>
            </w:r>
          </w:p>
        </w:tc>
        <w:tc>
          <w:tcPr>
            <w:tcW w:w="1560" w:type="dxa"/>
          </w:tcPr>
          <w:p>
            <w:pPr>
              <w:pStyle w:val="TableText"/>
            </w:pPr>
            <w:r>
              <w:t>0.7904</w:t>
            </w:r>
          </w:p>
        </w:tc>
        <w:tc>
          <w:tcPr>
            <w:tcW w:w="1560" w:type="dxa"/>
          </w:tcPr>
          <w:p>
            <w:pPr>
              <w:pStyle w:val="TableText"/>
            </w:pPr>
            <w:r>
              <w:t>0.9484</w:t>
            </w:r>
          </w:p>
        </w:tc>
      </w:tr>
      <w:tr>
        <w:tc>
          <w:tcPr>
            <w:tcW w:w="1560" w:type="dxa"/>
          </w:tcPr>
          <w:p>
            <w:pPr>
              <w:pStyle w:val="TableText"/>
            </w:pPr>
            <w:r>
              <w:t>RAD-DINO CLS Proposed</w:t>
            </w:r>
          </w:p>
        </w:tc>
        <w:tc>
          <w:tcPr>
            <w:tcW w:w="1560" w:type="dxa"/>
          </w:tcPr>
          <w:p>
            <w:pPr>
              <w:pStyle w:val="TableText"/>
            </w:pPr>
            <w:r>
              <w:t>0.5315</w:t>
            </w:r>
          </w:p>
        </w:tc>
        <w:tc>
          <w:tcPr>
            <w:tcW w:w="1560" w:type="dxa"/>
          </w:tcPr>
          <w:p>
            <w:pPr>
              <w:pStyle w:val="TableText"/>
            </w:pPr>
            <w:r>
              <w:t>0.7930</w:t>
            </w:r>
          </w:p>
        </w:tc>
        <w:tc>
          <w:tcPr>
            <w:tcW w:w="1560" w:type="dxa"/>
          </w:tcPr>
          <w:p>
            <w:pPr>
              <w:pStyle w:val="TableText"/>
            </w:pPr>
            <w:r>
              <w:t>0.8017</w:t>
            </w:r>
          </w:p>
        </w:tc>
        <w:tc>
          <w:tcPr>
            <w:tcW w:w="1560" w:type="dxa"/>
          </w:tcPr>
          <w:p>
            <w:pPr>
              <w:pStyle w:val="TableText"/>
            </w:pPr>
            <w:r>
              <w:t>0.7844</w:t>
            </w:r>
          </w:p>
        </w:tc>
        <w:tc>
          <w:tcPr>
            <w:tcW w:w="1560" w:type="dxa"/>
          </w:tcPr>
          <w:p>
            <w:pPr>
              <w:pStyle w:val="TableText"/>
            </w:pPr>
            <w:r>
              <w:t>0.9507</w:t>
            </w:r>
          </w:p>
        </w:tc>
      </w:tr>
      <w:tr>
        <w:tc>
          <w:tcPr>
            <w:tcW w:w="1560" w:type="dxa"/>
          </w:tcPr>
          <w:p>
            <w:pPr>
              <w:pStyle w:val="TableText"/>
            </w:pPr>
            <w:r>
              <w:t>RAD-DINO Patch Proposed</w:t>
            </w:r>
          </w:p>
        </w:tc>
        <w:tc>
          <w:tcPr>
            <w:tcW w:w="1560" w:type="dxa"/>
          </w:tcPr>
          <w:p>
            <w:pPr>
              <w:pStyle w:val="TableText"/>
            </w:pPr>
            <w:r>
              <w:t>0.5214</w:t>
            </w:r>
          </w:p>
        </w:tc>
        <w:tc>
          <w:tcPr>
            <w:tcW w:w="1560" w:type="dxa"/>
          </w:tcPr>
          <w:p>
            <w:pPr>
              <w:pStyle w:val="TableText"/>
            </w:pPr>
            <w:r>
              <w:t>0.7996</w:t>
            </w:r>
          </w:p>
        </w:tc>
        <w:tc>
          <w:tcPr>
            <w:tcW w:w="1560" w:type="dxa"/>
          </w:tcPr>
          <w:p>
            <w:pPr>
              <w:pStyle w:val="TableText"/>
            </w:pPr>
            <w:r>
              <w:t>0.8053</w:t>
            </w:r>
          </w:p>
        </w:tc>
        <w:tc>
          <w:tcPr>
            <w:tcW w:w="1560" w:type="dxa"/>
          </w:tcPr>
          <w:p>
            <w:pPr>
              <w:pStyle w:val="TableText"/>
            </w:pPr>
            <w:r>
              <w:t>0.7918</w:t>
            </w:r>
          </w:p>
        </w:tc>
        <w:tc>
          <w:tcPr>
            <w:tcW w:w="1560" w:type="dxa"/>
          </w:tcPr>
          <w:p>
            <w:pPr>
              <w:pStyle w:val="TableText"/>
            </w:pPr>
            <w:r>
              <w:t>0.9506</w:t>
            </w:r>
          </w:p>
        </w:tc>
      </w:tr>
    </w:tbl>
    <w:p>
      <w:pPr>
        <w:pStyle w:val="BodyText"/>
      </w:pPr>
      <w:r>
        <w:t>三模型在 test Accuracy 上，ImageNet Baseline 與 RAD-DINO Patch Proposed 均為 0.7996；RAD-DINO CLS Proposed 為 0.7930。Macro-F1 最高為 ImageNet Baseline 的 0.8080，Patch Proposed 為 0.8053。Patch Proposed 在 Weighted-F1 與 Macro-AUROC 具競爭力，但不可描述為全面勝過 Baseline。</w:t>
      </w:r>
    </w:p>
    <w:p>
      <w:pPr>
        <w:pStyle w:val="Heading2"/>
      </w:pPr>
      <w:r>
        <w:t>4.5 ROI 各類別結果</w:t>
      </w:r>
    </w:p>
    <w:p>
      <w:pPr>
        <w:pStyle w:val="Caption"/>
      </w:pPr>
      <w:r>
        <w:t>表 9　ROI per-class F1 比較</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類別</w:t>
            </w:r>
          </w:p>
        </w:tc>
        <w:tc>
          <w:tcPr>
            <w:tcW w:w="1872" w:type="dxa"/>
            <w:shd w:fill="F4F6F9"/>
          </w:tcPr>
          <w:p>
            <w:pPr>
              <w:pStyle w:val="TableText"/>
            </w:pPr>
            <w:r>
              <w:t>Baseline</w:t>
            </w:r>
          </w:p>
        </w:tc>
        <w:tc>
          <w:tcPr>
            <w:tcW w:w="1872" w:type="dxa"/>
            <w:shd w:fill="F4F6F9"/>
          </w:tcPr>
          <w:p>
            <w:pPr>
              <w:pStyle w:val="TableText"/>
            </w:pPr>
            <w:r>
              <w:t>CLS Proposed</w:t>
            </w:r>
          </w:p>
        </w:tc>
        <w:tc>
          <w:tcPr>
            <w:tcW w:w="1872" w:type="dxa"/>
            <w:shd w:fill="F4F6F9"/>
          </w:tcPr>
          <w:p>
            <w:pPr>
              <w:pStyle w:val="TableText"/>
            </w:pPr>
            <w:r>
              <w:t>Patch Proposed</w:t>
            </w:r>
          </w:p>
        </w:tc>
        <w:tc>
          <w:tcPr>
            <w:tcW w:w="1872" w:type="dxa"/>
            <w:shd w:fill="F4F6F9"/>
          </w:tcPr>
          <w:p>
            <w:pPr>
              <w:pStyle w:val="TableText"/>
            </w:pPr>
            <w:r>
              <w:t>Patch-Baseline</w:t>
            </w:r>
          </w:p>
        </w:tc>
      </w:tr>
      <w:tr>
        <w:tc>
          <w:tcPr>
            <w:tcW w:w="1872" w:type="dxa"/>
          </w:tcPr>
          <w:p>
            <w:pPr>
              <w:pStyle w:val="TableText"/>
            </w:pPr>
            <w:r>
              <w:t>Aortic enlargement</w:t>
            </w:r>
          </w:p>
        </w:tc>
        <w:tc>
          <w:tcPr>
            <w:tcW w:w="1872" w:type="dxa"/>
          </w:tcPr>
          <w:p>
            <w:pPr>
              <w:pStyle w:val="TableText"/>
            </w:pPr>
            <w:r>
              <w:t>0.9872</w:t>
            </w:r>
          </w:p>
        </w:tc>
        <w:tc>
          <w:tcPr>
            <w:tcW w:w="1872" w:type="dxa"/>
          </w:tcPr>
          <w:p>
            <w:pPr>
              <w:pStyle w:val="TableText"/>
            </w:pPr>
            <w:r>
              <w:t>0.9872</w:t>
            </w:r>
          </w:p>
        </w:tc>
        <w:tc>
          <w:tcPr>
            <w:tcW w:w="1872" w:type="dxa"/>
          </w:tcPr>
          <w:p>
            <w:pPr>
              <w:pStyle w:val="TableText"/>
            </w:pPr>
            <w:r>
              <w:t>0.9872</w:t>
            </w:r>
          </w:p>
        </w:tc>
        <w:tc>
          <w:tcPr>
            <w:tcW w:w="1872" w:type="dxa"/>
          </w:tcPr>
          <w:p>
            <w:pPr>
              <w:pStyle w:val="TableText"/>
            </w:pPr>
            <w:r>
              <w:t>0.0000</w:t>
            </w:r>
          </w:p>
        </w:tc>
      </w:tr>
      <w:tr>
        <w:tc>
          <w:tcPr>
            <w:tcW w:w="1872" w:type="dxa"/>
          </w:tcPr>
          <w:p>
            <w:pPr>
              <w:pStyle w:val="TableText"/>
            </w:pPr>
            <w:r>
              <w:t>Cardiomegaly</w:t>
            </w:r>
          </w:p>
        </w:tc>
        <w:tc>
          <w:tcPr>
            <w:tcW w:w="1872" w:type="dxa"/>
          </w:tcPr>
          <w:p>
            <w:pPr>
              <w:pStyle w:val="TableText"/>
            </w:pPr>
            <w:r>
              <w:t>0.9872</w:t>
            </w:r>
          </w:p>
        </w:tc>
        <w:tc>
          <w:tcPr>
            <w:tcW w:w="1872" w:type="dxa"/>
          </w:tcPr>
          <w:p>
            <w:pPr>
              <w:pStyle w:val="TableText"/>
            </w:pPr>
            <w:r>
              <w:t>0.9935</w:t>
            </w:r>
          </w:p>
        </w:tc>
        <w:tc>
          <w:tcPr>
            <w:tcW w:w="1872" w:type="dxa"/>
          </w:tcPr>
          <w:p>
            <w:pPr>
              <w:pStyle w:val="TableText"/>
            </w:pPr>
            <w:r>
              <w:t>0.9935</w:t>
            </w:r>
          </w:p>
        </w:tc>
        <w:tc>
          <w:tcPr>
            <w:tcW w:w="1872" w:type="dxa"/>
          </w:tcPr>
          <w:p>
            <w:pPr>
              <w:pStyle w:val="TableText"/>
            </w:pPr>
            <w:r>
              <w:t>0.0064</w:t>
            </w:r>
          </w:p>
        </w:tc>
      </w:tr>
      <w:tr>
        <w:tc>
          <w:tcPr>
            <w:tcW w:w="1872" w:type="dxa"/>
          </w:tcPr>
          <w:p>
            <w:pPr>
              <w:pStyle w:val="TableText"/>
            </w:pPr>
            <w:r>
              <w:t>Pleural thickening</w:t>
            </w:r>
          </w:p>
        </w:tc>
        <w:tc>
          <w:tcPr>
            <w:tcW w:w="1872" w:type="dxa"/>
          </w:tcPr>
          <w:p>
            <w:pPr>
              <w:pStyle w:val="TableText"/>
            </w:pPr>
            <w:r>
              <w:t>0.5455</w:t>
            </w:r>
          </w:p>
        </w:tc>
        <w:tc>
          <w:tcPr>
            <w:tcW w:w="1872" w:type="dxa"/>
          </w:tcPr>
          <w:p>
            <w:pPr>
              <w:pStyle w:val="TableText"/>
            </w:pPr>
            <w:r>
              <w:t>0.5417</w:t>
            </w:r>
          </w:p>
        </w:tc>
        <w:tc>
          <w:tcPr>
            <w:tcW w:w="1872" w:type="dxa"/>
          </w:tcPr>
          <w:p>
            <w:pPr>
              <w:pStyle w:val="TableText"/>
            </w:pPr>
            <w:r>
              <w:t>0.6019</w:t>
            </w:r>
          </w:p>
        </w:tc>
        <w:tc>
          <w:tcPr>
            <w:tcW w:w="1872" w:type="dxa"/>
          </w:tcPr>
          <w:p>
            <w:pPr>
              <w:pStyle w:val="TableText"/>
            </w:pPr>
            <w:r>
              <w:t>0.0564</w:t>
            </w:r>
          </w:p>
        </w:tc>
      </w:tr>
      <w:tr>
        <w:tc>
          <w:tcPr>
            <w:tcW w:w="1872" w:type="dxa"/>
          </w:tcPr>
          <w:p>
            <w:pPr>
              <w:pStyle w:val="TableText"/>
            </w:pPr>
            <w:r>
              <w:t>Pulmonary fibrosis</w:t>
            </w:r>
          </w:p>
        </w:tc>
        <w:tc>
          <w:tcPr>
            <w:tcW w:w="1872" w:type="dxa"/>
          </w:tcPr>
          <w:p>
            <w:pPr>
              <w:pStyle w:val="TableText"/>
            </w:pPr>
            <w:r>
              <w:t>0.8646</w:t>
            </w:r>
          </w:p>
        </w:tc>
        <w:tc>
          <w:tcPr>
            <w:tcW w:w="1872" w:type="dxa"/>
          </w:tcPr>
          <w:p>
            <w:pPr>
              <w:pStyle w:val="TableText"/>
            </w:pPr>
            <w:r>
              <w:t>0.8621</w:t>
            </w:r>
          </w:p>
        </w:tc>
        <w:tc>
          <w:tcPr>
            <w:tcW w:w="1872" w:type="dxa"/>
          </w:tcPr>
          <w:p>
            <w:pPr>
              <w:pStyle w:val="TableText"/>
            </w:pPr>
            <w:r>
              <w:t>0.8644</w:t>
            </w:r>
          </w:p>
        </w:tc>
        <w:tc>
          <w:tcPr>
            <w:tcW w:w="1872" w:type="dxa"/>
          </w:tcPr>
          <w:p>
            <w:pPr>
              <w:pStyle w:val="TableText"/>
            </w:pPr>
            <w:r>
              <w:t>-0.0002</w:t>
            </w:r>
          </w:p>
        </w:tc>
      </w:tr>
      <w:tr>
        <w:tc>
          <w:tcPr>
            <w:tcW w:w="1872" w:type="dxa"/>
          </w:tcPr>
          <w:p>
            <w:pPr>
              <w:pStyle w:val="TableText"/>
            </w:pPr>
            <w:r>
              <w:t>Pleural effusion</w:t>
            </w:r>
          </w:p>
        </w:tc>
        <w:tc>
          <w:tcPr>
            <w:tcW w:w="1872" w:type="dxa"/>
          </w:tcPr>
          <w:p>
            <w:pPr>
              <w:pStyle w:val="TableText"/>
            </w:pPr>
            <w:r>
              <w:t>0.6556</w:t>
            </w:r>
          </w:p>
        </w:tc>
        <w:tc>
          <w:tcPr>
            <w:tcW w:w="1872" w:type="dxa"/>
          </w:tcPr>
          <w:p>
            <w:pPr>
              <w:pStyle w:val="TableText"/>
            </w:pPr>
            <w:r>
              <w:t>0.6243</w:t>
            </w:r>
          </w:p>
        </w:tc>
        <w:tc>
          <w:tcPr>
            <w:tcW w:w="1872" w:type="dxa"/>
          </w:tcPr>
          <w:p>
            <w:pPr>
              <w:pStyle w:val="TableText"/>
            </w:pPr>
            <w:r>
              <w:t>0.5793</w:t>
            </w:r>
          </w:p>
        </w:tc>
        <w:tc>
          <w:tcPr>
            <w:tcW w:w="1872" w:type="dxa"/>
          </w:tcPr>
          <w:p>
            <w:pPr>
              <w:pStyle w:val="TableText"/>
            </w:pPr>
            <w:r>
              <w:t>-0.0762</w:t>
            </w:r>
          </w:p>
        </w:tc>
      </w:tr>
    </w:tbl>
    <w:p>
      <w:pPr>
        <w:pStyle w:val="BodyText"/>
      </w:pPr>
      <w:r>
        <w:t>Per-class F1 顯示 Patch Proposed 在 Pleural thickening 類別相對 Baseline 提升 0.0564，但在 Pleural effusion 類別低於 Baseline。此結果支持較細緻的疾病別討論，而不支持單一結論式宣稱。</w:t>
      </w:r>
    </w:p>
    <w:p>
      <w:pPr>
        <w:pStyle w:val="Heading2"/>
      </w:pPr>
      <w:r>
        <w:t>4.6 Bootstrap 分析</w:t>
      </w:r>
    </w:p>
    <w:p>
      <w:pPr>
        <w:pStyle w:val="Caption"/>
      </w:pPr>
      <w:r>
        <w:t>表 10　ROI cluster bootstrap 95% CI 摘要</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比較</w:t>
            </w:r>
          </w:p>
        </w:tc>
        <w:tc>
          <w:tcPr>
            <w:tcW w:w="1872" w:type="dxa"/>
            <w:shd w:fill="F4F6F9"/>
          </w:tcPr>
          <w:p>
            <w:pPr>
              <w:pStyle w:val="TableText"/>
            </w:pPr>
            <w:r>
              <w:t>指標</w:t>
            </w:r>
          </w:p>
        </w:tc>
        <w:tc>
          <w:tcPr>
            <w:tcW w:w="1872" w:type="dxa"/>
            <w:shd w:fill="F4F6F9"/>
          </w:tcPr>
          <w:p>
            <w:pPr>
              <w:pStyle w:val="TableText"/>
            </w:pPr>
            <w:r>
              <w:t>Point diff</w:t>
            </w:r>
          </w:p>
        </w:tc>
        <w:tc>
          <w:tcPr>
            <w:tcW w:w="1872" w:type="dxa"/>
            <w:shd w:fill="F4F6F9"/>
          </w:tcPr>
          <w:p>
            <w:pPr>
              <w:pStyle w:val="TableText"/>
            </w:pPr>
            <w:r>
              <w:t>95% CI</w:t>
            </w:r>
          </w:p>
        </w:tc>
        <w:tc>
          <w:tcPr>
            <w:tcW w:w="1872" w:type="dxa"/>
            <w:shd w:fill="F4F6F9"/>
          </w:tcPr>
          <w:p>
            <w:pPr>
              <w:pStyle w:val="TableText"/>
            </w:pPr>
            <w:r>
              <w:t>CI includes zero</w:t>
            </w:r>
          </w:p>
        </w:tc>
      </w:tr>
      <w:tr>
        <w:tc>
          <w:tcPr>
            <w:tcW w:w="1872" w:type="dxa"/>
          </w:tcPr>
          <w:p>
            <w:pPr>
              <w:pStyle w:val="TableText"/>
            </w:pPr>
            <w:r>
              <w:t>cls_minus_baseline</w:t>
            </w:r>
          </w:p>
        </w:tc>
        <w:tc>
          <w:tcPr>
            <w:tcW w:w="1872" w:type="dxa"/>
          </w:tcPr>
          <w:p>
            <w:pPr>
              <w:pStyle w:val="TableText"/>
            </w:pPr>
            <w:r>
              <w:t>accuracy</w:t>
            </w:r>
          </w:p>
        </w:tc>
        <w:tc>
          <w:tcPr>
            <w:tcW w:w="1872" w:type="dxa"/>
          </w:tcPr>
          <w:p>
            <w:pPr>
              <w:pStyle w:val="TableText"/>
            </w:pPr>
            <w:r>
              <w:t>-0.0066</w:t>
            </w:r>
          </w:p>
        </w:tc>
        <w:tc>
          <w:tcPr>
            <w:tcW w:w="1872" w:type="dxa"/>
          </w:tcPr>
          <w:p>
            <w:pPr>
              <w:pStyle w:val="TableText"/>
            </w:pPr>
            <w:r>
              <w:t>[-0.030769927536, 0.015789473684]</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macro_f1</w:t>
            </w:r>
          </w:p>
        </w:tc>
        <w:tc>
          <w:tcPr>
            <w:tcW w:w="1872" w:type="dxa"/>
          </w:tcPr>
          <w:p>
            <w:pPr>
              <w:pStyle w:val="TableText"/>
            </w:pPr>
            <w:r>
              <w:t>-0.0063</w:t>
            </w:r>
          </w:p>
        </w:tc>
        <w:tc>
          <w:tcPr>
            <w:tcW w:w="1872" w:type="dxa"/>
          </w:tcPr>
          <w:p>
            <w:pPr>
              <w:pStyle w:val="TableText"/>
            </w:pPr>
            <w:r>
              <w:t>[-0.030895667806, 0.015569776605]</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weighted_f1</w:t>
            </w:r>
          </w:p>
        </w:tc>
        <w:tc>
          <w:tcPr>
            <w:tcW w:w="1872" w:type="dxa"/>
          </w:tcPr>
          <w:p>
            <w:pPr>
              <w:pStyle w:val="TableText"/>
            </w:pPr>
            <w:r>
              <w:t>-0.0060</w:t>
            </w:r>
          </w:p>
        </w:tc>
        <w:tc>
          <w:tcPr>
            <w:tcW w:w="1872" w:type="dxa"/>
          </w:tcPr>
          <w:p>
            <w:pPr>
              <w:pStyle w:val="TableText"/>
            </w:pPr>
            <w:r>
              <w:t>[-0.034069006804, 0.016931740776]</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macro_auroc</w:t>
            </w:r>
          </w:p>
        </w:tc>
        <w:tc>
          <w:tcPr>
            <w:tcW w:w="1872" w:type="dxa"/>
          </w:tcPr>
          <w:p>
            <w:pPr>
              <w:pStyle w:val="TableText"/>
            </w:pPr>
            <w:r>
              <w:t>0.0022</w:t>
            </w:r>
          </w:p>
        </w:tc>
        <w:tc>
          <w:tcPr>
            <w:tcW w:w="1872" w:type="dxa"/>
          </w:tcPr>
          <w:p>
            <w:pPr>
              <w:pStyle w:val="TableText"/>
            </w:pPr>
            <w:r>
              <w:t>[-0.003352231600, 0.007290816853]</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accuracy</w:t>
            </w:r>
          </w:p>
        </w:tc>
        <w:tc>
          <w:tcPr>
            <w:tcW w:w="1872" w:type="dxa"/>
          </w:tcPr>
          <w:p>
            <w:pPr>
              <w:pStyle w:val="TableText"/>
            </w:pPr>
            <w:r>
              <w:t>0.0000</w:t>
            </w:r>
          </w:p>
        </w:tc>
        <w:tc>
          <w:tcPr>
            <w:tcW w:w="1872" w:type="dxa"/>
          </w:tcPr>
          <w:p>
            <w:pPr>
              <w:pStyle w:val="TableText"/>
            </w:pPr>
            <w:r>
              <w:t>[-0.023986045537, 0.026727549316]</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macro_f1</w:t>
            </w:r>
          </w:p>
        </w:tc>
        <w:tc>
          <w:tcPr>
            <w:tcW w:w="1872" w:type="dxa"/>
          </w:tcPr>
          <w:p>
            <w:pPr>
              <w:pStyle w:val="TableText"/>
            </w:pPr>
            <w:r>
              <w:t>-0.0027</w:t>
            </w:r>
          </w:p>
        </w:tc>
        <w:tc>
          <w:tcPr>
            <w:tcW w:w="1872" w:type="dxa"/>
          </w:tcPr>
          <w:p>
            <w:pPr>
              <w:pStyle w:val="TableText"/>
            </w:pPr>
            <w:r>
              <w:t>[-0.028549714353, 0.022868364608]</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weighted_f1</w:t>
            </w:r>
          </w:p>
        </w:tc>
        <w:tc>
          <w:tcPr>
            <w:tcW w:w="1872" w:type="dxa"/>
          </w:tcPr>
          <w:p>
            <w:pPr>
              <w:pStyle w:val="TableText"/>
            </w:pPr>
            <w:r>
              <w:t>0.0014</w:t>
            </w:r>
          </w:p>
        </w:tc>
        <w:tc>
          <w:tcPr>
            <w:tcW w:w="1872" w:type="dxa"/>
          </w:tcPr>
          <w:p>
            <w:pPr>
              <w:pStyle w:val="TableText"/>
            </w:pPr>
            <w:r>
              <w:t>[-0.024854160144, 0.028199338993]</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macro_auroc</w:t>
            </w:r>
          </w:p>
        </w:tc>
        <w:tc>
          <w:tcPr>
            <w:tcW w:w="1872" w:type="dxa"/>
          </w:tcPr>
          <w:p>
            <w:pPr>
              <w:pStyle w:val="TableText"/>
            </w:pPr>
            <w:r>
              <w:t>0.0022</w:t>
            </w:r>
          </w:p>
        </w:tc>
        <w:tc>
          <w:tcPr>
            <w:tcW w:w="1872" w:type="dxa"/>
          </w:tcPr>
          <w:p>
            <w:pPr>
              <w:pStyle w:val="TableText"/>
            </w:pPr>
            <w:r>
              <w:t>[-0.006250717996, 0.010777456840]</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accuracy</w:t>
            </w:r>
          </w:p>
        </w:tc>
        <w:tc>
          <w:tcPr>
            <w:tcW w:w="1872" w:type="dxa"/>
          </w:tcPr>
          <w:p>
            <w:pPr>
              <w:pStyle w:val="TableText"/>
            </w:pPr>
            <w:r>
              <w:t>0.0066</w:t>
            </w:r>
          </w:p>
        </w:tc>
        <w:tc>
          <w:tcPr>
            <w:tcW w:w="1872" w:type="dxa"/>
          </w:tcPr>
          <w:p>
            <w:pPr>
              <w:pStyle w:val="TableText"/>
            </w:pPr>
            <w:r>
              <w:t>[-0.020179938397, 0.028283304746]</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macro_f1</w:t>
            </w:r>
          </w:p>
        </w:tc>
        <w:tc>
          <w:tcPr>
            <w:tcW w:w="1872" w:type="dxa"/>
          </w:tcPr>
          <w:p>
            <w:pPr>
              <w:pStyle w:val="TableText"/>
            </w:pPr>
            <w:r>
              <w:t>0.0035</w:t>
            </w:r>
          </w:p>
        </w:tc>
        <w:tc>
          <w:tcPr>
            <w:tcW w:w="1872" w:type="dxa"/>
          </w:tcPr>
          <w:p>
            <w:pPr>
              <w:pStyle w:val="TableText"/>
            </w:pPr>
            <w:r>
              <w:t>[-0.025049546407, 0.027493963367]</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weighted_f1</w:t>
            </w:r>
          </w:p>
        </w:tc>
        <w:tc>
          <w:tcPr>
            <w:tcW w:w="1872" w:type="dxa"/>
          </w:tcPr>
          <w:p>
            <w:pPr>
              <w:pStyle w:val="TableText"/>
            </w:pPr>
            <w:r>
              <w:t>0.0074</w:t>
            </w:r>
          </w:p>
        </w:tc>
        <w:tc>
          <w:tcPr>
            <w:tcW w:w="1872" w:type="dxa"/>
          </w:tcPr>
          <w:p>
            <w:pPr>
              <w:pStyle w:val="TableText"/>
            </w:pPr>
            <w:r>
              <w:t>[-0.023130412620, 0.034038887993]</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macro_auroc</w:t>
            </w:r>
          </w:p>
        </w:tc>
        <w:tc>
          <w:tcPr>
            <w:tcW w:w="1872" w:type="dxa"/>
          </w:tcPr>
          <w:p>
            <w:pPr>
              <w:pStyle w:val="TableText"/>
            </w:pPr>
            <w:r>
              <w:t>-0.0001</w:t>
            </w:r>
          </w:p>
        </w:tc>
        <w:tc>
          <w:tcPr>
            <w:tcW w:w="1872" w:type="dxa"/>
          </w:tcPr>
          <w:p>
            <w:pPr>
              <w:pStyle w:val="TableText"/>
            </w:pPr>
            <w:r>
              <w:t>[-0.005262070189, 0.005070785840]</w:t>
            </w:r>
          </w:p>
        </w:tc>
        <w:tc>
          <w:tcPr>
            <w:tcW w:w="1872" w:type="dxa"/>
          </w:tcPr>
          <w:p>
            <w:pPr>
              <w:pStyle w:val="TableText"/>
            </w:pPr>
            <w:r>
              <w:t>True</w:t>
            </w:r>
          </w:p>
        </w:tc>
      </w:tr>
    </w:tbl>
    <w:p>
      <w:pPr>
        <w:pStyle w:val="BodyText"/>
      </w:pPr>
      <w:r>
        <w:t>Bootstrap 使用 source_image_id 作為 cluster unit，cluster count 為 59，seed 為 42，valid replicates 為 10000。所有主要比較的 95% CI 皆跨越 0，因此本研究不宣稱三模型間在主要指標上具有統計顯著差異。</w:t>
      </w:r>
    </w:p>
    <w:p>
      <w:pPr>
        <w:pStyle w:val="Heading2"/>
      </w:pPr>
      <w:r>
        <w:t>4.7 Full-image 多標籤結果</w:t>
      </w:r>
    </w:p>
    <w:p>
      <w:pPr>
        <w:pStyle w:val="Caption"/>
      </w:pPr>
      <w:r>
        <w:t>表 11　Full-image 多標籤正式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4680"/>
        <w:gridCol w:w="4680"/>
      </w:tblGrid>
      <w:tr>
        <w:tc>
          <w:tcPr>
            <w:tcW w:w="4680" w:type="dxa"/>
            <w:shd w:fill="F4F6F9"/>
          </w:tcPr>
          <w:p>
            <w:pPr>
              <w:pStyle w:val="TableText"/>
            </w:pPr>
            <w:r>
              <w:t>指標</w:t>
            </w:r>
          </w:p>
        </w:tc>
        <w:tc>
          <w:tcPr>
            <w:tcW w:w="4680" w:type="dxa"/>
            <w:shd w:fill="F4F6F9"/>
          </w:tcPr>
          <w:p>
            <w:pPr>
              <w:pStyle w:val="TableText"/>
            </w:pPr>
            <w:r>
              <w:t>數值</w:t>
            </w:r>
          </w:p>
        </w:tc>
      </w:tr>
      <w:tr>
        <w:tc>
          <w:tcPr>
            <w:tcW w:w="4680" w:type="dxa"/>
          </w:tcPr>
          <w:p>
            <w:pPr>
              <w:pStyle w:val="TableText"/>
            </w:pPr>
            <w:r>
              <w:t>Macro-F1</w:t>
            </w:r>
          </w:p>
        </w:tc>
        <w:tc>
          <w:tcPr>
            <w:tcW w:w="4680" w:type="dxa"/>
          </w:tcPr>
          <w:p>
            <w:pPr>
              <w:pStyle w:val="TableText"/>
            </w:pPr>
            <w:r>
              <w:t>0.7865</w:t>
            </w:r>
          </w:p>
        </w:tc>
      </w:tr>
      <w:tr>
        <w:tc>
          <w:tcPr>
            <w:tcW w:w="4680" w:type="dxa"/>
          </w:tcPr>
          <w:p>
            <w:pPr>
              <w:pStyle w:val="TableText"/>
            </w:pPr>
            <w:r>
              <w:t>Micro-F1</w:t>
            </w:r>
          </w:p>
        </w:tc>
        <w:tc>
          <w:tcPr>
            <w:tcW w:w="4680" w:type="dxa"/>
          </w:tcPr>
          <w:p>
            <w:pPr>
              <w:pStyle w:val="TableText"/>
            </w:pPr>
            <w:r>
              <w:t>0.7859</w:t>
            </w:r>
          </w:p>
        </w:tc>
      </w:tr>
      <w:tr>
        <w:tc>
          <w:tcPr>
            <w:tcW w:w="4680" w:type="dxa"/>
          </w:tcPr>
          <w:p>
            <w:pPr>
              <w:pStyle w:val="TableText"/>
            </w:pPr>
            <w:r>
              <w:t>Exact Subset Accuracy</w:t>
            </w:r>
          </w:p>
        </w:tc>
        <w:tc>
          <w:tcPr>
            <w:tcW w:w="4680" w:type="dxa"/>
          </w:tcPr>
          <w:p>
            <w:pPr>
              <w:pStyle w:val="TableText"/>
            </w:pPr>
            <w:r>
              <w:t>0.1695</w:t>
            </w:r>
          </w:p>
        </w:tc>
      </w:tr>
      <w:tr>
        <w:tc>
          <w:tcPr>
            <w:tcW w:w="4680" w:type="dxa"/>
          </w:tcPr>
          <w:p>
            <w:pPr>
              <w:pStyle w:val="TableText"/>
            </w:pPr>
            <w:r>
              <w:t>Hamming Loss</w:t>
            </w:r>
          </w:p>
        </w:tc>
        <w:tc>
          <w:tcPr>
            <w:tcW w:w="4680" w:type="dxa"/>
          </w:tcPr>
          <w:p>
            <w:pPr>
              <w:pStyle w:val="TableText"/>
            </w:pPr>
            <w:r>
              <w:t>0.2881</w:t>
            </w:r>
          </w:p>
        </w:tc>
      </w:tr>
      <w:tr>
        <w:tc>
          <w:tcPr>
            <w:tcW w:w="4680" w:type="dxa"/>
          </w:tcPr>
          <w:p>
            <w:pPr>
              <w:pStyle w:val="TableText"/>
            </w:pPr>
            <w:r>
              <w:t>Macro-AUROC</w:t>
            </w:r>
          </w:p>
        </w:tc>
        <w:tc>
          <w:tcPr>
            <w:tcW w:w="4680" w:type="dxa"/>
          </w:tcPr>
          <w:p>
            <w:pPr>
              <w:pStyle w:val="TableText"/>
            </w:pPr>
            <w:r>
              <w:t>0.7660</w:t>
            </w:r>
          </w:p>
        </w:tc>
      </w:tr>
      <w:tr>
        <w:tc>
          <w:tcPr>
            <w:tcW w:w="4680" w:type="dxa"/>
          </w:tcPr>
          <w:p>
            <w:pPr>
              <w:pStyle w:val="TableText"/>
            </w:pPr>
            <w:r>
              <w:t>Micro-AUROC</w:t>
            </w:r>
          </w:p>
        </w:tc>
        <w:tc>
          <w:tcPr>
            <w:tcW w:w="4680" w:type="dxa"/>
          </w:tcPr>
          <w:p>
            <w:pPr>
              <w:pStyle w:val="TableText"/>
            </w:pPr>
            <w:r>
              <w:t>0.7760</w:t>
            </w:r>
          </w:p>
        </w:tc>
      </w:tr>
    </w:tbl>
    <w:p>
      <w:pPr>
        <w:pStyle w:val="BodyText"/>
      </w:pPr>
      <w:r>
        <w:t>Full-image 多標籤模型於 test set 的 Macro-F1 為 0.7865、Micro-F1 為 0.7859。Exact Subset Accuracy 為 0.1695，表示所有五個標籤同時完全符合的比例。由於此任務允許多個陽性標籤，Exact Subset Accuracy 較嚴格，不應被當成一般單標籤 Accuracy 解讀。</w:t>
      </w:r>
    </w:p>
    <w:p>
      <w:pPr>
        <w:pStyle w:val="Heading2"/>
      </w:pPr>
      <w:r>
        <w:t>4.8 Threshold 分析</w:t>
      </w:r>
    </w:p>
    <w:p>
      <w:pPr>
        <w:pStyle w:val="BodyText"/>
      </w:pPr>
      <w:r>
        <w:t>Validation threshold tuning 顯示 Aortic enlargement 與 Cardiomegaly 使用 0.50；Pleural thickening、Pulmonary fibrosis 與 Pleural effusion 分別使用 0.39、0.36 與 0.34。較低 threshold 顯示模型需提高部分標籤的召回能力，但此選擇來自 validation set，並未使用 test set 調參。</w:t>
      </w:r>
    </w:p>
    <w:p>
      <w:pPr>
        <w:pStyle w:val="Heading2"/>
      </w:pPr>
      <w:r>
        <w:t>4.9 模型結果討論</w:t>
      </w:r>
    </w:p>
    <w:p>
      <w:pPr>
        <w:pStyle w:val="Caption"/>
      </w:pPr>
      <w:r>
        <w:t>表 12　Full-image per-label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170"/>
        <w:gridCol w:w="1170"/>
        <w:gridCol w:w="1170"/>
        <w:gridCol w:w="1170"/>
        <w:gridCol w:w="1170"/>
        <w:gridCol w:w="1170"/>
        <w:gridCol w:w="1170"/>
        <w:gridCol w:w="1170"/>
      </w:tblGrid>
      <w:tr>
        <w:tc>
          <w:tcPr>
            <w:tcW w:w="1170" w:type="dxa"/>
            <w:shd w:fill="F4F6F9"/>
          </w:tcPr>
          <w:p>
            <w:pPr>
              <w:pStyle w:val="TableText"/>
            </w:pPr>
            <w:r>
              <w:t>類別</w:t>
            </w:r>
          </w:p>
        </w:tc>
        <w:tc>
          <w:tcPr>
            <w:tcW w:w="1170" w:type="dxa"/>
            <w:shd w:fill="F4F6F9"/>
          </w:tcPr>
          <w:p>
            <w:pPr>
              <w:pStyle w:val="TableText"/>
            </w:pPr>
            <w:r>
              <w:t>Threshold</w:t>
            </w:r>
          </w:p>
        </w:tc>
        <w:tc>
          <w:tcPr>
            <w:tcW w:w="1170" w:type="dxa"/>
            <w:shd w:fill="F4F6F9"/>
          </w:tcPr>
          <w:p>
            <w:pPr>
              <w:pStyle w:val="TableText"/>
            </w:pPr>
            <w:r>
              <w:t>Precision</w:t>
            </w:r>
          </w:p>
        </w:tc>
        <w:tc>
          <w:tcPr>
            <w:tcW w:w="1170" w:type="dxa"/>
            <w:shd w:fill="F4F6F9"/>
          </w:tcPr>
          <w:p>
            <w:pPr>
              <w:pStyle w:val="TableText"/>
            </w:pPr>
            <w:r>
              <w:t>Recall</w:t>
            </w:r>
          </w:p>
        </w:tc>
        <w:tc>
          <w:tcPr>
            <w:tcW w:w="1170" w:type="dxa"/>
            <w:shd w:fill="F4F6F9"/>
          </w:tcPr>
          <w:p>
            <w:pPr>
              <w:pStyle w:val="TableText"/>
            </w:pPr>
            <w:r>
              <w:t>F1</w:t>
            </w:r>
          </w:p>
        </w:tc>
        <w:tc>
          <w:tcPr>
            <w:tcW w:w="1170" w:type="dxa"/>
            <w:shd w:fill="F4F6F9"/>
          </w:tcPr>
          <w:p>
            <w:pPr>
              <w:pStyle w:val="TableText"/>
            </w:pPr>
            <w:r>
              <w:t>TP</w:t>
            </w:r>
          </w:p>
        </w:tc>
        <w:tc>
          <w:tcPr>
            <w:tcW w:w="1170" w:type="dxa"/>
            <w:shd w:fill="F4F6F9"/>
          </w:tcPr>
          <w:p>
            <w:pPr>
              <w:pStyle w:val="TableText"/>
            </w:pPr>
            <w:r>
              <w:t>FP</w:t>
            </w:r>
          </w:p>
        </w:tc>
        <w:tc>
          <w:tcPr>
            <w:tcW w:w="1170" w:type="dxa"/>
            <w:shd w:fill="F4F6F9"/>
          </w:tcPr>
          <w:p>
            <w:pPr>
              <w:pStyle w:val="TableText"/>
            </w:pPr>
            <w:r>
              <w:t>FN</w:t>
            </w:r>
          </w:p>
        </w:tc>
      </w:tr>
      <w:tr>
        <w:tc>
          <w:tcPr>
            <w:tcW w:w="1170" w:type="dxa"/>
          </w:tcPr>
          <w:p>
            <w:pPr>
              <w:pStyle w:val="TableText"/>
            </w:pPr>
            <w:r>
              <w:t>Aortic enlargement</w:t>
            </w:r>
          </w:p>
        </w:tc>
        <w:tc>
          <w:tcPr>
            <w:tcW w:w="1170" w:type="dxa"/>
          </w:tcPr>
          <w:p>
            <w:pPr>
              <w:pStyle w:val="TableText"/>
            </w:pPr>
            <w:r>
              <w:t>0.5</w:t>
            </w:r>
          </w:p>
        </w:tc>
        <w:tc>
          <w:tcPr>
            <w:tcW w:w="1170" w:type="dxa"/>
          </w:tcPr>
          <w:p>
            <w:pPr>
              <w:pStyle w:val="TableText"/>
            </w:pPr>
            <w:r>
              <w:t>0.6591</w:t>
            </w:r>
          </w:p>
        </w:tc>
        <w:tc>
          <w:tcPr>
            <w:tcW w:w="1170" w:type="dxa"/>
          </w:tcPr>
          <w:p>
            <w:pPr>
              <w:pStyle w:val="TableText"/>
            </w:pPr>
            <w:r>
              <w:t>0.8286</w:t>
            </w:r>
          </w:p>
        </w:tc>
        <w:tc>
          <w:tcPr>
            <w:tcW w:w="1170" w:type="dxa"/>
          </w:tcPr>
          <w:p>
            <w:pPr>
              <w:pStyle w:val="TableText"/>
            </w:pPr>
            <w:r>
              <w:t>0.7342</w:t>
            </w:r>
          </w:p>
        </w:tc>
        <w:tc>
          <w:tcPr>
            <w:tcW w:w="1170" w:type="dxa"/>
          </w:tcPr>
          <w:p>
            <w:pPr>
              <w:pStyle w:val="TableText"/>
            </w:pPr>
            <w:r>
              <w:t>29</w:t>
            </w:r>
          </w:p>
        </w:tc>
        <w:tc>
          <w:tcPr>
            <w:tcW w:w="1170" w:type="dxa"/>
          </w:tcPr>
          <w:p>
            <w:pPr>
              <w:pStyle w:val="TableText"/>
            </w:pPr>
            <w:r>
              <w:t>15</w:t>
            </w:r>
          </w:p>
        </w:tc>
        <w:tc>
          <w:tcPr>
            <w:tcW w:w="1170" w:type="dxa"/>
          </w:tcPr>
          <w:p>
            <w:pPr>
              <w:pStyle w:val="TableText"/>
            </w:pPr>
            <w:r>
              <w:t>6</w:t>
            </w:r>
          </w:p>
        </w:tc>
      </w:tr>
      <w:tr>
        <w:tc>
          <w:tcPr>
            <w:tcW w:w="1170" w:type="dxa"/>
          </w:tcPr>
          <w:p>
            <w:pPr>
              <w:pStyle w:val="TableText"/>
            </w:pPr>
            <w:r>
              <w:t>Cardiomegaly</w:t>
            </w:r>
          </w:p>
        </w:tc>
        <w:tc>
          <w:tcPr>
            <w:tcW w:w="1170" w:type="dxa"/>
          </w:tcPr>
          <w:p>
            <w:pPr>
              <w:pStyle w:val="TableText"/>
            </w:pPr>
            <w:r>
              <w:t>0.5</w:t>
            </w:r>
          </w:p>
        </w:tc>
        <w:tc>
          <w:tcPr>
            <w:tcW w:w="1170" w:type="dxa"/>
          </w:tcPr>
          <w:p>
            <w:pPr>
              <w:pStyle w:val="TableText"/>
            </w:pPr>
            <w:r>
              <w:t>0.8056</w:t>
            </w:r>
          </w:p>
        </w:tc>
        <w:tc>
          <w:tcPr>
            <w:tcW w:w="1170" w:type="dxa"/>
          </w:tcPr>
          <w:p>
            <w:pPr>
              <w:pStyle w:val="TableText"/>
            </w:pPr>
            <w:r>
              <w:t>0.8286</w:t>
            </w:r>
          </w:p>
        </w:tc>
        <w:tc>
          <w:tcPr>
            <w:tcW w:w="1170" w:type="dxa"/>
          </w:tcPr>
          <w:p>
            <w:pPr>
              <w:pStyle w:val="TableText"/>
            </w:pPr>
            <w:r>
              <w:t>0.8169</w:t>
            </w:r>
          </w:p>
        </w:tc>
        <w:tc>
          <w:tcPr>
            <w:tcW w:w="1170" w:type="dxa"/>
          </w:tcPr>
          <w:p>
            <w:pPr>
              <w:pStyle w:val="TableText"/>
            </w:pPr>
            <w:r>
              <w:t>29</w:t>
            </w:r>
          </w:p>
        </w:tc>
        <w:tc>
          <w:tcPr>
            <w:tcW w:w="1170" w:type="dxa"/>
          </w:tcPr>
          <w:p>
            <w:pPr>
              <w:pStyle w:val="TableText"/>
            </w:pPr>
            <w:r>
              <w:t>7</w:t>
            </w:r>
          </w:p>
        </w:tc>
        <w:tc>
          <w:tcPr>
            <w:tcW w:w="1170" w:type="dxa"/>
          </w:tcPr>
          <w:p>
            <w:pPr>
              <w:pStyle w:val="TableText"/>
            </w:pPr>
            <w:r>
              <w:t>6</w:t>
            </w:r>
          </w:p>
        </w:tc>
      </w:tr>
      <w:tr>
        <w:tc>
          <w:tcPr>
            <w:tcW w:w="1170" w:type="dxa"/>
          </w:tcPr>
          <w:p>
            <w:pPr>
              <w:pStyle w:val="TableText"/>
            </w:pPr>
            <w:r>
              <w:t>Pleural thickening</w:t>
            </w:r>
          </w:p>
        </w:tc>
        <w:tc>
          <w:tcPr>
            <w:tcW w:w="1170" w:type="dxa"/>
          </w:tcPr>
          <w:p>
            <w:pPr>
              <w:pStyle w:val="TableText"/>
            </w:pPr>
            <w:r>
              <w:t>0.39</w:t>
            </w:r>
          </w:p>
        </w:tc>
        <w:tc>
          <w:tcPr>
            <w:tcW w:w="1170" w:type="dxa"/>
          </w:tcPr>
          <w:p>
            <w:pPr>
              <w:pStyle w:val="TableText"/>
            </w:pPr>
            <w:r>
              <w:t>0.6977</w:t>
            </w:r>
          </w:p>
        </w:tc>
        <w:tc>
          <w:tcPr>
            <w:tcW w:w="1170" w:type="dxa"/>
          </w:tcPr>
          <w:p>
            <w:pPr>
              <w:pStyle w:val="TableText"/>
            </w:pPr>
            <w:r>
              <w:t>0.8571</w:t>
            </w:r>
          </w:p>
        </w:tc>
        <w:tc>
          <w:tcPr>
            <w:tcW w:w="1170" w:type="dxa"/>
          </w:tcPr>
          <w:p>
            <w:pPr>
              <w:pStyle w:val="TableText"/>
            </w:pPr>
            <w:r>
              <w:t>0.7692</w:t>
            </w:r>
          </w:p>
        </w:tc>
        <w:tc>
          <w:tcPr>
            <w:tcW w:w="1170" w:type="dxa"/>
          </w:tcPr>
          <w:p>
            <w:pPr>
              <w:pStyle w:val="TableText"/>
            </w:pPr>
            <w:r>
              <w:t>30</w:t>
            </w:r>
          </w:p>
        </w:tc>
        <w:tc>
          <w:tcPr>
            <w:tcW w:w="1170" w:type="dxa"/>
          </w:tcPr>
          <w:p>
            <w:pPr>
              <w:pStyle w:val="TableText"/>
            </w:pPr>
            <w:r>
              <w:t>13</w:t>
            </w:r>
          </w:p>
        </w:tc>
        <w:tc>
          <w:tcPr>
            <w:tcW w:w="1170" w:type="dxa"/>
          </w:tcPr>
          <w:p>
            <w:pPr>
              <w:pStyle w:val="TableText"/>
            </w:pPr>
            <w:r>
              <w:t>5</w:t>
            </w:r>
          </w:p>
        </w:tc>
      </w:tr>
      <w:tr>
        <w:tc>
          <w:tcPr>
            <w:tcW w:w="1170" w:type="dxa"/>
          </w:tcPr>
          <w:p>
            <w:pPr>
              <w:pStyle w:val="TableText"/>
            </w:pPr>
            <w:r>
              <w:t>Pulmonary fibrosis</w:t>
            </w:r>
          </w:p>
        </w:tc>
        <w:tc>
          <w:tcPr>
            <w:tcW w:w="1170" w:type="dxa"/>
          </w:tcPr>
          <w:p>
            <w:pPr>
              <w:pStyle w:val="TableText"/>
            </w:pPr>
            <w:r>
              <w:t>0.36</w:t>
            </w:r>
          </w:p>
        </w:tc>
        <w:tc>
          <w:tcPr>
            <w:tcW w:w="1170" w:type="dxa"/>
          </w:tcPr>
          <w:p>
            <w:pPr>
              <w:pStyle w:val="TableText"/>
            </w:pPr>
            <w:r>
              <w:t>0.6538</w:t>
            </w:r>
          </w:p>
        </w:tc>
        <w:tc>
          <w:tcPr>
            <w:tcW w:w="1170" w:type="dxa"/>
          </w:tcPr>
          <w:p>
            <w:pPr>
              <w:pStyle w:val="TableText"/>
            </w:pPr>
            <w:r>
              <w:t>0.9444</w:t>
            </w:r>
          </w:p>
        </w:tc>
        <w:tc>
          <w:tcPr>
            <w:tcW w:w="1170" w:type="dxa"/>
          </w:tcPr>
          <w:p>
            <w:pPr>
              <w:pStyle w:val="TableText"/>
            </w:pPr>
            <w:r>
              <w:t>0.7727</w:t>
            </w:r>
          </w:p>
        </w:tc>
        <w:tc>
          <w:tcPr>
            <w:tcW w:w="1170" w:type="dxa"/>
          </w:tcPr>
          <w:p>
            <w:pPr>
              <w:pStyle w:val="TableText"/>
            </w:pPr>
            <w:r>
              <w:t>34</w:t>
            </w:r>
          </w:p>
        </w:tc>
        <w:tc>
          <w:tcPr>
            <w:tcW w:w="1170" w:type="dxa"/>
          </w:tcPr>
          <w:p>
            <w:pPr>
              <w:pStyle w:val="TableText"/>
            </w:pPr>
            <w:r>
              <w:t>18</w:t>
            </w:r>
          </w:p>
        </w:tc>
        <w:tc>
          <w:tcPr>
            <w:tcW w:w="1170" w:type="dxa"/>
          </w:tcPr>
          <w:p>
            <w:pPr>
              <w:pStyle w:val="TableText"/>
            </w:pPr>
            <w:r>
              <w:t>2</w:t>
            </w:r>
          </w:p>
        </w:tc>
      </w:tr>
      <w:tr>
        <w:tc>
          <w:tcPr>
            <w:tcW w:w="1170" w:type="dxa"/>
          </w:tcPr>
          <w:p>
            <w:pPr>
              <w:pStyle w:val="TableText"/>
            </w:pPr>
            <w:r>
              <w:t>Pleural effusion</w:t>
            </w:r>
          </w:p>
        </w:tc>
        <w:tc>
          <w:tcPr>
            <w:tcW w:w="1170" w:type="dxa"/>
          </w:tcPr>
          <w:p>
            <w:pPr>
              <w:pStyle w:val="TableText"/>
            </w:pPr>
            <w:r>
              <w:t>0.34</w:t>
            </w:r>
          </w:p>
        </w:tc>
        <w:tc>
          <w:tcPr>
            <w:tcW w:w="1170" w:type="dxa"/>
          </w:tcPr>
          <w:p>
            <w:pPr>
              <w:pStyle w:val="TableText"/>
            </w:pPr>
            <w:r>
              <w:t>0.7391</w:t>
            </w:r>
          </w:p>
        </w:tc>
        <w:tc>
          <w:tcPr>
            <w:tcW w:w="1170" w:type="dxa"/>
          </w:tcPr>
          <w:p>
            <w:pPr>
              <w:pStyle w:val="TableText"/>
            </w:pPr>
            <w:r>
              <w:t>0.9714</w:t>
            </w:r>
          </w:p>
        </w:tc>
        <w:tc>
          <w:tcPr>
            <w:tcW w:w="1170" w:type="dxa"/>
          </w:tcPr>
          <w:p>
            <w:pPr>
              <w:pStyle w:val="TableText"/>
            </w:pPr>
            <w:r>
              <w:t>0.8395</w:t>
            </w:r>
          </w:p>
        </w:tc>
        <w:tc>
          <w:tcPr>
            <w:tcW w:w="1170" w:type="dxa"/>
          </w:tcPr>
          <w:p>
            <w:pPr>
              <w:pStyle w:val="TableText"/>
            </w:pPr>
            <w:r>
              <w:t>34</w:t>
            </w:r>
          </w:p>
        </w:tc>
        <w:tc>
          <w:tcPr>
            <w:tcW w:w="1170" w:type="dxa"/>
          </w:tcPr>
          <w:p>
            <w:pPr>
              <w:pStyle w:val="TableText"/>
            </w:pPr>
            <w:r>
              <w:t>12</w:t>
            </w:r>
          </w:p>
        </w:tc>
        <w:tc>
          <w:tcPr>
            <w:tcW w:w="1170" w:type="dxa"/>
          </w:tcPr>
          <w:p>
            <w:pPr>
              <w:pStyle w:val="TableText"/>
            </w:pPr>
            <w:r>
              <w:t>1</w:t>
            </w:r>
          </w:p>
        </w:tc>
      </w:tr>
    </w:tbl>
    <w:p>
      <w:pPr>
        <w:pStyle w:val="BodyText"/>
      </w:pPr>
      <w:r>
        <w:t>Full-image per-label 結果顯示 Cardiomegaly 與 Pleural effusion 的 F1 較高，Aortic enlargement 相對受 FP 影響，Pulmonary fibrosis 則具有高 recall 但 precision 較低。此結果較適合解讀為不同標籤間錯誤型態不同，而非單純以一個總分代表全部疾病。</w:t>
      </w:r>
    </w:p>
    <w:p>
      <w:pPr>
        <w:pStyle w:val="Heading2"/>
      </w:pPr>
      <w:r>
        <w:t>4.10 研究限制</w:t>
      </w:r>
    </w:p>
    <w:p>
      <w:pPr>
        <w:pStyle w:val="BodyText"/>
      </w:pPr>
      <w:r>
        <w:t>本研究目前仍有四項重要限制：brightness augmentation generator 未找到、人工審查僅具 summary 層級證據、尚無外部資料集泛化驗證、Full-image multilabel 尚未建立 bootstrap 信賴區間。這些限制不影響保守描述已驗證結果，但會限制統計顯著性、外部泛化與臨床可用性的主張。</w:t>
      </w:r>
    </w:p>
    <w:p>
      <w:pPr>
        <w:pStyle w:val="Heading1"/>
      </w:pPr>
      <w:r>
        <w:t>第五章　系統設計與實作</w:t>
      </w:r>
    </w:p>
    <w:p>
      <w:pPr>
        <w:pStyle w:val="Heading2"/>
      </w:pPr>
      <w:r>
        <w:t>5.1 系統需求</w:t>
      </w:r>
    </w:p>
    <w:p>
      <w:pPr>
        <w:pStyle w:val="BodyText"/>
      </w:pPr>
      <w:r>
        <w:t>最終系統需求為在本機環境中提供 Full-image 五類多標籤胸腔 X 光推論 Demo，支援影像上傳、五類機率顯示、Ground Truth 比對、Ollama 輔助說明、Markdown/HTML/PDF 報告輸出與錯誤處理。系統不依賴外部雲端服務才能完成展示。</w:t>
      </w:r>
    </w:p>
    <w:p>
      <w:pPr>
        <w:pStyle w:val="Heading2"/>
      </w:pPr>
      <w:r>
        <w:t>5.2 系統整體架構</w:t>
      </w:r>
    </w:p>
    <w:p>
      <w:pPr>
        <w:pStyle w:val="BodyText"/>
      </w:pPr>
      <w:r>
        <w:t>系統由 Gradio UI、Full-image multilabel inference service、Ollama service、report prompt/report rendering 與 session output 組成。模型推論服務負責影像前處理、checkpoint 載入、Sigmoid 機率與 threshold 判定；Ollama service 僅接收本機模型結構化推論結果並產生保守說明。</w:t>
      </w:r>
    </w:p>
    <w:p>
      <w:pPr>
        <w:pStyle w:val="Heading2"/>
      </w:pPr>
      <w:r>
        <w:t>5.3 Gradio 使用者介面</w:t>
      </w:r>
    </w:p>
    <w:p>
      <w:pPr>
        <w:pStyle w:val="BodyText"/>
      </w:pPr>
      <w:r>
        <w:t>Gradio Demo 提供病人資訊欄位、完整胸腔 X 光影像上傳、開始分析、重新產生說明、列印/匯出 PDF、清除按鈕、五類模型機率、Ground Truth 比對、模型預測摘要、AI 輔助診斷說明書與系統狀態。病人資訊僅作 Demo 報告顯示，不參與模型推論。</w:t>
      </w:r>
    </w:p>
    <w:p>
      <w:pPr>
        <w:pStyle w:val="Heading2"/>
      </w:pPr>
      <w:r>
        <w:t>5.4 Full-image 推論服務</w:t>
      </w:r>
    </w:p>
    <w:p>
      <w:pPr>
        <w:pStyle w:val="BodyText"/>
      </w:pPr>
      <w:r>
        <w:t>推論服務載入正式 Full-image ConvNeXt-Tiny multilabel checkpoint 與 validation thresholds，對單張完整胸腔 X 光影像進行前處理與推論。輸出包含五類機率、依 threshold 判定的 predicted positive labels、模型摘要與後續報告所需之結構化欄位。</w:t>
      </w:r>
    </w:p>
    <w:p>
      <w:pPr>
        <w:pStyle w:val="Heading2"/>
      </w:pPr>
      <w:r>
        <w:t>5.5 影像前處理</w:t>
      </w:r>
    </w:p>
    <w:p>
      <w:pPr>
        <w:pStyle w:val="BodyText"/>
      </w:pPr>
      <w:r>
        <w:t>Full-image inference 使用完整影像，不執行 BBox 偵測或 ROI crop。依 evidence，正式 Full-image training config 中 augmentation 為 false；Demo 推論亦不應被描述為 ROI 或 YOLO 流程。</w:t>
      </w:r>
    </w:p>
    <w:p>
      <w:pPr>
        <w:pStyle w:val="Heading2"/>
      </w:pPr>
      <w:r>
        <w:t>5.6 Sigmoid 與 Threshold 判定</w:t>
      </w:r>
    </w:p>
    <w:p>
      <w:pPr>
        <w:pStyle w:val="BodyText"/>
      </w:pPr>
      <w:r>
        <w:t>Full-image 模型輸出五個 raw logits，經 Sigmoid 轉換為每一類的獨立機率。每類再與 validation-selected threshold 比較，以取得多標籤陽性預測。此流程不同於 ROI 階段的 Softmax 單標籤推論。</w:t>
      </w:r>
    </w:p>
    <w:p>
      <w:pPr>
        <w:pStyle w:val="Heading2"/>
      </w:pPr>
      <w:r>
        <w:t>5.7 Ground Truth 查詢與隔離</w:t>
      </w:r>
    </w:p>
    <w:p>
      <w:pPr>
        <w:pStyle w:val="BodyText"/>
      </w:pPr>
      <w:r>
        <w:t>Ground Truth 僅在模型推論完成後用於 Demo 驗證與 TP、FP、FN 比對，不輸入模型，也不傳送給 Ollama。此隔離可避免把標註答案洩漏至模型或文字生成流程。</w:t>
      </w:r>
    </w:p>
    <w:p>
      <w:pPr>
        <w:pStyle w:val="Heading2"/>
      </w:pPr>
      <w:r>
        <w:t>5.8 Ollama 輔助說明</w:t>
      </w:r>
    </w:p>
    <w:p>
      <w:pPr>
        <w:pStyle w:val="BodyText"/>
      </w:pPr>
      <w:r>
        <w:t>Ollama 在系統中負責將模型輸出的類別、機率與信心程度轉換為繁體中文白話說明。Ollama 不直接讀取或判讀胸腔 X 光影像，因此其輸出不得被寫成正式醫療診斷。</w:t>
      </w:r>
    </w:p>
    <w:p>
      <w:pPr>
        <w:pStyle w:val="Heading2"/>
      </w:pPr>
      <w:r>
        <w:t>5.9 Session 與稽核紀錄</w:t>
      </w:r>
    </w:p>
    <w:p>
      <w:pPr>
        <w:pStyle w:val="BodyText"/>
      </w:pPr>
      <w:r>
        <w:t>系統可針對單次 Demo 推論建立 session output，保存模型推論結果、報告與必要稽核欄位。論文僅描述系統功能，不將大量影像或可識別病患資訊插入文件。</w:t>
      </w:r>
    </w:p>
    <w:p>
      <w:pPr>
        <w:pStyle w:val="Heading2"/>
      </w:pPr>
      <w:r>
        <w:t>5.10 CSV、JSON、Markdown 與 PDF 輸出</w:t>
      </w:r>
    </w:p>
    <w:p>
      <w:pPr>
        <w:pStyle w:val="BodyText"/>
      </w:pPr>
      <w:r>
        <w:t>Demo 支援將單張影像推論報告輸出為 Markdown、HTML 與 PDF 類型文件。報告固定包含非正式診斷警語，並以保守語氣呈現模型預測。</w:t>
      </w:r>
    </w:p>
    <w:p>
      <w:pPr>
        <w:pStyle w:val="Heading2"/>
      </w:pPr>
      <w:r>
        <w:t>5.11 錯誤處理與系統穩定性</w:t>
      </w:r>
    </w:p>
    <w:p>
      <w:pPr>
        <w:pStyle w:val="BodyText"/>
      </w:pPr>
      <w:r>
        <w:t>系統設計包含模型載入、影像處理、Ollama 呼叫與報告生成的錯誤處理。若 Ollama 不可用，系統可降級為規則式說明，以確保 Demo 不依賴外部服務或單一生成流程。</w:t>
      </w:r>
    </w:p>
    <w:p>
      <w:pPr>
        <w:pStyle w:val="Heading2"/>
      </w:pPr>
      <w:r>
        <w:t>5.12 系統限制</w:t>
      </w:r>
    </w:p>
    <w:p>
      <w:pPr>
        <w:pStyle w:val="BodyText"/>
      </w:pPr>
      <w:r>
        <w:t>本系統用途為學術研究展示與輔助理解，不是臨床醫療器材，也不能取代醫師判讀。Demo 中顯示的 Ground Truth 僅供驗證，Ollama 產生之文字僅根據模型輸出進行說明。</w:t>
      </w:r>
    </w:p>
    <w:p>
      <w:pPr>
        <w:pStyle w:val="Heading1"/>
      </w:pPr>
      <w:r>
        <w:t>第六章　結論與未來工作</w:t>
      </w:r>
    </w:p>
    <w:p>
      <w:pPr>
        <w:pStyle w:val="Heading2"/>
      </w:pPr>
      <w:r>
        <w:t>6.1 研究成果總結</w:t>
      </w:r>
    </w:p>
    <w:p>
      <w:pPr>
        <w:pStyle w:val="BodyText"/>
      </w:pPr>
      <w:r>
        <w:t>本研究完成由 ROI 五類單標籤分類、RAD-DINO feature distillation、ConvNeXt-Tiny 三模型比較，到 Full-image 五類多標籤模型與 Gradio Demo 的完整研究流程。正式證據顯示 ROI 三模型表現相近，Patch Proposed 在部分疾病別指標具競爭力，但統計檢定未支持主要指標具有顯著差異。Full-image 模型則完成五類多標籤 test evaluation，並整合為可展示的本機 Demo。</w:t>
      </w:r>
    </w:p>
    <w:p>
      <w:pPr>
        <w:pStyle w:val="Heading2"/>
      </w:pPr>
      <w:r>
        <w:t>6.2 研究貢獻</w:t>
      </w:r>
    </w:p>
    <w:p>
      <w:pPr>
        <w:pStyle w:val="ListParagraph"/>
        <w:numPr>
          <w:ilvl w:val="0"/>
          <w:numId w:val="1"/>
        </w:numPr>
      </w:pPr>
      <w:r>
        <w:t>建立可追蹤的 ROI balanced dataset 與 source-level grouped split。</w:t>
      </w:r>
    </w:p>
    <w:p>
      <w:pPr>
        <w:pStyle w:val="ListParagraph"/>
        <w:numPr>
          <w:ilvl w:val="0"/>
          <w:numId w:val="1"/>
        </w:numPr>
      </w:pPr>
      <w:r>
        <w:t>比較 RAD-DINO CLS 與 patch feature distillation 對 ConvNeXt-Tiny downstream classification 的影響。</w:t>
      </w:r>
    </w:p>
    <w:p>
      <w:pPr>
        <w:pStyle w:val="ListParagraph"/>
        <w:numPr>
          <w:ilvl w:val="0"/>
          <w:numId w:val="1"/>
        </w:numPr>
      </w:pPr>
      <w:r>
        <w:t>將 ROI Patch Proposed backbone 轉移至 Full-image multilabel 任務，形成最終 Demo 推論模型。</w:t>
      </w:r>
    </w:p>
    <w:p>
      <w:pPr>
        <w:pStyle w:val="ListParagraph"/>
        <w:numPr>
          <w:ilvl w:val="0"/>
          <w:numId w:val="1"/>
        </w:numPr>
      </w:pPr>
      <w:r>
        <w:t>在 Demo 中明確分離模型推論、Ground Truth 驗證與 Ollama 文字說明，降低錯誤解讀風險。</w:t>
      </w:r>
    </w:p>
    <w:p>
      <w:pPr>
        <w:pStyle w:val="Heading2"/>
      </w:pPr>
      <w:r>
        <w:t>6.3 研究限制</w:t>
      </w:r>
    </w:p>
    <w:p>
      <w:pPr>
        <w:pStyle w:val="BodyText"/>
      </w:pPr>
      <w:r>
        <w:t>本研究仍受限於 evidence package 中可驗證資料。Brightness augmentation 產生器尚未定位；人工審查缺少逐筆紀錄；尚無外部資料集驗證；Full-image multilabel 尚未建立 bootstrap CI。這些限制使本文不宣稱外部泛化、臨床效益或統計顯著優勢。</w:t>
      </w:r>
    </w:p>
    <w:p>
      <w:pPr>
        <w:pStyle w:val="Heading2"/>
      </w:pPr>
      <w:r>
        <w:t>6.4 未來工作</w:t>
      </w:r>
    </w:p>
    <w:p>
      <w:pPr>
        <w:pStyle w:val="ListParagraph"/>
        <w:numPr>
          <w:ilvl w:val="0"/>
          <w:numId w:val="1"/>
        </w:numPr>
      </w:pPr>
      <w:r>
        <w:t>補充 brightness augmentation generator 或將其限制明確寫入附錄。</w:t>
      </w:r>
    </w:p>
    <w:p>
      <w:pPr>
        <w:pStyle w:val="ListParagraph"/>
        <w:numPr>
          <w:ilvl w:val="0"/>
          <w:numId w:val="1"/>
        </w:numPr>
      </w:pPr>
      <w:r>
        <w:t>建立完整逐筆人工審查紀錄與 failure type 統計。</w:t>
      </w:r>
    </w:p>
    <w:p>
      <w:pPr>
        <w:pStyle w:val="ListParagraph"/>
        <w:numPr>
          <w:ilvl w:val="0"/>
          <w:numId w:val="1"/>
        </w:numPr>
      </w:pPr>
      <w:r>
        <w:t>加入外部資料集評估，以確認跨來源影像泛化能力。</w:t>
      </w:r>
    </w:p>
    <w:p>
      <w:pPr>
        <w:pStyle w:val="ListParagraph"/>
        <w:numPr>
          <w:ilvl w:val="0"/>
          <w:numId w:val="1"/>
        </w:numPr>
      </w:pPr>
      <w:r>
        <w:t>對 Full-image multilabel 指標補做 bootstrap 信賴區間。</w:t>
      </w:r>
    </w:p>
    <w:p>
      <w:pPr>
        <w:pStyle w:val="ListParagraph"/>
        <w:numPr>
          <w:ilvl w:val="0"/>
          <w:numId w:val="1"/>
        </w:numPr>
      </w:pPr>
      <w:r>
        <w:t>進行 calibration、使用者研究與醫療專業人員評估，但不得在未完成前宣稱臨床可用。</w:t>
      </w:r>
    </w:p>
    <w:p>
      <w:pPr>
        <w:pStyle w:val="Heading1"/>
      </w:pPr>
      <w:r>
        <w:t>附錄 A　圖表占位與後續補圖</w:t>
      </w:r>
    </w:p>
    <w:p>
      <w:pPr>
        <w:pStyle w:val="BodyText"/>
      </w:pPr>
      <w:r>
        <w:t>基於隱私保護，本初稿未插入完整 Dataset 或大量胸腔 X 光影像。後續若需加入 Demo 截圖或範例影像，應使用匿名資料並遮蔽病人資訊。</w:t>
      </w:r>
    </w:p>
    <w:p>
      <w:pPr>
        <w:pStyle w:val="BodyText"/>
      </w:pPr>
      <w:r>
        <w:t>圖 A-1　〔待補：整體研究流程圖〕</w:t>
      </w:r>
    </w:p>
    <w:p>
      <w:pPr>
        <w:pStyle w:val="BodyText"/>
      </w:pPr>
      <w:r>
        <w:t>圖 A-2　〔待補：ROI confusion matrices〕</w:t>
      </w:r>
    </w:p>
    <w:p>
      <w:pPr>
        <w:pStyle w:val="BodyText"/>
      </w:pPr>
      <w:r>
        <w:t>圖 A-3　〔待補：ROI per-class F1 bar chart〕</w:t>
      </w:r>
    </w:p>
    <w:p>
      <w:pPr>
        <w:pStyle w:val="BodyText"/>
      </w:pPr>
      <w:r>
        <w:t>圖 A-4　〔待補：Full-image per-label metrics bar chart〕</w:t>
      </w:r>
    </w:p>
    <w:p>
      <w:pPr>
        <w:pStyle w:val="BodyText"/>
      </w:pPr>
      <w:r>
        <w:t>圖 A-5　〔待補：Gradio Demo 匿名截圖〕</w:t>
      </w:r>
    </w:p>
    <w:p>
      <w:pPr>
        <w:pStyle w:val="BodyText"/>
      </w:pPr>
      <w:r>
        <w:t>圖 A-6　〔待補：Session output 匿名範例〕</w:t>
      </w:r>
    </w:p>
    <w:sectPr>
      <w:footerReference w:type="default" ns1:id="rId1"/>
      <w:pgSz w:w="11906" w:h="16838"/>
      <w:pgMar w:top="1440" w:right="1440" w:bottom="1440" w:left="1440" w:header="708" w:footer="708" w:gutter="0"/>
      <w:cols w:space="720"/>
      <w:docGrid w:linePitch="360"/>
    </w:sectPr>
  </w:body>
</w:document>
</file>

<file path=word/footer1.xml><?xml version="1.0" encoding="utf-8"?>
<w:ftr xmlns:w="http://schemas.openxmlformats.org/wordprocessingml/2006/main">
  <w:p>
    <w:pPr>
      <w:jc w:val="center"/>
    </w:pPr>
    <w:r>
      <w:t>第 </w:t>
    </w:r>
    <w:fldSimple w:instr="PAGE">
      <w:r>
        <w:t>1</w:t>
      </w:r>
    </w:fldSimple>
    <w:r>
      <w:t> 頁</w:t>
    </w:r>
  </w:p>
</w:ft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num w:numId="1">
    <w:abstractNumId w:val="1"/>
  </w:num>
</w:numbering>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style w:type="paragraph" w:default="1" w:styleId="Normal">
    <w:name w:val="Normal"/>
    <w:qFormat/>
    <w:pPr>
      <w:spacing w:after="160" w:line="360" w:lineRule="auto"/>
    </w:pPr>
    <w:rPr>
      <w:rFonts w:ascii="Times New Roman" w:hAnsi="Times New Roman" w:eastAsia="標楷體"/>
      <w:sz w:val="28"/>
      <w:szCs w:val="28"/>
    </w:rPr>
  </w:style>
  <w:style w:type="paragraph" w:styleId="TitleStyle">
    <w:name w:val="TitleStyle"/>
    <w:pPr>
      <w:spacing w:after="240"/>
      <w:jc w:val="center"/>
    </w:pPr>
    <w:rPr>
      <w:rFonts w:ascii="Times New Roman" w:hAnsi="Times New Roman" w:eastAsia="標楷體"/>
      <w:b/>
      <w:sz w:val="40"/>
      <w:szCs w:val="40"/>
    </w:rPr>
  </w:style>
  <w:style w:type="paragraph" w:styleId="Subtitle">
    <w:name w:val="Subtitle"/>
    <w:pPr>
      <w:spacing w:after="240"/>
      <w:jc w:val="center"/>
    </w:pPr>
    <w:rPr>
      <w:rFonts w:ascii="Times New Roman" w:hAnsi="Times New Roman" w:eastAsia="標楷體"/>
      <w:color w:val="666666"/>
      <w:sz w:val="24"/>
      <w:szCs w:val="24"/>
    </w:rPr>
  </w:style>
  <w:style w:type="paragraph" w:styleId="BodyText">
    <w:name w:val="BodyText"/>
    <w:basedOn w:val="Normal"/>
    <w:pPr>
      <w:ind w:firstLine="560"/>
      <w:jc w:val="both"/>
      <w:spacing w:after="160" w:line="360" w:lineRule="auto"/>
    </w:pPr>
  </w:style>
  <w:style w:type="paragraph" w:styleId="Heading1">
    <w:name w:val="heading 1"/>
    <w:basedOn w:val="Normal"/>
    <w:next w:val="BodyText"/>
    <w:qFormat/>
    <w:pPr>
      <w:keepNext/>
      <w:spacing w:before="360" w:after="200"/>
    </w:pPr>
    <w:rPr>
      <w:rFonts w:ascii="Times New Roman" w:hAnsi="Times New Roman" w:eastAsia="標楷體"/>
      <w:b/>
      <w:color w:val="000000"/>
      <w:sz w:val="36"/>
      <w:szCs w:val="36"/>
    </w:rPr>
  </w:style>
  <w:style w:type="paragraph" w:styleId="Heading2">
    <w:name w:val="heading 2"/>
    <w:basedOn w:val="Normal"/>
    <w:next w:val="BodyText"/>
    <w:qFormat/>
    <w:pPr>
      <w:keepNext/>
      <w:spacing w:before="240" w:after="120"/>
    </w:pPr>
    <w:rPr>
      <w:rFonts w:ascii="Times New Roman" w:hAnsi="Times New Roman" w:eastAsia="標楷體"/>
      <w:b/>
      <w:color w:val="000000"/>
      <w:sz w:val="32"/>
      <w:szCs w:val="32"/>
    </w:rPr>
  </w:style>
  <w:style w:type="paragraph" w:styleId="Heading3">
    <w:name w:val="heading 3"/>
    <w:basedOn w:val="Normal"/>
    <w:next w:val="BodyText"/>
    <w:qFormat/>
    <w:pPr>
      <w:keepNext/>
      <w:spacing w:before="160" w:after="80"/>
    </w:pPr>
    <w:rPr>
      <w:rFonts w:ascii="Times New Roman" w:hAnsi="Times New Roman" w:eastAsia="標楷體"/>
      <w:b/>
      <w:color w:val="000000"/>
      <w:sz w:val="28"/>
      <w:szCs w:val="28"/>
    </w:rPr>
  </w:style>
  <w:style w:type="paragraph" w:styleId="Caption">
    <w:name w:val="Caption"/>
    <w:pPr>
      <w:spacing w:before="120" w:after="80"/>
      <w:keepNext/>
    </w:pPr>
    <w:rPr>
      <w:rFonts w:ascii="Times New Roman" w:hAnsi="Times New Roman" w:eastAsia="標楷體"/>
      <w:b/>
      <w:sz w:val="24"/>
      <w:szCs w:val="24"/>
    </w:rPr>
  </w:style>
  <w:style w:type="paragraph" w:styleId="TableText">
    <w:name w:val="TableText"/>
    <w:pPr>
      <w:spacing w:after="40" w:line="300" w:lineRule="auto"/>
    </w:pPr>
    <w:rPr>
      <w:rFonts w:ascii="Times New Roman" w:hAnsi="Times New Roman" w:eastAsia="標楷體"/>
      <w:sz w:val="20"/>
      <w:szCs w:val="20"/>
    </w:rPr>
  </w:style>
  <w:style w:type="paragraph" w:styleId="ListParagraph">
    <w:name w:val="List Paragraph"/>
    <w:basedOn w:val="Normal"/>
    <w:pPr>
      <w:spacing w:after="80" w:line="360" w:lineRule="auto"/>
    </w:p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胸腔X光影像分類與知識蒸餾系統：論文保守初稿</dc:title>
  <dc:creator>Codex</dc:creator>
  <cp:lastModifiedBy>Codex</cp:lastModifiedBy>
  <dcterms:created xsi:type="dcterms:W3CDTF">2026-07-23T10:02:26+00:00</dcterms:created>
  <dcterms:modified xsi:type="dcterms:W3CDTF">2026-07-23T10:02:26+00:00</dcterms:modified>
</cp:coreProperties>
</file>