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rFonts w:ascii="Times New Roman" w:hAnsi="Times New Roman" w:eastAsia="PMingLiU"/>
          <w:sz w:val="32"/>
          <w:szCs w:val="32"/>
          <w:b/>
          <w:bCs/>
        </w:rPr>
        <w:t xml:space="preserve">胸腔 X 光影像分類與知識蒸餾暨多標籤報告生成系統</w:t>
      </w:r>
    </w:p>
    <w:p>
      <w:pPr>
        <w:jc w:val="center"/>
      </w:pPr>
      <w:r>
        <w:rPr>
          <w:rFonts w:ascii="Times New Roman" w:hAnsi="Times New Roman" w:eastAsia="PMingLiU"/>
          <w:sz w:val="22"/>
          <w:szCs w:val="22"/>
        </w:rPr>
        <w:t xml:space="preserve">Chest X-ray Classification with Feature Distillation and Multilabel Report Generation</w:t>
      </w:r>
    </w:p>
    <w:p>
      <w:pPr>
        <w:jc w:val="center"/>
      </w:pPr>
      <w:r>
        <w:rPr>
          <w:rFonts w:ascii="Times New Roman" w:hAnsi="Times New Roman" w:eastAsia="PMingLiU"/>
          <w:sz w:val="20"/>
          <w:szCs w:val="20"/>
        </w:rPr>
        <w:t xml:space="preserve">匿名作者</w:t>
      </w:r>
    </w:p>
    <w:p>
      <w:pPr>
        <w:jc w:val="center"/>
      </w:pPr>
      <w:r>
        <w:rPr>
          <w:rFonts w:ascii="Times New Roman" w:hAnsi="Times New Roman" w:eastAsia="PMingLiU"/>
          <w:sz w:val="20"/>
          <w:szCs w:val="20"/>
        </w:rPr>
        <w:t xml:space="preserve">匿名單位</w:t>
      </w:r>
    </w:p>
    <w:p>
      <w:pPr>
        <w:jc w:val="center"/>
      </w:pPr>
      <w:r>
        <w:rPr>
          <w:rFonts w:ascii="Times New Roman" w:hAnsi="Times New Roman" w:eastAsia="PMingLiU"/>
          <w:sz w:val="20"/>
          <w:szCs w:val="20"/>
        </w:rPr>
        <w:t xml:space="preserve">E-mail：正式投稿前由作者填寫</w:t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摘要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本研究建立一套胸腔 X 光影像分類與展示流程，先以標註框產生五類 ROI 單標籤資料，再使用 RAD-DINO frozen teacher 產生 CLS 與 7×7 patch feature cache，將表徵蒸餾至 ConvNeXt-Tiny。ROI 階段比較 ImageNet baseline、CLS distillation 與 patch distillation 三種模型；後續將 ROI Patch Proposed backbone 轉移至完整影像五類多標籤任務，使用 Sigmoid 與 validation-tuned thresholds 輸出各類別陽性判定。系統端整合 Gradio、Ground Truth 事後比對、本機 Ollama 說明生成與報告輸出。實驗結果顯示，ROI 三模型在主要指標差異有限，bootstrap 信賴區間皆跨越 0，因此不宣稱統計顯著優勢；完整影像模型於測試集取得 Macro-F1 0.7865、Micro-F1 0.7859，可作為多標籤展示系統之基礎，但不代表臨床驗證或正式診斷能力。</w:t>
      </w:r>
    </w:p>
    <w:p>
      <w:pPr>
        <w:jc w:val="both"/>
        <w:spacing w:after="7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關鍵詞：胸腔 X 光、RAD-DINO、ConvNeXt-Tiny、知識蒸餾、多標籤分類、Ollama</w:t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Abstract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This work presents an academic prototype for chest X-ray classification and report generation. A five-class ROI single-label pipeline is first constructed from bounding-box crops. Frozen RAD-DINO features are cached as CLS and 7 by 7 patch targets, and ConvNeXt-Tiny students are trained through feature-level distillation. The patch-distilled ROI backbone is then transferred to a full-image five-label setting with sigmoid probabilities and validation-selected thresholds. The demo integrates Gradio, post-hoc ground-truth comparison, local Ollama-based text generation, and report export. Results are reported conservatively without claiming clinical validation.</w:t>
      </w:r>
    </w:p>
    <w:p>
      <w:pPr>
        <w:jc w:val="both"/>
        <w:spacing w:after="7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Keywords: Chest X-ray, RAD-DINO, ConvNeXt-Tiny, Knowledge Distillation, Multilabel Classification</w:t>
      </w:r>
    </w:p>
    <w:p>
      <w:pPr>
        <w:sectPr>
          <w:type w:val="continuous"/>
          <w:pgSz w:w="11906" w:h="16838"/>
          <w:pgMar w:top="1418" w:right="1418" w:bottom="1418" w:left="1418" w:header="708" w:footer="708" w:gutter="0"/>
          <w:cols w:num="2" w:space="283"/>
        </w:sectPr>
      </w:pP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1. 緒論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胸腔 X 光為臨床常見影像，但本研究並不宣稱臨床驗證，而是聚焦於資料流程、特徵蒸餾、完整影像多標籤分類與可展示系統整合。研究範圍固定為五類：Aortic enlargement、Cardiomegaly、Pleural thickening、Pulmonary fibrosis 與 Pleural effusion。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本研究的主要貢獻包括：建立 ROI 五類單標籤與 Full-image 五類多標籤兩個明確分離的任務；比較 ImageNet baseline、RAD-DINO CLS Proposed 與 RAD-DINO Patch Proposed；並將 ROI Patch Proposed backbone 轉移至完整影像分類與報告展示。</w:t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2. 相關研究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知識蒸餾常用於讓 student 模型學習 teacher 的中間表徵或輸出，本研究採 feature-level distillation，而非直接將 teacher 作為推論模型。ConvNeXt-Tiny 則作為 ROI 與 Full-image 階段的 student/backbone。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完整影像階段與 ROI 階段不同：ROI 階段為五類單標籤 Softmax 分類；Full-image 階段為五類多標籤 Sigmoid 分類。因此，ROI Accuracy 不可與 Full-image Exact Subset Accuracy 直接等同比較。</w:t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3. 研究方法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研究流程如圖 1。Phase 0 使用 frozen RAD-DINO 建立 CLS feature cache 與 patch feature cache；Phase 1 將 CLS 或 patch 表徵蒸餾至 ConvNeXt-Tiny；Phase 2 進行 ROI 五分類，並將 ROI Patch Proposed backbone 轉移至 Full-image 多標籤模型。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1200"/>
        <w:gridCol w:w="1600"/>
        <w:gridCol w:w="1590"/>
      </w:tblGrid>
      <w:tr>
        <w:tc>
          <w:tcPr>
            <w:tcW w:w="12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階段</w:t>
            </w:r>
          </w:p>
        </w:tc>
        <w:tc>
          <w:tcPr>
            <w:tcW w:w="16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輸入</w:t>
            </w:r>
          </w:p>
        </w:tc>
        <w:tc>
          <w:tcPr>
            <w:tcW w:w="159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輸出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Phase 0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ROI 224 balanced manifest</w:t>
            </w:r>
          </w:p>
        </w:tc>
        <w:tc>
          <w:tcPr>
            <w:tcW w:w="1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RAD-DINO CLS / patch feature cache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Phase 1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Teacher features</w:t>
            </w:r>
          </w:p>
        </w:tc>
        <w:tc>
          <w:tcPr>
            <w:tcW w:w="1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ConvNeXt-Tiny distilled backbone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Phase 2 ROI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ROI train/val/test</w:t>
            </w:r>
          </w:p>
        </w:tc>
        <w:tc>
          <w:tcPr>
            <w:tcW w:w="1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五類 Softmax 分類</w:t>
            </w:r>
          </w:p>
        </w:tc>
      </w:tr>
      <w:tr>
        <w:tc>
          <w:tcPr>
            <w:tcW w:w="12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Phase 2 Full-image</w:t>
            </w:r>
          </w:p>
        </w:tc>
        <w:tc>
          <w:tcPr>
            <w:tcW w:w="16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完整影像 224×224</w:t>
            </w:r>
          </w:p>
        </w:tc>
        <w:tc>
          <w:tcPr>
            <w:tcW w:w="1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五類 Sigmoid 多標籤輸出</w:t>
            </w:r>
          </w:p>
        </w:tc>
      </w:tr>
    </w:tbl>
    <w:p>
      <w:pPr>
        <w:jc w:val="center"/>
        <w:spacing w:before="40" w:after="50"/>
      </w:pPr>
      <w:r>
        <w:rPr>
          <w:rFonts w:ascii="Times New Roman" w:hAnsi="Times New Roman" w:eastAsia="PMingLiU"/>
          <w:sz w:val="18"/>
          <w:szCs w:val="18"/>
        </w:rPr>
        <w:t xml:space="preserve">圖 1　整體研究流程與任務層級</w:t>
      </w:r>
    </w:p>
    <w:p>
      <w:r>
        <w:br w:type="page"/>
      </w:r>
    </w:p>
    <w:p>
      <w:pPr>
        <w:keepNext/>
        <w:spacing w:before="70" w:after="20"/>
      </w:pPr>
      <w:r>
        <w:rPr>
          <w:rFonts w:ascii="Times New Roman" w:hAnsi="Times New Roman" w:eastAsia="PMingLiU"/>
          <w:sz w:val="20"/>
          <w:szCs w:val="20"/>
          <w:b/>
          <w:bCs/>
        </w:rPr>
        <w:t xml:space="preserve">3.1 資料集與資料增強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ROI balanced feature cache 含 4,725 筆資料，每類 945 筆；其中 469 筆由 brightness augmentation 補足。依 manifest 反向驗證，brightness factor 出現於 0.95 至 1.05 範圍，本文不宣稱產生器使用 random.uniform 或均勻抽樣。ROI Phase2 grouped split 為 train 3,770、val 454、test 454，val/test 不含 brightness augmented rows。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1100"/>
        <w:gridCol w:w="800"/>
        <w:gridCol w:w="700"/>
        <w:gridCol w:w="700"/>
        <w:gridCol w:w="1090"/>
      </w:tblGrid>
      <w:tr>
        <w:tc>
          <w:tcPr>
            <w:tcW w:w="11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資料層級</w:t>
            </w:r>
          </w:p>
        </w:tc>
        <w:tc>
          <w:tcPr>
            <w:tcW w:w="8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Train</w:t>
            </w:r>
          </w:p>
        </w:tc>
        <w:tc>
          <w:tcPr>
            <w:tcW w:w="7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Val</w:t>
            </w:r>
          </w:p>
        </w:tc>
        <w:tc>
          <w:tcPr>
            <w:tcW w:w="7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Test</w:t>
            </w:r>
          </w:p>
        </w:tc>
        <w:tc>
          <w:tcPr>
            <w:tcW w:w="109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備註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ROI Phase2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3,770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454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454</w:t>
            </w:r>
          </w:p>
        </w:tc>
        <w:tc>
          <w:tcPr>
            <w:tcW w:w="10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五類單標籤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Full-image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472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59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59</w:t>
            </w:r>
          </w:p>
        </w:tc>
        <w:tc>
          <w:tcPr>
            <w:tcW w:w="10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五類多標籤</w:t>
            </w:r>
          </w:p>
        </w:tc>
      </w:tr>
      <w:tr>
        <w:tc>
          <w:tcPr>
            <w:tcW w:w="1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Ground Truth catalog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590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-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-</w:t>
            </w:r>
          </w:p>
        </w:tc>
        <w:tc>
          <w:tcPr>
            <w:tcW w:w="10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Demo 事後比對</w:t>
            </w:r>
          </w:p>
        </w:tc>
      </w:tr>
    </w:tbl>
    <w:p>
      <w:pPr>
        <w:jc w:val="center"/>
        <w:spacing w:before="40" w:after="50"/>
      </w:pPr>
      <w:r>
        <w:rPr>
          <w:rFonts w:ascii="Times New Roman" w:hAnsi="Times New Roman" w:eastAsia="PMingLiU"/>
          <w:sz w:val="18"/>
          <w:szCs w:val="18"/>
        </w:rPr>
        <w:t xml:space="preserve">表 1　正式資料數量摘要</w:t>
      </w:r>
    </w:p>
    <w:p>
      <w:pPr>
        <w:keepNext/>
        <w:spacing w:before="70" w:after="20"/>
      </w:pPr>
      <w:r>
        <w:rPr>
          <w:rFonts w:ascii="Times New Roman" w:hAnsi="Times New Roman" w:eastAsia="PMingLiU"/>
          <w:sz w:val="20"/>
          <w:szCs w:val="20"/>
          <w:b/>
          <w:bCs/>
        </w:rPr>
        <w:t xml:space="preserve">3.2 特徵蒸餾與模型訓練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CLS teacher feature shape 為 [4725, 768]；patch teacher feature shape 為 [4725, 768, 7, 7]。CLS distillation 使用 L2-normalized student/teacher feature MSE；Patch distillation 使用沿 channel dimension L2 normalization 後的 float32 MSE。ROI Phase2 使用 CrossEntropyLoss 與 AdamW with CosineAnnealingLR；Full-image 使用 BCEWithLogitsLoss 與 Sigmoid 推論。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1500"/>
        <w:gridCol w:w="1200"/>
        <w:gridCol w:w="850"/>
        <w:gridCol w:w="840"/>
      </w:tblGrid>
      <w:tr>
        <w:tc>
          <w:tcPr>
            <w:tcW w:w="15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模型</w:t>
            </w:r>
          </w:p>
        </w:tc>
        <w:tc>
          <w:tcPr>
            <w:tcW w:w="12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任務</w:t>
            </w:r>
          </w:p>
        </w:tc>
        <w:tc>
          <w:tcPr>
            <w:tcW w:w="85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Activation</w:t>
            </w:r>
          </w:p>
        </w:tc>
        <w:tc>
          <w:tcPr>
            <w:tcW w:w="84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Loss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ROI Baseline/CLS/Patch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單標籤五分類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Softmax</w:t>
            </w:r>
          </w:p>
        </w:tc>
        <w:tc>
          <w:tcPr>
            <w:tcW w:w="84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CrossEntropyLoss</w:t>
            </w:r>
          </w:p>
        </w:tc>
      </w:tr>
      <w:tr>
        <w:tc>
          <w:tcPr>
            <w:tcW w:w="15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Full-image Patch-transfer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多標籤五分類</w:t>
            </w:r>
          </w:p>
        </w:tc>
        <w:tc>
          <w:tcPr>
            <w:tcW w:w="85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Sigmoid</w:t>
            </w:r>
          </w:p>
        </w:tc>
        <w:tc>
          <w:tcPr>
            <w:tcW w:w="84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BCEWithLogitsLoss</w:t>
            </w:r>
          </w:p>
        </w:tc>
      </w:tr>
    </w:tbl>
    <w:p>
      <w:pPr>
        <w:jc w:val="center"/>
        <w:spacing w:before="40" w:after="50"/>
      </w:pPr>
      <w:r>
        <w:rPr>
          <w:rFonts w:ascii="Times New Roman" w:hAnsi="Times New Roman" w:eastAsia="PMingLiU"/>
          <w:sz w:val="18"/>
          <w:szCs w:val="18"/>
        </w:rPr>
        <w:t xml:space="preserve">表 2　模型任務與訓練設定摘要</w:t>
      </w:r>
    </w:p>
    <w:p>
      <w:r>
        <w:br w:type="page"/>
      </w:r>
    </w:p>
    <w:p>
      <w:pPr>
        <w:keepNext/>
        <w:spacing w:before="70" w:after="20"/>
      </w:pPr>
      <w:r>
        <w:rPr>
          <w:rFonts w:ascii="Times New Roman" w:hAnsi="Times New Roman" w:eastAsia="PMingLiU"/>
          <w:sz w:val="20"/>
          <w:szCs w:val="20"/>
          <w:b/>
          <w:bCs/>
        </w:rPr>
        <w:t xml:space="preserve">3.3 Full-image 與 Demo 流程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Full-image 模型初始化自 ROI Patch Proposed exported checkpoint，轉移時丟棄 ROI head，改接 Dropout(0.2) 與 Linear(768,5) 多標籤 head。推論時輸出五個 raw logits，經 Sigmoid 得到獨立類別機率，再套用 validation thresholds：0.50、0.50、0.39、0.36、0.34。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800"/>
        <w:gridCol w:w="3590"/>
      </w:tblGrid>
      <w:tr>
        <w:tc>
          <w:tcPr>
            <w:tcW w:w="8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步驟</w:t>
            </w:r>
          </w:p>
        </w:tc>
        <w:tc>
          <w:tcPr>
            <w:tcW w:w="359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內容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1</w:t>
            </w:r>
          </w:p>
        </w:tc>
        <w:tc>
          <w:tcPr>
            <w:tcW w:w="3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Full-image 224×224 輸入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2</w:t>
            </w:r>
          </w:p>
        </w:tc>
        <w:tc>
          <w:tcPr>
            <w:tcW w:w="3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ConvNeXt-Tiny inference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3</w:t>
            </w:r>
          </w:p>
        </w:tc>
        <w:tc>
          <w:tcPr>
            <w:tcW w:w="3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Sigmoid + per-class thresholds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4</w:t>
            </w:r>
          </w:p>
        </w:tc>
        <w:tc>
          <w:tcPr>
            <w:tcW w:w="3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Predicted vector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5</w:t>
            </w:r>
          </w:p>
        </w:tc>
        <w:tc>
          <w:tcPr>
            <w:tcW w:w="3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Ground Truth post-hoc comparison</w:t>
            </w:r>
          </w:p>
        </w:tc>
      </w:tr>
      <w:tr>
        <w:tc>
          <w:tcPr>
            <w:tcW w:w="8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6</w:t>
            </w:r>
          </w:p>
        </w:tc>
        <w:tc>
          <w:tcPr>
            <w:tcW w:w="35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Ollama text generation and report export</w:t>
            </w:r>
          </w:p>
        </w:tc>
      </w:tr>
    </w:tbl>
    <w:p>
      <w:pPr>
        <w:jc w:val="center"/>
        <w:spacing w:before="40" w:after="50"/>
      </w:pPr>
      <w:r>
        <w:rPr>
          <w:rFonts w:ascii="Times New Roman" w:hAnsi="Times New Roman" w:eastAsia="PMingLiU"/>
          <w:sz w:val="18"/>
          <w:szCs w:val="18"/>
        </w:rPr>
        <w:t xml:space="preserve">圖 2　Full-image Demo 推論與報告流程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Ground Truth 僅作 Demo 後處理比對，不輸入模型，也不傳給 Ollama。Ollama 只根據本機模型輸出的結構化結果生成說明文字，不直接判讀胸腔 X 光影像。</w:t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4. 實驗結果與討論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Phase 1 結果顯示 CLS distillation 完成 30 epochs，best average distillation loss 為 0.0003958256，average cosine similarity 為 0.8480030057；Patch distillation 完成 84 epochs，monitor MSE 為 0.0002644237，monitor cosine 為 0.89846133。這些結果代表特徵對齊程度，不能直接解讀為分類指標全面最佳。</w:t>
      </w:r>
    </w:p>
    <w:p>
      <w:r>
        <w:br w:type="page"/>
      </w:r>
    </w:p>
    <w:p>
      <w:pPr>
        <w:keepNext/>
        <w:spacing w:before="70" w:after="20"/>
      </w:pPr>
      <w:r>
        <w:rPr>
          <w:rFonts w:ascii="Times New Roman" w:hAnsi="Times New Roman" w:eastAsia="PMingLiU"/>
          <w:sz w:val="20"/>
          <w:szCs w:val="20"/>
          <w:b/>
          <w:bCs/>
        </w:rPr>
        <w:t xml:space="preserve">4.1 ROI 五分類結果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1480"/>
        <w:gridCol w:w="720"/>
        <w:gridCol w:w="720"/>
        <w:gridCol w:w="720"/>
        <w:gridCol w:w="750"/>
      </w:tblGrid>
      <w:tr>
        <w:tc>
          <w:tcPr>
            <w:tcW w:w="148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模型</w:t>
            </w:r>
          </w:p>
        </w:tc>
        <w:tc>
          <w:tcPr>
            <w:tcW w:w="72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Accuracy</w:t>
            </w:r>
          </w:p>
        </w:tc>
        <w:tc>
          <w:tcPr>
            <w:tcW w:w="72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Macro-F1</w:t>
            </w:r>
          </w:p>
        </w:tc>
        <w:tc>
          <w:tcPr>
            <w:tcW w:w="72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Weighted-F1</w:t>
            </w:r>
          </w:p>
        </w:tc>
        <w:tc>
          <w:tcPr>
            <w:tcW w:w="75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Macro-AUROC</w:t>
            </w:r>
          </w:p>
        </w:tc>
      </w:tr>
      <w:tr>
        <w:tc>
          <w:tcPr>
            <w:tcW w:w="148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ImageNet Baseline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0.7996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0.8080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0.7904</w:t>
            </w:r>
          </w:p>
        </w:tc>
        <w:tc>
          <w:tcPr>
            <w:tcW w:w="75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0.9484</w:t>
            </w:r>
          </w:p>
        </w:tc>
      </w:tr>
      <w:tr>
        <w:tc>
          <w:tcPr>
            <w:tcW w:w="148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RAD-DINO CLS Proposed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0.7930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0.8017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0.7844</w:t>
            </w:r>
          </w:p>
        </w:tc>
        <w:tc>
          <w:tcPr>
            <w:tcW w:w="75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0.9507</w:t>
            </w:r>
          </w:p>
        </w:tc>
      </w:tr>
      <w:tr>
        <w:tc>
          <w:tcPr>
            <w:tcW w:w="148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RAD-DINO Patch Proposed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0.7996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0.8053</w:t>
            </w:r>
          </w:p>
        </w:tc>
        <w:tc>
          <w:tcPr>
            <w:tcW w:w="72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0.7918</w:t>
            </w:r>
          </w:p>
        </w:tc>
        <w:tc>
          <w:tcPr>
            <w:tcW w:w="75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0.9506</w:t>
            </w:r>
          </w:p>
        </w:tc>
      </w:tr>
    </w:tbl>
    <w:p>
      <w:pPr>
        <w:jc w:val="center"/>
        <w:spacing w:before="40" w:after="50"/>
      </w:pPr>
      <w:r>
        <w:rPr>
          <w:rFonts w:ascii="Times New Roman" w:hAnsi="Times New Roman" w:eastAsia="PMingLiU"/>
          <w:sz w:val="18"/>
          <w:szCs w:val="18"/>
        </w:rPr>
        <w:t xml:space="preserve">表 3　ROI 三模型正式測試結果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ROI 結果顯示 Patch Proposed 在 Weighted-F1 與 Macro-AUROC 具競爭力，但 Accuracy 與 Baseline 相同，Macro-F1 略低於 Baseline。Bootstrap 主要比較的 95% CI 皆跨越 0，因此本文不宣稱 Patch Proposed 對 Baseline 具有統計顯著優勢。</w:t>
      </w:r>
    </w:p>
    <w:p>
      <w:pPr>
        <w:keepNext/>
        <w:spacing w:before="70" w:after="20"/>
      </w:pPr>
      <w:r>
        <w:rPr>
          <w:rFonts w:ascii="Times New Roman" w:hAnsi="Times New Roman" w:eastAsia="PMingLiU"/>
          <w:sz w:val="20"/>
          <w:szCs w:val="20"/>
          <w:b/>
          <w:bCs/>
        </w:rPr>
        <w:t xml:space="preserve">4.2 Full-image 多標籤結果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2100"/>
        <w:gridCol w:w="2290"/>
      </w:tblGrid>
      <w:tr>
        <w:tc>
          <w:tcPr>
            <w:tcW w:w="21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Metric</w:t>
            </w:r>
          </w:p>
        </w:tc>
        <w:tc>
          <w:tcPr>
            <w:tcW w:w="229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Value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Macro-F1</w:t>
            </w:r>
          </w:p>
        </w:tc>
        <w:tc>
          <w:tcPr>
            <w:tcW w:w="22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0.7865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Micro-F1</w:t>
            </w:r>
          </w:p>
        </w:tc>
        <w:tc>
          <w:tcPr>
            <w:tcW w:w="22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0.7859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Exact Subset Accuracy</w:t>
            </w:r>
          </w:p>
        </w:tc>
        <w:tc>
          <w:tcPr>
            <w:tcW w:w="22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0.1695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Hamming Loss</w:t>
            </w:r>
          </w:p>
        </w:tc>
        <w:tc>
          <w:tcPr>
            <w:tcW w:w="22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0.2881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Macro-AUROC</w:t>
            </w:r>
          </w:p>
        </w:tc>
        <w:tc>
          <w:tcPr>
            <w:tcW w:w="22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0.7660</w:t>
            </w:r>
          </w:p>
        </w:tc>
      </w:tr>
      <w:tr>
        <w:tc>
          <w:tcPr>
            <w:tcW w:w="21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Micro-AUROC</w:t>
            </w:r>
          </w:p>
        </w:tc>
        <w:tc>
          <w:tcPr>
            <w:tcW w:w="22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0.7760</w:t>
            </w:r>
          </w:p>
        </w:tc>
      </w:tr>
    </w:tbl>
    <w:p>
      <w:pPr>
        <w:jc w:val="center"/>
        <w:spacing w:before="40" w:after="50"/>
      </w:pPr>
      <w:r>
        <w:rPr>
          <w:rFonts w:ascii="Times New Roman" w:hAnsi="Times New Roman" w:eastAsia="PMingLiU"/>
          <w:sz w:val="18"/>
          <w:szCs w:val="18"/>
        </w:rPr>
        <w:t xml:space="preserve">表 4　Full-image 多標籤測試結果</w:t>
      </w:r>
    </w:p>
    <w:p>
      <w:r>
        <w:br w:type="page"/>
      </w:r>
    </w:p>
    <w:p>
      <w:pPr>
        <w:keepNext/>
        <w:spacing w:before="70" w:after="20"/>
      </w:pPr>
      <w:r>
        <w:rPr>
          <w:rFonts w:ascii="Times New Roman" w:hAnsi="Times New Roman" w:eastAsia="PMingLiU"/>
          <w:sz w:val="20"/>
          <w:szCs w:val="20"/>
          <w:b/>
          <w:bCs/>
        </w:rPr>
        <w:t xml:space="preserve">4.3 討論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ROI 與 Full-image 的評估指標不應直接等同比較。ROI Accuracy 為單一標籤分類正確率；Full-image Exact Subset Accuracy 要求一張影像所有標籤完全一致，因此較嚴格。Full-image 的 Macro-F1 與 Micro-F1 反映多標籤預測能力，而 Exact Subset Accuracy 反映整張影像向量完全吻合程度。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blGrid>
        <w:gridCol w:w="1300"/>
        <w:gridCol w:w="3090"/>
      </w:tblGrid>
      <w:tr>
        <w:tc>
          <w:tcPr>
            <w:tcW w:w="130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比較面向</w:t>
            </w:r>
          </w:p>
        </w:tc>
        <w:tc>
          <w:tcPr>
            <w:tcW w:w="3090" w:type="dxa"/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  <w:b/>
                <w:bCs/>
              </w:rPr>
              <w:t xml:space="preserve">保守解讀</w:t>
            </w:r>
          </w:p>
        </w:tc>
      </w:tr>
      <w:tr>
        <w:tc>
          <w:tcPr>
            <w:tcW w:w="13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Patch Proposed</w:t>
            </w:r>
          </w:p>
        </w:tc>
        <w:tc>
          <w:tcPr>
            <w:tcW w:w="30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可作為後續 Full-image transfer backbone，但不宣稱全面勝過 Baseline</w:t>
            </w:r>
          </w:p>
        </w:tc>
      </w:tr>
      <w:tr>
        <w:tc>
          <w:tcPr>
            <w:tcW w:w="13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Full-image</w:t>
            </w:r>
          </w:p>
        </w:tc>
        <w:tc>
          <w:tcPr>
            <w:tcW w:w="30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能輸出五類多標籤機率與報告，尚非臨床驗證系統</w:t>
            </w:r>
          </w:p>
        </w:tc>
      </w:tr>
      <w:tr>
        <w:tc>
          <w:tcPr>
            <w:tcW w:w="130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Demo</w:t>
            </w:r>
          </w:p>
        </w:tc>
        <w:tc>
          <w:tcPr>
            <w:tcW w:w="3090" w:type="dxa"/>
          </w:tcPr>
          <w:p>
            <w:pPr>
              <w:spacing w:after="0"/>
            </w:pPr>
            <w:r>
              <w:rPr>
                <w:rFonts w:ascii="Times New Roman" w:hAnsi="Times New Roman" w:eastAsia="PMingLiU"/>
                <w:sz w:val="16"/>
                <w:szCs w:val="16"/>
              </w:rPr>
              <w:t xml:space="preserve">支援 Ground Truth 事後比對與 Ollama 說明，不讓標註進入模型或 LLM</w:t>
            </w:r>
          </w:p>
        </w:tc>
      </w:tr>
    </w:tbl>
    <w:p>
      <w:pPr>
        <w:jc w:val="center"/>
        <w:spacing w:before="40" w:after="50"/>
      </w:pPr>
      <w:r>
        <w:rPr>
          <w:rFonts w:ascii="Times New Roman" w:hAnsi="Times New Roman" w:eastAsia="PMingLiU"/>
          <w:sz w:val="18"/>
          <w:szCs w:val="18"/>
        </w:rPr>
        <w:t xml:space="preserve">圖 3　結果解讀與系統角色界線</w:t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5. 系統實作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系統主程式為 Gradio Demo，核心流程為完整影像輸入、ConvNeXt-Tiny 多標籤推論、Sigmoid 與 thresholds 轉換、Ground Truth 事後比對、Ollama 說明生成與 session/report 輸出。Demo 不使用即時 ROI crop、BBox 偵測或 YOLO 流程。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系統輸出包含五類機率、預測陽性標籤、Ground Truth 比對結果與下載報告。報告固定加入非正式診斷警語，避免將模型輸出包裝為正式醫療診斷。</w:t>
      </w:r>
    </w:p>
    <w:p>
      <w:r>
        <w:br w:type="page"/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6. 結論與未來工作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本研究完成從 ROI 特徵蒸餾、ROI 分類、Full-image 多標籤模型到 Gradio/Ollama 報告系統的整合原型。實驗結果支持 Patch Proposed backbone 可作為 Full-image transfer 的初始化來源，但 ROI 三模型間未呈現統計顯著差異；Full-image 結果亦尚未進行外部資料集驗證。</w:t>
      </w:r>
    </w:p>
    <w:p>
      <w:pPr>
        <w:jc w:val="both"/>
        <w:spacing w:after="30" w:line="240" w:lineRule="auto"/>
      </w:pPr>
      <w:r>
        <w:rPr>
          <w:rFonts w:ascii="Times New Roman" w:hAnsi="Times New Roman" w:eastAsia="PMingLiU"/>
          <w:sz w:val="20"/>
          <w:szCs w:val="20"/>
        </w:rPr>
        <w:t xml:space="preserve">未來工作包含補齊正式外部文獻引用、進行外部資料集驗證、擴充人工審查、補充 Full-image bootstrap confidence interval，並進一步改善報告生成的安全與醫療語氣控制。</w:t>
      </w:r>
    </w:p>
    <w:p>
      <w:pPr>
        <w:keepNext/>
        <w:spacing w:before="100" w:after="40"/>
      </w:pPr>
      <w:r>
        <w:rPr>
          <w:rFonts w:ascii="Times New Roman" w:hAnsi="Times New Roman" w:eastAsia="PMingLiU"/>
          <w:sz w:val="22"/>
          <w:szCs w:val="22"/>
          <w:b/>
          <w:bCs/>
        </w:rPr>
        <w:t xml:space="preserve">參考文獻</w:t>
      </w:r>
    </w:p>
    <w:p>
      <w:pPr>
        <w:jc w:val="both"/>
        <w:spacing w:after="20" w:line="220" w:lineRule="auto"/>
      </w:pPr>
      <w:r>
        <w:rPr>
          <w:rFonts w:ascii="Times New Roman" w:hAnsi="Times New Roman" w:eastAsia="PMingLiU"/>
          <w:sz w:val="18"/>
          <w:szCs w:val="18"/>
        </w:rPr>
        <w:t xml:space="preserve">[1] G. Hinton, O. Vinyals, and J. Dean, "Distilling the Knowledge in a Neural Network," arXiv:1503.02531, 2015.</w:t>
      </w:r>
    </w:p>
    <w:p>
      <w:pPr>
        <w:jc w:val="both"/>
        <w:spacing w:after="20" w:line="220" w:lineRule="auto"/>
      </w:pPr>
      <w:r>
        <w:rPr>
          <w:rFonts w:ascii="Times New Roman" w:hAnsi="Times New Roman" w:eastAsia="PMingLiU"/>
          <w:sz w:val="18"/>
          <w:szCs w:val="18"/>
        </w:rPr>
        <w:t xml:space="preserve">[2] Z. Liu et al., "A ConvNet for the 2020s," Proceedings of the IEEE/CVF Conference on Computer Vision and Pattern Recognition, 2022.</w:t>
      </w:r>
    </w:p>
    <w:p>
      <w:pPr>
        <w:jc w:val="both"/>
        <w:spacing w:after="20" w:line="220" w:lineRule="auto"/>
      </w:pPr>
      <w:r>
        <w:rPr>
          <w:rFonts w:ascii="Times New Roman" w:hAnsi="Times New Roman" w:eastAsia="PMingLiU"/>
          <w:sz w:val="18"/>
          <w:szCs w:val="18"/>
        </w:rPr>
        <w:t xml:space="preserve">註：正式投稿前仍建議由作者補齊 RAD-DINO、醫學影像多標籤分類與 LLM 報告生成相關文獻。</w:t>
      </w:r>
    </w:p>
    <w:sectPr>
      <w:pgSz w:w="11906" w:h="16838"/>
      <w:pgMar w:top="1418" w:right="1418" w:bottom="1418" w:left="1418" w:header="708" w:footer="708" w:gutter="0"/>
      <w:cols w:num="2" w:space="283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PMingLiU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