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DBEB" w14:textId="2C5356E1" w:rsidR="008B2273" w:rsidRPr="004A7BA5" w:rsidRDefault="00145FAD" w:rsidP="008B2273">
      <w:pPr>
        <w:rPr>
          <w:rFonts w:cstheme="minorHAnsi"/>
          <w:b/>
          <w:u w:val="single"/>
        </w:rPr>
      </w:pPr>
      <w:r>
        <w:rPr>
          <w:rFonts w:cstheme="minorHAnsi"/>
          <w:b/>
          <w:u w:val="single"/>
        </w:rPr>
        <w:t>ATM</w:t>
      </w:r>
      <w:r w:rsidR="008B2273">
        <w:rPr>
          <w:rFonts w:cstheme="minorHAnsi"/>
          <w:b/>
          <w:u w:val="single"/>
        </w:rPr>
        <w:t xml:space="preserve"> ACQUIRING SERVICE _- ANALYSIS</w:t>
      </w:r>
    </w:p>
    <w:p w14:paraId="7902932B" w14:textId="2430EB2B" w:rsidR="008B2273" w:rsidRPr="004A7BA5" w:rsidRDefault="00145FAD" w:rsidP="008B2273">
      <w:pPr>
        <w:pStyle w:val="ListParagraph"/>
        <w:numPr>
          <w:ilvl w:val="0"/>
          <w:numId w:val="2"/>
        </w:numPr>
        <w:rPr>
          <w:rFonts w:cstheme="minorHAnsi"/>
          <w:b/>
        </w:rPr>
      </w:pPr>
      <w:r>
        <w:rPr>
          <w:rFonts w:cstheme="minorHAnsi"/>
          <w:b/>
        </w:rPr>
        <w:t>ATM</w:t>
      </w:r>
      <w:r w:rsidR="008B2273" w:rsidRPr="004A7BA5">
        <w:rPr>
          <w:rFonts w:cstheme="minorHAnsi"/>
          <w:b/>
        </w:rPr>
        <w:t xml:space="preserve"> </w:t>
      </w:r>
      <w:r w:rsidR="008B2273">
        <w:rPr>
          <w:rFonts w:cstheme="minorHAnsi"/>
          <w:b/>
        </w:rPr>
        <w:t>Analysis (</w:t>
      </w:r>
      <w:r>
        <w:rPr>
          <w:rFonts w:cstheme="minorHAnsi"/>
          <w:b/>
        </w:rPr>
        <w:t>Oct</w:t>
      </w:r>
      <w:r w:rsidR="008B2273">
        <w:rPr>
          <w:rFonts w:cstheme="minorHAnsi"/>
          <w:b/>
        </w:rPr>
        <w:t>)</w:t>
      </w:r>
    </w:p>
    <w:tbl>
      <w:tblPr>
        <w:tblStyle w:val="TableGrid"/>
        <w:tblW w:w="5082" w:type="dxa"/>
        <w:tblInd w:w="695" w:type="dxa"/>
        <w:tblLook w:val="04A0" w:firstRow="1" w:lastRow="0" w:firstColumn="1" w:lastColumn="0" w:noHBand="0" w:noVBand="1"/>
      </w:tblPr>
      <w:tblGrid>
        <w:gridCol w:w="2624"/>
        <w:gridCol w:w="2458"/>
      </w:tblGrid>
      <w:tr w:rsidR="008B2273" w:rsidRPr="004A7BA5" w14:paraId="6B9A3C4B" w14:textId="77777777" w:rsidTr="00E1421E">
        <w:trPr>
          <w:trHeight w:val="305"/>
        </w:trPr>
        <w:tc>
          <w:tcPr>
            <w:tcW w:w="5082" w:type="dxa"/>
            <w:gridSpan w:val="2"/>
            <w:noWrap/>
            <w:hideMark/>
          </w:tcPr>
          <w:p w14:paraId="72D4DFCA" w14:textId="68552933" w:rsidR="008B2273" w:rsidRPr="004A7BA5" w:rsidRDefault="00145FAD" w:rsidP="00E1421E">
            <w:pPr>
              <w:rPr>
                <w:rFonts w:cstheme="minorHAnsi"/>
                <w:b/>
                <w:bCs/>
              </w:rPr>
            </w:pPr>
            <w:r>
              <w:rPr>
                <w:rFonts w:cstheme="minorHAnsi"/>
                <w:b/>
                <w:bCs/>
              </w:rPr>
              <w:t>ATM</w:t>
            </w:r>
            <w:r w:rsidR="008B2273" w:rsidRPr="004A7BA5">
              <w:rPr>
                <w:rFonts w:cstheme="minorHAnsi"/>
                <w:b/>
                <w:bCs/>
              </w:rPr>
              <w:t xml:space="preserve"> Success and Failure Rate (202</w:t>
            </w:r>
            <w:r w:rsidR="008B2273">
              <w:rPr>
                <w:rFonts w:cstheme="minorHAnsi"/>
                <w:b/>
                <w:bCs/>
              </w:rPr>
              <w:t>5</w:t>
            </w:r>
            <w:r w:rsidR="008B2273" w:rsidRPr="004A7BA5">
              <w:rPr>
                <w:rFonts w:cstheme="minorHAnsi"/>
                <w:b/>
                <w:bCs/>
              </w:rPr>
              <w:t>)</w:t>
            </w:r>
          </w:p>
        </w:tc>
      </w:tr>
      <w:tr w:rsidR="008B2273" w:rsidRPr="004A7BA5" w14:paraId="2A5F5287" w14:textId="77777777" w:rsidTr="00E1421E">
        <w:trPr>
          <w:trHeight w:val="305"/>
        </w:trPr>
        <w:tc>
          <w:tcPr>
            <w:tcW w:w="5082" w:type="dxa"/>
            <w:gridSpan w:val="2"/>
            <w:noWrap/>
            <w:hideMark/>
          </w:tcPr>
          <w:p w14:paraId="17080974" w14:textId="5587A0ED" w:rsidR="008B2273" w:rsidRPr="004A7BA5" w:rsidRDefault="00145FAD" w:rsidP="00E1421E">
            <w:pPr>
              <w:jc w:val="center"/>
              <w:rPr>
                <w:rFonts w:cstheme="minorHAnsi"/>
                <w:b/>
                <w:bCs/>
              </w:rPr>
            </w:pPr>
            <w:r>
              <w:rPr>
                <w:rFonts w:cstheme="minorHAnsi"/>
                <w:b/>
                <w:bCs/>
              </w:rPr>
              <w:t>Oct</w:t>
            </w:r>
          </w:p>
        </w:tc>
      </w:tr>
      <w:tr w:rsidR="008B2273" w:rsidRPr="004A7BA5" w14:paraId="5CDD9AC9" w14:textId="77777777" w:rsidTr="00E1421E">
        <w:trPr>
          <w:trHeight w:val="305"/>
        </w:trPr>
        <w:tc>
          <w:tcPr>
            <w:tcW w:w="2624" w:type="dxa"/>
            <w:noWrap/>
            <w:hideMark/>
          </w:tcPr>
          <w:p w14:paraId="25EDBF0A" w14:textId="77777777" w:rsidR="008B2273" w:rsidRPr="004A7BA5" w:rsidRDefault="008B2273" w:rsidP="00E1421E">
            <w:pPr>
              <w:rPr>
                <w:rFonts w:cstheme="minorHAnsi"/>
                <w:b/>
              </w:rPr>
            </w:pPr>
            <w:r w:rsidRPr="004A7BA5">
              <w:rPr>
                <w:rFonts w:cstheme="minorHAnsi"/>
                <w:b/>
              </w:rPr>
              <w:t>Success Rate</w:t>
            </w:r>
          </w:p>
        </w:tc>
        <w:tc>
          <w:tcPr>
            <w:tcW w:w="2458" w:type="dxa"/>
            <w:noWrap/>
            <w:hideMark/>
          </w:tcPr>
          <w:p w14:paraId="2CC6ACBD" w14:textId="77777777" w:rsidR="008B2273" w:rsidRPr="004A7BA5" w:rsidRDefault="008B2273" w:rsidP="00E1421E">
            <w:pPr>
              <w:rPr>
                <w:rFonts w:cstheme="minorHAnsi"/>
                <w:b/>
              </w:rPr>
            </w:pPr>
            <w:r w:rsidRPr="004A7BA5">
              <w:rPr>
                <w:rFonts w:cstheme="minorHAnsi"/>
                <w:b/>
              </w:rPr>
              <w:t>Failure Rate</w:t>
            </w:r>
          </w:p>
        </w:tc>
      </w:tr>
      <w:tr w:rsidR="008B2273" w:rsidRPr="004A7BA5" w14:paraId="581830FE" w14:textId="77777777" w:rsidTr="00E1421E">
        <w:trPr>
          <w:trHeight w:val="305"/>
        </w:trPr>
        <w:tc>
          <w:tcPr>
            <w:tcW w:w="2624" w:type="dxa"/>
            <w:noWrap/>
            <w:hideMark/>
          </w:tcPr>
          <w:p w14:paraId="3C87FFD7" w14:textId="1477DEDF" w:rsidR="008B2273" w:rsidRPr="004A7BA5" w:rsidRDefault="00145FAD" w:rsidP="00E1421E">
            <w:pPr>
              <w:jc w:val="center"/>
              <w:rPr>
                <w:rFonts w:cstheme="minorHAnsi"/>
                <w:b/>
              </w:rPr>
            </w:pPr>
            <w:r>
              <w:rPr>
                <w:rFonts w:cstheme="minorHAnsi"/>
                <w:b/>
              </w:rPr>
              <w:t>69.62</w:t>
            </w:r>
            <w:r w:rsidR="008B2273" w:rsidRPr="004A7BA5">
              <w:rPr>
                <w:rFonts w:cstheme="minorHAnsi"/>
                <w:b/>
              </w:rPr>
              <w:t>%</w:t>
            </w:r>
          </w:p>
        </w:tc>
        <w:tc>
          <w:tcPr>
            <w:tcW w:w="2458" w:type="dxa"/>
            <w:noWrap/>
            <w:hideMark/>
          </w:tcPr>
          <w:p w14:paraId="486EA762" w14:textId="5DDFF677" w:rsidR="008B2273" w:rsidRPr="004A7BA5" w:rsidRDefault="00145FAD" w:rsidP="00E1421E">
            <w:pPr>
              <w:jc w:val="center"/>
              <w:rPr>
                <w:rFonts w:cstheme="minorHAnsi"/>
                <w:b/>
              </w:rPr>
            </w:pPr>
            <w:r>
              <w:rPr>
                <w:rFonts w:cstheme="minorHAnsi"/>
                <w:b/>
              </w:rPr>
              <w:t>30.38</w:t>
            </w:r>
            <w:r w:rsidR="008B2273" w:rsidRPr="004A7BA5">
              <w:rPr>
                <w:rFonts w:cstheme="minorHAnsi"/>
                <w:b/>
              </w:rPr>
              <w:t>%</w:t>
            </w:r>
          </w:p>
        </w:tc>
      </w:tr>
    </w:tbl>
    <w:p w14:paraId="331C6AAC" w14:textId="77777777" w:rsidR="008B2273" w:rsidRPr="00E11845" w:rsidRDefault="008B2273" w:rsidP="008B2273">
      <w:pPr>
        <w:rPr>
          <w:rFonts w:cstheme="minorHAnsi"/>
        </w:rPr>
      </w:pPr>
      <w:r w:rsidRPr="00E11845">
        <w:rPr>
          <w:rFonts w:cstheme="minorHAnsi"/>
          <w:b/>
        </w:rPr>
        <w:br/>
      </w:r>
    </w:p>
    <w:p w14:paraId="64351FA0" w14:textId="77777777" w:rsidR="008B2273" w:rsidRPr="002E5084" w:rsidRDefault="008B2273" w:rsidP="008B2273">
      <w:pPr>
        <w:pStyle w:val="ListParagraph"/>
        <w:numPr>
          <w:ilvl w:val="0"/>
          <w:numId w:val="1"/>
        </w:numPr>
        <w:rPr>
          <w:rFonts w:cstheme="minorHAnsi"/>
          <w:b/>
        </w:rPr>
      </w:pPr>
      <w:r w:rsidRPr="002E5084">
        <w:rPr>
          <w:rFonts w:cstheme="minorHAnsi"/>
          <w:b/>
        </w:rPr>
        <w:t>T</w:t>
      </w:r>
      <w:r>
        <w:rPr>
          <w:rFonts w:cstheme="minorHAnsi"/>
          <w:b/>
        </w:rPr>
        <w:t>op</w:t>
      </w:r>
      <w:r w:rsidRPr="002E5084">
        <w:rPr>
          <w:rFonts w:cstheme="minorHAnsi"/>
          <w:b/>
        </w:rPr>
        <w:t xml:space="preserve"> Business failure</w:t>
      </w:r>
    </w:p>
    <w:tbl>
      <w:tblPr>
        <w:tblW w:w="10393" w:type="dxa"/>
        <w:tblLook w:val="04A0" w:firstRow="1" w:lastRow="0" w:firstColumn="1" w:lastColumn="0" w:noHBand="0" w:noVBand="1"/>
      </w:tblPr>
      <w:tblGrid>
        <w:gridCol w:w="3741"/>
        <w:gridCol w:w="963"/>
        <w:gridCol w:w="5689"/>
      </w:tblGrid>
      <w:tr w:rsidR="00507CDC" w:rsidRPr="00507CDC" w14:paraId="354C8B5F" w14:textId="77777777" w:rsidTr="00507CDC">
        <w:trPr>
          <w:trHeight w:val="259"/>
        </w:trPr>
        <w:tc>
          <w:tcPr>
            <w:tcW w:w="3741" w:type="dxa"/>
            <w:tcBorders>
              <w:top w:val="single" w:sz="4" w:space="0" w:color="auto"/>
              <w:left w:val="single" w:sz="4" w:space="0" w:color="auto"/>
              <w:bottom w:val="single" w:sz="4" w:space="0" w:color="auto"/>
              <w:right w:val="single" w:sz="4" w:space="0" w:color="auto"/>
            </w:tcBorders>
            <w:vAlign w:val="center"/>
            <w:hideMark/>
          </w:tcPr>
          <w:p w14:paraId="5C29332D" w14:textId="77777777" w:rsidR="00507CDC" w:rsidRPr="00507CDC" w:rsidRDefault="00507CDC" w:rsidP="00507CDC">
            <w:pPr>
              <w:spacing w:after="0" w:line="240" w:lineRule="auto"/>
              <w:jc w:val="center"/>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Description</w:t>
            </w:r>
          </w:p>
        </w:tc>
        <w:tc>
          <w:tcPr>
            <w:tcW w:w="963" w:type="dxa"/>
            <w:tcBorders>
              <w:top w:val="single" w:sz="4" w:space="0" w:color="auto"/>
              <w:left w:val="nil"/>
              <w:bottom w:val="single" w:sz="4" w:space="0" w:color="auto"/>
              <w:right w:val="single" w:sz="4" w:space="0" w:color="auto"/>
            </w:tcBorders>
            <w:vAlign w:val="center"/>
            <w:hideMark/>
          </w:tcPr>
          <w:p w14:paraId="339D3991" w14:textId="77777777" w:rsidR="00507CDC" w:rsidRPr="00507CDC" w:rsidRDefault="00507CDC" w:rsidP="00507CDC">
            <w:pPr>
              <w:spacing w:after="0" w:line="240" w:lineRule="auto"/>
              <w:jc w:val="center"/>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Volume</w:t>
            </w:r>
          </w:p>
        </w:tc>
        <w:tc>
          <w:tcPr>
            <w:tcW w:w="5689" w:type="dxa"/>
            <w:tcBorders>
              <w:top w:val="single" w:sz="4" w:space="0" w:color="auto"/>
              <w:left w:val="nil"/>
              <w:bottom w:val="single" w:sz="4" w:space="0" w:color="auto"/>
              <w:right w:val="single" w:sz="4" w:space="0" w:color="auto"/>
            </w:tcBorders>
            <w:vAlign w:val="center"/>
            <w:hideMark/>
          </w:tcPr>
          <w:p w14:paraId="31B62F97" w14:textId="77777777" w:rsidR="00507CDC" w:rsidRPr="00507CDC" w:rsidRDefault="00507CDC" w:rsidP="00507CDC">
            <w:pPr>
              <w:spacing w:after="0" w:line="240" w:lineRule="auto"/>
              <w:jc w:val="center"/>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Typical Cause</w:t>
            </w:r>
          </w:p>
        </w:tc>
      </w:tr>
      <w:tr w:rsidR="00507CDC" w:rsidRPr="00507CDC" w14:paraId="629C8694"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548B9B58"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Incorrect PIN</w:t>
            </w:r>
          </w:p>
        </w:tc>
        <w:tc>
          <w:tcPr>
            <w:tcW w:w="963" w:type="dxa"/>
            <w:tcBorders>
              <w:top w:val="nil"/>
              <w:left w:val="nil"/>
              <w:bottom w:val="single" w:sz="4" w:space="0" w:color="auto"/>
              <w:right w:val="single" w:sz="4" w:space="0" w:color="auto"/>
            </w:tcBorders>
            <w:vAlign w:val="center"/>
            <w:hideMark/>
          </w:tcPr>
          <w:p w14:paraId="0AD36506"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395</w:t>
            </w:r>
          </w:p>
        </w:tc>
        <w:tc>
          <w:tcPr>
            <w:tcW w:w="5689" w:type="dxa"/>
            <w:tcBorders>
              <w:top w:val="nil"/>
              <w:left w:val="nil"/>
              <w:bottom w:val="single" w:sz="4" w:space="0" w:color="auto"/>
              <w:right w:val="single" w:sz="4" w:space="0" w:color="auto"/>
            </w:tcBorders>
            <w:vAlign w:val="center"/>
            <w:hideMark/>
          </w:tcPr>
          <w:p w14:paraId="6AD759CA"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Cardholder entered the wrong PIN. May indicate forgotten PIN, keypad entry error, or possible unauthorized usage attempt.</w:t>
            </w:r>
          </w:p>
        </w:tc>
      </w:tr>
      <w:tr w:rsidR="00507CDC" w:rsidRPr="00507CDC" w14:paraId="68603DA3"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29E3C0B2"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Do Not Honour</w:t>
            </w:r>
          </w:p>
        </w:tc>
        <w:tc>
          <w:tcPr>
            <w:tcW w:w="963" w:type="dxa"/>
            <w:tcBorders>
              <w:top w:val="nil"/>
              <w:left w:val="nil"/>
              <w:bottom w:val="single" w:sz="4" w:space="0" w:color="auto"/>
              <w:right w:val="single" w:sz="4" w:space="0" w:color="auto"/>
            </w:tcBorders>
            <w:vAlign w:val="center"/>
            <w:hideMark/>
          </w:tcPr>
          <w:p w14:paraId="216439D8"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148</w:t>
            </w:r>
          </w:p>
        </w:tc>
        <w:tc>
          <w:tcPr>
            <w:tcW w:w="5689" w:type="dxa"/>
            <w:tcBorders>
              <w:top w:val="nil"/>
              <w:left w:val="nil"/>
              <w:bottom w:val="single" w:sz="4" w:space="0" w:color="auto"/>
              <w:right w:val="single" w:sz="4" w:space="0" w:color="auto"/>
            </w:tcBorders>
            <w:vAlign w:val="center"/>
            <w:hideMark/>
          </w:tcPr>
          <w:p w14:paraId="1D0BCA65"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Generic issuer decline; could be triggered by suspected fraud, insufficient balance, temporary issuer restrictions, or incorrect card data.</w:t>
            </w:r>
          </w:p>
        </w:tc>
      </w:tr>
      <w:tr w:rsidR="00507CDC" w:rsidRPr="00507CDC" w14:paraId="1438E0BE"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4F2971DA"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Transaction Not Permitted to Card</w:t>
            </w:r>
          </w:p>
        </w:tc>
        <w:tc>
          <w:tcPr>
            <w:tcW w:w="963" w:type="dxa"/>
            <w:tcBorders>
              <w:top w:val="nil"/>
              <w:left w:val="nil"/>
              <w:bottom w:val="single" w:sz="4" w:space="0" w:color="auto"/>
              <w:right w:val="single" w:sz="4" w:space="0" w:color="auto"/>
            </w:tcBorders>
            <w:vAlign w:val="center"/>
            <w:hideMark/>
          </w:tcPr>
          <w:p w14:paraId="040197A8"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126</w:t>
            </w:r>
          </w:p>
        </w:tc>
        <w:tc>
          <w:tcPr>
            <w:tcW w:w="5689" w:type="dxa"/>
            <w:tcBorders>
              <w:top w:val="nil"/>
              <w:left w:val="nil"/>
              <w:bottom w:val="single" w:sz="4" w:space="0" w:color="auto"/>
              <w:right w:val="single" w:sz="4" w:space="0" w:color="auto"/>
            </w:tcBorders>
            <w:vAlign w:val="center"/>
            <w:hideMark/>
          </w:tcPr>
          <w:p w14:paraId="4C23CB3E"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issuer has disabled this type of transaction on the card (e.g., ATM withdrawals disabled, international restrictions, MCC/block settings).</w:t>
            </w:r>
          </w:p>
        </w:tc>
      </w:tr>
      <w:tr w:rsidR="00507CDC" w:rsidRPr="00507CDC" w14:paraId="7062E6B5"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65129CFB"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Suspected Fraud</w:t>
            </w:r>
          </w:p>
        </w:tc>
        <w:tc>
          <w:tcPr>
            <w:tcW w:w="963" w:type="dxa"/>
            <w:tcBorders>
              <w:top w:val="nil"/>
              <w:left w:val="nil"/>
              <w:bottom w:val="single" w:sz="4" w:space="0" w:color="auto"/>
              <w:right w:val="single" w:sz="4" w:space="0" w:color="auto"/>
            </w:tcBorders>
            <w:vAlign w:val="center"/>
            <w:hideMark/>
          </w:tcPr>
          <w:p w14:paraId="161D3FB9"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120</w:t>
            </w:r>
          </w:p>
        </w:tc>
        <w:tc>
          <w:tcPr>
            <w:tcW w:w="5689" w:type="dxa"/>
            <w:tcBorders>
              <w:top w:val="nil"/>
              <w:left w:val="nil"/>
              <w:bottom w:val="single" w:sz="4" w:space="0" w:color="auto"/>
              <w:right w:val="single" w:sz="4" w:space="0" w:color="auto"/>
            </w:tcBorders>
            <w:vAlign w:val="center"/>
            <w:hideMark/>
          </w:tcPr>
          <w:p w14:paraId="7B225D51" w14:textId="1B2AF41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Transaction flagged by issuer’s fraud monitoring system due to location/</w:t>
            </w:r>
            <w:r w:rsidRPr="00507CDC">
              <w:rPr>
                <w:rFonts w:ascii="Calibri" w:eastAsia="Times New Roman" w:hAnsi="Calibri" w:cs="Calibri"/>
                <w:color w:val="000000"/>
                <w:lang w:val="en-GB" w:eastAsia="en-GB"/>
              </w:rPr>
              <w:t>behaviour</w:t>
            </w:r>
            <w:r w:rsidRPr="00507CDC">
              <w:rPr>
                <w:rFonts w:ascii="Calibri" w:eastAsia="Times New Roman" w:hAnsi="Calibri" w:cs="Calibri"/>
                <w:color w:val="000000"/>
                <w:lang w:val="en-GB" w:eastAsia="en-GB"/>
              </w:rPr>
              <w:t xml:space="preserve"> mismatch, high-risk withdrawal pattern, or velocity checks.</w:t>
            </w:r>
          </w:p>
        </w:tc>
      </w:tr>
      <w:tr w:rsidR="00507CDC" w:rsidRPr="00507CDC" w14:paraId="0D9038E2" w14:textId="77777777" w:rsidTr="00507CDC">
        <w:trPr>
          <w:trHeight w:val="520"/>
        </w:trPr>
        <w:tc>
          <w:tcPr>
            <w:tcW w:w="3741" w:type="dxa"/>
            <w:tcBorders>
              <w:top w:val="nil"/>
              <w:left w:val="single" w:sz="4" w:space="0" w:color="auto"/>
              <w:bottom w:val="single" w:sz="4" w:space="0" w:color="auto"/>
              <w:right w:val="single" w:sz="4" w:space="0" w:color="auto"/>
            </w:tcBorders>
            <w:vAlign w:val="center"/>
            <w:hideMark/>
          </w:tcPr>
          <w:p w14:paraId="1D399861"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Insufficient Funds</w:t>
            </w:r>
          </w:p>
        </w:tc>
        <w:tc>
          <w:tcPr>
            <w:tcW w:w="963" w:type="dxa"/>
            <w:tcBorders>
              <w:top w:val="nil"/>
              <w:left w:val="nil"/>
              <w:bottom w:val="single" w:sz="4" w:space="0" w:color="auto"/>
              <w:right w:val="single" w:sz="4" w:space="0" w:color="auto"/>
            </w:tcBorders>
            <w:vAlign w:val="center"/>
            <w:hideMark/>
          </w:tcPr>
          <w:p w14:paraId="459786FF"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115</w:t>
            </w:r>
          </w:p>
        </w:tc>
        <w:tc>
          <w:tcPr>
            <w:tcW w:w="5689" w:type="dxa"/>
            <w:tcBorders>
              <w:top w:val="nil"/>
              <w:left w:val="nil"/>
              <w:bottom w:val="single" w:sz="4" w:space="0" w:color="auto"/>
              <w:right w:val="single" w:sz="4" w:space="0" w:color="auto"/>
            </w:tcBorders>
            <w:vAlign w:val="center"/>
            <w:hideMark/>
          </w:tcPr>
          <w:p w14:paraId="6122C298"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cardholder's account balance is not sufficient to dispense the requested withdrawal amount.</w:t>
            </w:r>
          </w:p>
        </w:tc>
      </w:tr>
      <w:tr w:rsidR="00507CDC" w:rsidRPr="00507CDC" w14:paraId="4D4F23AD"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70E2ECA6"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Not Supported by Issuer</w:t>
            </w:r>
          </w:p>
        </w:tc>
        <w:tc>
          <w:tcPr>
            <w:tcW w:w="963" w:type="dxa"/>
            <w:tcBorders>
              <w:top w:val="nil"/>
              <w:left w:val="nil"/>
              <w:bottom w:val="single" w:sz="4" w:space="0" w:color="auto"/>
              <w:right w:val="single" w:sz="4" w:space="0" w:color="auto"/>
            </w:tcBorders>
            <w:vAlign w:val="center"/>
            <w:hideMark/>
          </w:tcPr>
          <w:p w14:paraId="4C9D7F22"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98</w:t>
            </w:r>
          </w:p>
        </w:tc>
        <w:tc>
          <w:tcPr>
            <w:tcW w:w="5689" w:type="dxa"/>
            <w:tcBorders>
              <w:top w:val="nil"/>
              <w:left w:val="nil"/>
              <w:bottom w:val="single" w:sz="4" w:space="0" w:color="auto"/>
              <w:right w:val="single" w:sz="4" w:space="0" w:color="auto"/>
            </w:tcBorders>
            <w:vAlign w:val="center"/>
            <w:hideMark/>
          </w:tcPr>
          <w:p w14:paraId="51232BAB"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issuer does not support the requested service or withdrawal type (e.g., account type not enabled for ATM withdrawals).</w:t>
            </w:r>
          </w:p>
        </w:tc>
      </w:tr>
      <w:tr w:rsidR="00507CDC" w:rsidRPr="00507CDC" w14:paraId="6E8AF75F" w14:textId="77777777" w:rsidTr="00507CDC">
        <w:trPr>
          <w:trHeight w:val="520"/>
        </w:trPr>
        <w:tc>
          <w:tcPr>
            <w:tcW w:w="3741" w:type="dxa"/>
            <w:tcBorders>
              <w:top w:val="nil"/>
              <w:left w:val="single" w:sz="4" w:space="0" w:color="auto"/>
              <w:bottom w:val="single" w:sz="4" w:space="0" w:color="auto"/>
              <w:right w:val="single" w:sz="4" w:space="0" w:color="auto"/>
            </w:tcBorders>
            <w:vAlign w:val="center"/>
            <w:hideMark/>
          </w:tcPr>
          <w:p w14:paraId="7018748B"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Card Violation, Cannot Complete</w:t>
            </w:r>
          </w:p>
        </w:tc>
        <w:tc>
          <w:tcPr>
            <w:tcW w:w="963" w:type="dxa"/>
            <w:tcBorders>
              <w:top w:val="nil"/>
              <w:left w:val="nil"/>
              <w:bottom w:val="single" w:sz="4" w:space="0" w:color="auto"/>
              <w:right w:val="single" w:sz="4" w:space="0" w:color="auto"/>
            </w:tcBorders>
            <w:vAlign w:val="center"/>
            <w:hideMark/>
          </w:tcPr>
          <w:p w14:paraId="753BEA62"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77</w:t>
            </w:r>
          </w:p>
        </w:tc>
        <w:tc>
          <w:tcPr>
            <w:tcW w:w="5689" w:type="dxa"/>
            <w:tcBorders>
              <w:top w:val="nil"/>
              <w:left w:val="nil"/>
              <w:bottom w:val="single" w:sz="4" w:space="0" w:color="auto"/>
              <w:right w:val="single" w:sz="4" w:space="0" w:color="auto"/>
            </w:tcBorders>
            <w:vAlign w:val="center"/>
            <w:hideMark/>
          </w:tcPr>
          <w:p w14:paraId="169BB567"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Issuer has restricted the transaction due to card usage policies or cardholder restrictions.</w:t>
            </w:r>
          </w:p>
        </w:tc>
      </w:tr>
      <w:tr w:rsidR="00507CDC" w:rsidRPr="00507CDC" w14:paraId="40710F60" w14:textId="77777777" w:rsidTr="00507CDC">
        <w:trPr>
          <w:trHeight w:val="520"/>
        </w:trPr>
        <w:tc>
          <w:tcPr>
            <w:tcW w:w="3741" w:type="dxa"/>
            <w:tcBorders>
              <w:top w:val="nil"/>
              <w:left w:val="single" w:sz="4" w:space="0" w:color="auto"/>
              <w:bottom w:val="single" w:sz="4" w:space="0" w:color="auto"/>
              <w:right w:val="single" w:sz="4" w:space="0" w:color="auto"/>
            </w:tcBorders>
            <w:vAlign w:val="center"/>
            <w:hideMark/>
          </w:tcPr>
          <w:p w14:paraId="6440F83D"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Exceed Amount Limit</w:t>
            </w:r>
          </w:p>
        </w:tc>
        <w:tc>
          <w:tcPr>
            <w:tcW w:w="963" w:type="dxa"/>
            <w:tcBorders>
              <w:top w:val="nil"/>
              <w:left w:val="nil"/>
              <w:bottom w:val="single" w:sz="4" w:space="0" w:color="auto"/>
              <w:right w:val="single" w:sz="4" w:space="0" w:color="auto"/>
            </w:tcBorders>
            <w:vAlign w:val="center"/>
            <w:hideMark/>
          </w:tcPr>
          <w:p w14:paraId="2B801866"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44</w:t>
            </w:r>
          </w:p>
        </w:tc>
        <w:tc>
          <w:tcPr>
            <w:tcW w:w="5689" w:type="dxa"/>
            <w:tcBorders>
              <w:top w:val="nil"/>
              <w:left w:val="nil"/>
              <w:bottom w:val="single" w:sz="4" w:space="0" w:color="auto"/>
              <w:right w:val="single" w:sz="4" w:space="0" w:color="auto"/>
            </w:tcBorders>
            <w:vAlign w:val="center"/>
            <w:hideMark/>
          </w:tcPr>
          <w:p w14:paraId="6C34CB88"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Withdrawal request exceeds the cardholder’s daily or per-transaction cash withdrawal limit.</w:t>
            </w:r>
          </w:p>
        </w:tc>
      </w:tr>
      <w:tr w:rsidR="00507CDC" w:rsidRPr="00507CDC" w14:paraId="51198364" w14:textId="77777777" w:rsidTr="00507CDC">
        <w:trPr>
          <w:trHeight w:val="520"/>
        </w:trPr>
        <w:tc>
          <w:tcPr>
            <w:tcW w:w="3741" w:type="dxa"/>
            <w:tcBorders>
              <w:top w:val="nil"/>
              <w:left w:val="single" w:sz="4" w:space="0" w:color="auto"/>
              <w:bottom w:val="single" w:sz="4" w:space="0" w:color="auto"/>
              <w:right w:val="single" w:sz="4" w:space="0" w:color="auto"/>
            </w:tcBorders>
            <w:vAlign w:val="center"/>
            <w:hideMark/>
          </w:tcPr>
          <w:p w14:paraId="4C67B02A"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Transaction Not Permitted to Terminal</w:t>
            </w:r>
          </w:p>
        </w:tc>
        <w:tc>
          <w:tcPr>
            <w:tcW w:w="963" w:type="dxa"/>
            <w:tcBorders>
              <w:top w:val="nil"/>
              <w:left w:val="nil"/>
              <w:bottom w:val="single" w:sz="4" w:space="0" w:color="auto"/>
              <w:right w:val="single" w:sz="4" w:space="0" w:color="auto"/>
            </w:tcBorders>
            <w:vAlign w:val="center"/>
            <w:hideMark/>
          </w:tcPr>
          <w:p w14:paraId="40DE1060"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37</w:t>
            </w:r>
          </w:p>
        </w:tc>
        <w:tc>
          <w:tcPr>
            <w:tcW w:w="5689" w:type="dxa"/>
            <w:tcBorders>
              <w:top w:val="nil"/>
              <w:left w:val="nil"/>
              <w:bottom w:val="single" w:sz="4" w:space="0" w:color="auto"/>
              <w:right w:val="single" w:sz="4" w:space="0" w:color="auto"/>
            </w:tcBorders>
            <w:vAlign w:val="center"/>
            <w:hideMark/>
          </w:tcPr>
          <w:p w14:paraId="222719E7"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ATM is not configured or authorized to perform the requested transaction for the given card type/account type.</w:t>
            </w:r>
          </w:p>
        </w:tc>
      </w:tr>
      <w:tr w:rsidR="00507CDC" w:rsidRPr="00507CDC" w14:paraId="0A891DF6"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5AD27050"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Restricted Card</w:t>
            </w:r>
          </w:p>
        </w:tc>
        <w:tc>
          <w:tcPr>
            <w:tcW w:w="963" w:type="dxa"/>
            <w:tcBorders>
              <w:top w:val="nil"/>
              <w:left w:val="nil"/>
              <w:bottom w:val="single" w:sz="4" w:space="0" w:color="auto"/>
              <w:right w:val="single" w:sz="4" w:space="0" w:color="auto"/>
            </w:tcBorders>
            <w:vAlign w:val="center"/>
            <w:hideMark/>
          </w:tcPr>
          <w:p w14:paraId="562B96DC"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29</w:t>
            </w:r>
          </w:p>
        </w:tc>
        <w:tc>
          <w:tcPr>
            <w:tcW w:w="5689" w:type="dxa"/>
            <w:tcBorders>
              <w:top w:val="nil"/>
              <w:left w:val="nil"/>
              <w:bottom w:val="single" w:sz="4" w:space="0" w:color="auto"/>
              <w:right w:val="single" w:sz="4" w:space="0" w:color="auto"/>
            </w:tcBorders>
            <w:vAlign w:val="center"/>
            <w:hideMark/>
          </w:tcPr>
          <w:p w14:paraId="6147620B"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card carries issuer-imposed usage restrictions (e.g., temporarily blocked, geographic restrictions, card control features).</w:t>
            </w:r>
          </w:p>
        </w:tc>
      </w:tr>
      <w:tr w:rsidR="00507CDC" w:rsidRPr="00507CDC" w14:paraId="05F5C5C8" w14:textId="77777777" w:rsidTr="00507CDC">
        <w:trPr>
          <w:trHeight w:val="520"/>
        </w:trPr>
        <w:tc>
          <w:tcPr>
            <w:tcW w:w="3741" w:type="dxa"/>
            <w:tcBorders>
              <w:top w:val="nil"/>
              <w:left w:val="single" w:sz="4" w:space="0" w:color="auto"/>
              <w:bottom w:val="single" w:sz="4" w:space="0" w:color="auto"/>
              <w:right w:val="single" w:sz="4" w:space="0" w:color="auto"/>
            </w:tcBorders>
            <w:vAlign w:val="center"/>
            <w:hideMark/>
          </w:tcPr>
          <w:p w14:paraId="494F114D"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Blocked by Cardholder</w:t>
            </w:r>
          </w:p>
        </w:tc>
        <w:tc>
          <w:tcPr>
            <w:tcW w:w="963" w:type="dxa"/>
            <w:tcBorders>
              <w:top w:val="nil"/>
              <w:left w:val="nil"/>
              <w:bottom w:val="single" w:sz="4" w:space="0" w:color="auto"/>
              <w:right w:val="single" w:sz="4" w:space="0" w:color="auto"/>
            </w:tcBorders>
            <w:vAlign w:val="center"/>
            <w:hideMark/>
          </w:tcPr>
          <w:p w14:paraId="795793E1"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26</w:t>
            </w:r>
          </w:p>
        </w:tc>
        <w:tc>
          <w:tcPr>
            <w:tcW w:w="5689" w:type="dxa"/>
            <w:tcBorders>
              <w:top w:val="nil"/>
              <w:left w:val="nil"/>
              <w:bottom w:val="single" w:sz="4" w:space="0" w:color="auto"/>
              <w:right w:val="single" w:sz="4" w:space="0" w:color="auto"/>
            </w:tcBorders>
            <w:vAlign w:val="center"/>
            <w:hideMark/>
          </w:tcPr>
          <w:p w14:paraId="2FD127EF"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cardholder has manually blocked the card (e.g., via mobile banking) due to loss/theft or security concerns.</w:t>
            </w:r>
          </w:p>
        </w:tc>
      </w:tr>
      <w:tr w:rsidR="00507CDC" w:rsidRPr="00507CDC" w14:paraId="640CCA42"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40B147D9"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No Saving Account</w:t>
            </w:r>
          </w:p>
        </w:tc>
        <w:tc>
          <w:tcPr>
            <w:tcW w:w="963" w:type="dxa"/>
            <w:tcBorders>
              <w:top w:val="nil"/>
              <w:left w:val="nil"/>
              <w:bottom w:val="single" w:sz="4" w:space="0" w:color="auto"/>
              <w:right w:val="single" w:sz="4" w:space="0" w:color="auto"/>
            </w:tcBorders>
            <w:vAlign w:val="center"/>
            <w:hideMark/>
          </w:tcPr>
          <w:p w14:paraId="6C1E2087"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26</w:t>
            </w:r>
          </w:p>
        </w:tc>
        <w:tc>
          <w:tcPr>
            <w:tcW w:w="5689" w:type="dxa"/>
            <w:tcBorders>
              <w:top w:val="nil"/>
              <w:left w:val="nil"/>
              <w:bottom w:val="single" w:sz="4" w:space="0" w:color="auto"/>
              <w:right w:val="single" w:sz="4" w:space="0" w:color="auto"/>
            </w:tcBorders>
            <w:vAlign w:val="center"/>
            <w:hideMark/>
          </w:tcPr>
          <w:p w14:paraId="5AD2CCEF"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selected account type does not exist for the card (e.g., customer selected Savings but only has Current/Credit account).</w:t>
            </w:r>
          </w:p>
        </w:tc>
      </w:tr>
      <w:tr w:rsidR="00507CDC" w:rsidRPr="00507CDC" w14:paraId="4B194733" w14:textId="77777777" w:rsidTr="00507CDC">
        <w:trPr>
          <w:trHeight w:val="781"/>
        </w:trPr>
        <w:tc>
          <w:tcPr>
            <w:tcW w:w="3741" w:type="dxa"/>
            <w:tcBorders>
              <w:top w:val="nil"/>
              <w:left w:val="single" w:sz="4" w:space="0" w:color="auto"/>
              <w:bottom w:val="single" w:sz="4" w:space="0" w:color="auto"/>
              <w:right w:val="single" w:sz="4" w:space="0" w:color="auto"/>
            </w:tcBorders>
            <w:vAlign w:val="center"/>
            <w:hideMark/>
          </w:tcPr>
          <w:p w14:paraId="59B83339" w14:textId="77777777" w:rsidR="00507CDC" w:rsidRPr="00507CDC" w:rsidRDefault="00507CDC" w:rsidP="00507CDC">
            <w:pPr>
              <w:spacing w:after="0" w:line="240" w:lineRule="auto"/>
              <w:rPr>
                <w:rFonts w:ascii="Calibri" w:eastAsia="Times New Roman" w:hAnsi="Calibri" w:cs="Calibri"/>
                <w:b/>
                <w:bCs/>
                <w:color w:val="000000"/>
                <w:lang w:val="en-GB" w:eastAsia="en-GB"/>
              </w:rPr>
            </w:pPr>
            <w:r w:rsidRPr="00507CDC">
              <w:rPr>
                <w:rFonts w:ascii="Calibri" w:eastAsia="Times New Roman" w:hAnsi="Calibri" w:cs="Calibri"/>
                <w:b/>
                <w:bCs/>
                <w:color w:val="000000"/>
                <w:lang w:val="en-GB" w:eastAsia="en-GB"/>
              </w:rPr>
              <w:t>Invalid Transaction</w:t>
            </w:r>
          </w:p>
        </w:tc>
        <w:tc>
          <w:tcPr>
            <w:tcW w:w="963" w:type="dxa"/>
            <w:tcBorders>
              <w:top w:val="nil"/>
              <w:left w:val="nil"/>
              <w:bottom w:val="single" w:sz="4" w:space="0" w:color="auto"/>
              <w:right w:val="single" w:sz="4" w:space="0" w:color="auto"/>
            </w:tcBorders>
            <w:vAlign w:val="center"/>
            <w:hideMark/>
          </w:tcPr>
          <w:p w14:paraId="0A91E51B" w14:textId="77777777" w:rsidR="00507CDC" w:rsidRPr="00507CDC" w:rsidRDefault="00507CDC" w:rsidP="00507CDC">
            <w:pPr>
              <w:spacing w:after="0" w:line="240" w:lineRule="auto"/>
              <w:jc w:val="right"/>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23</w:t>
            </w:r>
          </w:p>
        </w:tc>
        <w:tc>
          <w:tcPr>
            <w:tcW w:w="5689" w:type="dxa"/>
            <w:tcBorders>
              <w:top w:val="nil"/>
              <w:left w:val="nil"/>
              <w:bottom w:val="single" w:sz="4" w:space="0" w:color="auto"/>
              <w:right w:val="single" w:sz="4" w:space="0" w:color="auto"/>
            </w:tcBorders>
            <w:vAlign w:val="center"/>
            <w:hideMark/>
          </w:tcPr>
          <w:p w14:paraId="1A0EF6A8" w14:textId="77777777" w:rsidR="00507CDC" w:rsidRPr="00507CDC" w:rsidRDefault="00507CDC" w:rsidP="00507CDC">
            <w:pPr>
              <w:spacing w:after="0" w:line="240" w:lineRule="auto"/>
              <w:rPr>
                <w:rFonts w:ascii="Calibri" w:eastAsia="Times New Roman" w:hAnsi="Calibri" w:cs="Calibri"/>
                <w:color w:val="000000"/>
                <w:lang w:val="en-GB" w:eastAsia="en-GB"/>
              </w:rPr>
            </w:pPr>
            <w:r w:rsidRPr="00507CDC">
              <w:rPr>
                <w:rFonts w:ascii="Calibri" w:eastAsia="Times New Roman" w:hAnsi="Calibri" w:cs="Calibri"/>
                <w:color w:val="000000"/>
                <w:lang w:val="en-GB" w:eastAsia="en-GB"/>
              </w:rPr>
              <w:t>The requested operation is not valid for the card/account or ATM configuration (e.g., trying to withdraw from a non-cash account type).</w:t>
            </w:r>
          </w:p>
        </w:tc>
      </w:tr>
    </w:tbl>
    <w:p w14:paraId="11CFBA26" w14:textId="77777777" w:rsidR="008B2273" w:rsidRPr="002E5084" w:rsidRDefault="008B2273" w:rsidP="008B2273">
      <w:pPr>
        <w:rPr>
          <w:rFonts w:cstheme="minorHAnsi"/>
          <w:b/>
        </w:rPr>
      </w:pPr>
    </w:p>
    <w:p w14:paraId="6924FD33" w14:textId="77777777" w:rsidR="008B2273" w:rsidRDefault="008B2273" w:rsidP="008B2273">
      <w:pPr>
        <w:pStyle w:val="ListParagraph"/>
        <w:numPr>
          <w:ilvl w:val="0"/>
          <w:numId w:val="1"/>
        </w:numPr>
        <w:rPr>
          <w:rFonts w:cstheme="minorHAnsi"/>
          <w:b/>
        </w:rPr>
      </w:pPr>
      <w:r>
        <w:rPr>
          <w:rFonts w:cstheme="minorHAnsi"/>
          <w:b/>
        </w:rPr>
        <w:t>Top Technical Decline</w:t>
      </w:r>
    </w:p>
    <w:tbl>
      <w:tblPr>
        <w:tblW w:w="9080" w:type="dxa"/>
        <w:tblLook w:val="04A0" w:firstRow="1" w:lastRow="0" w:firstColumn="1" w:lastColumn="0" w:noHBand="0" w:noVBand="1"/>
      </w:tblPr>
      <w:tblGrid>
        <w:gridCol w:w="2811"/>
        <w:gridCol w:w="927"/>
        <w:gridCol w:w="5342"/>
      </w:tblGrid>
      <w:tr w:rsidR="007B5610" w:rsidRPr="007B5610" w14:paraId="4265D700" w14:textId="77777777" w:rsidTr="007B5610">
        <w:trPr>
          <w:trHeight w:val="288"/>
        </w:trPr>
        <w:tc>
          <w:tcPr>
            <w:tcW w:w="2840" w:type="dxa"/>
            <w:tcBorders>
              <w:top w:val="single" w:sz="4" w:space="0" w:color="auto"/>
              <w:left w:val="single" w:sz="4" w:space="0" w:color="auto"/>
              <w:bottom w:val="single" w:sz="4" w:space="0" w:color="auto"/>
              <w:right w:val="single" w:sz="4" w:space="0" w:color="auto"/>
            </w:tcBorders>
            <w:vAlign w:val="center"/>
            <w:hideMark/>
          </w:tcPr>
          <w:p w14:paraId="52CAD09F" w14:textId="77777777" w:rsidR="007B5610" w:rsidRPr="007B5610" w:rsidRDefault="007B5610" w:rsidP="007B5610">
            <w:pPr>
              <w:spacing w:after="0" w:line="240" w:lineRule="auto"/>
              <w:jc w:val="center"/>
              <w:rPr>
                <w:rFonts w:ascii="Calibri" w:eastAsia="Times New Roman" w:hAnsi="Calibri" w:cs="Calibri"/>
                <w:b/>
                <w:bCs/>
                <w:color w:val="000000"/>
                <w:lang w:val="en-GB" w:eastAsia="en-GB"/>
              </w:rPr>
            </w:pPr>
            <w:r w:rsidRPr="007B5610">
              <w:rPr>
                <w:rFonts w:ascii="Calibri" w:eastAsia="Times New Roman" w:hAnsi="Calibri" w:cs="Calibri"/>
                <w:b/>
                <w:bCs/>
                <w:color w:val="000000"/>
                <w:lang w:val="en-GB" w:eastAsia="en-GB"/>
              </w:rPr>
              <w:t>Response Description</w:t>
            </w:r>
          </w:p>
        </w:tc>
        <w:tc>
          <w:tcPr>
            <w:tcW w:w="820" w:type="dxa"/>
            <w:tcBorders>
              <w:top w:val="single" w:sz="4" w:space="0" w:color="auto"/>
              <w:left w:val="nil"/>
              <w:bottom w:val="single" w:sz="4" w:space="0" w:color="auto"/>
              <w:right w:val="single" w:sz="4" w:space="0" w:color="auto"/>
            </w:tcBorders>
            <w:vAlign w:val="center"/>
            <w:hideMark/>
          </w:tcPr>
          <w:p w14:paraId="49B233DC" w14:textId="77777777" w:rsidR="007B5610" w:rsidRPr="007B5610" w:rsidRDefault="007B5610" w:rsidP="007B5610">
            <w:pPr>
              <w:spacing w:after="0" w:line="240" w:lineRule="auto"/>
              <w:jc w:val="center"/>
              <w:rPr>
                <w:rFonts w:ascii="Calibri" w:eastAsia="Times New Roman" w:hAnsi="Calibri" w:cs="Calibri"/>
                <w:b/>
                <w:bCs/>
                <w:color w:val="000000"/>
                <w:lang w:val="en-GB" w:eastAsia="en-GB"/>
              </w:rPr>
            </w:pPr>
            <w:r w:rsidRPr="007B5610">
              <w:rPr>
                <w:rFonts w:ascii="Calibri" w:eastAsia="Times New Roman" w:hAnsi="Calibri" w:cs="Calibri"/>
                <w:b/>
                <w:bCs/>
                <w:color w:val="000000"/>
                <w:lang w:val="en-GB" w:eastAsia="en-GB"/>
              </w:rPr>
              <w:t>Volume</w:t>
            </w:r>
          </w:p>
        </w:tc>
        <w:tc>
          <w:tcPr>
            <w:tcW w:w="5420" w:type="dxa"/>
            <w:tcBorders>
              <w:top w:val="single" w:sz="4" w:space="0" w:color="auto"/>
              <w:left w:val="nil"/>
              <w:bottom w:val="single" w:sz="4" w:space="0" w:color="auto"/>
              <w:right w:val="single" w:sz="4" w:space="0" w:color="auto"/>
            </w:tcBorders>
            <w:vAlign w:val="center"/>
            <w:hideMark/>
          </w:tcPr>
          <w:p w14:paraId="547C5F6E" w14:textId="77777777" w:rsidR="007B5610" w:rsidRPr="007B5610" w:rsidRDefault="007B5610" w:rsidP="007B5610">
            <w:pPr>
              <w:spacing w:after="0" w:line="240" w:lineRule="auto"/>
              <w:jc w:val="center"/>
              <w:rPr>
                <w:rFonts w:ascii="Calibri" w:eastAsia="Times New Roman" w:hAnsi="Calibri" w:cs="Calibri"/>
                <w:b/>
                <w:bCs/>
                <w:color w:val="000000"/>
                <w:lang w:val="en-GB" w:eastAsia="en-GB"/>
              </w:rPr>
            </w:pPr>
            <w:r w:rsidRPr="007B5610">
              <w:rPr>
                <w:rFonts w:ascii="Calibri" w:eastAsia="Times New Roman" w:hAnsi="Calibri" w:cs="Calibri"/>
                <w:b/>
                <w:bCs/>
                <w:color w:val="000000"/>
                <w:lang w:val="en-GB" w:eastAsia="en-GB"/>
              </w:rPr>
              <w:t>Typical Cause</w:t>
            </w:r>
          </w:p>
        </w:tc>
      </w:tr>
      <w:tr w:rsidR="007B5610" w:rsidRPr="007B5610" w14:paraId="68C09834" w14:textId="77777777" w:rsidTr="007B5610">
        <w:trPr>
          <w:trHeight w:val="2016"/>
        </w:trPr>
        <w:tc>
          <w:tcPr>
            <w:tcW w:w="2840" w:type="dxa"/>
            <w:tcBorders>
              <w:top w:val="nil"/>
              <w:left w:val="single" w:sz="4" w:space="0" w:color="auto"/>
              <w:bottom w:val="single" w:sz="4" w:space="0" w:color="auto"/>
              <w:right w:val="single" w:sz="4" w:space="0" w:color="auto"/>
            </w:tcBorders>
            <w:vAlign w:val="center"/>
            <w:hideMark/>
          </w:tcPr>
          <w:p w14:paraId="57F6053F" w14:textId="77777777" w:rsidR="007B5610" w:rsidRPr="007B5610" w:rsidRDefault="007B5610" w:rsidP="007B5610">
            <w:pPr>
              <w:spacing w:after="0" w:line="240" w:lineRule="auto"/>
              <w:rPr>
                <w:rFonts w:ascii="Calibri" w:eastAsia="Times New Roman" w:hAnsi="Calibri" w:cs="Calibri"/>
                <w:b/>
                <w:bCs/>
                <w:color w:val="000000"/>
                <w:lang w:val="en-GB" w:eastAsia="en-GB"/>
              </w:rPr>
            </w:pPr>
            <w:r w:rsidRPr="007B5610">
              <w:rPr>
                <w:rFonts w:ascii="Calibri" w:eastAsia="Times New Roman" w:hAnsi="Calibri" w:cs="Calibri"/>
                <w:b/>
                <w:bCs/>
                <w:color w:val="000000"/>
                <w:lang w:val="en-GB" w:eastAsia="en-GB"/>
              </w:rPr>
              <w:t>Issuer or Switch is Inoperative</w:t>
            </w:r>
          </w:p>
        </w:tc>
        <w:tc>
          <w:tcPr>
            <w:tcW w:w="820" w:type="dxa"/>
            <w:tcBorders>
              <w:top w:val="nil"/>
              <w:left w:val="nil"/>
              <w:bottom w:val="single" w:sz="4" w:space="0" w:color="auto"/>
              <w:right w:val="single" w:sz="4" w:space="0" w:color="auto"/>
            </w:tcBorders>
            <w:vAlign w:val="center"/>
            <w:hideMark/>
          </w:tcPr>
          <w:p w14:paraId="14343175" w14:textId="77777777" w:rsidR="007B5610" w:rsidRPr="007B5610" w:rsidRDefault="007B5610" w:rsidP="007B5610">
            <w:pPr>
              <w:spacing w:after="0" w:line="240" w:lineRule="auto"/>
              <w:jc w:val="right"/>
              <w:rPr>
                <w:rFonts w:ascii="Calibri" w:eastAsia="Times New Roman" w:hAnsi="Calibri" w:cs="Calibri"/>
                <w:color w:val="000000"/>
                <w:lang w:val="en-GB" w:eastAsia="en-GB"/>
              </w:rPr>
            </w:pPr>
            <w:r w:rsidRPr="007B5610">
              <w:rPr>
                <w:rFonts w:ascii="Calibri" w:eastAsia="Times New Roman" w:hAnsi="Calibri" w:cs="Calibri"/>
                <w:color w:val="000000"/>
                <w:lang w:val="en-GB" w:eastAsia="en-GB"/>
              </w:rPr>
              <w:t>427</w:t>
            </w:r>
          </w:p>
        </w:tc>
        <w:tc>
          <w:tcPr>
            <w:tcW w:w="5420" w:type="dxa"/>
            <w:tcBorders>
              <w:top w:val="nil"/>
              <w:left w:val="nil"/>
              <w:bottom w:val="single" w:sz="4" w:space="0" w:color="auto"/>
              <w:right w:val="single" w:sz="4" w:space="0" w:color="auto"/>
            </w:tcBorders>
            <w:vAlign w:val="center"/>
            <w:hideMark/>
          </w:tcPr>
          <w:p w14:paraId="315A1ABD" w14:textId="77777777" w:rsidR="007B5610" w:rsidRPr="007B5610" w:rsidRDefault="007B5610" w:rsidP="007B5610">
            <w:pPr>
              <w:spacing w:after="0" w:line="240" w:lineRule="auto"/>
              <w:rPr>
                <w:rFonts w:ascii="Calibri" w:eastAsia="Times New Roman" w:hAnsi="Calibri" w:cs="Calibri"/>
                <w:color w:val="000000"/>
                <w:lang w:val="en-GB" w:eastAsia="en-GB"/>
              </w:rPr>
            </w:pPr>
            <w:r w:rsidRPr="007B5610">
              <w:rPr>
                <w:rFonts w:ascii="Calibri" w:eastAsia="Times New Roman" w:hAnsi="Calibri" w:cs="Calibri"/>
                <w:color w:val="000000"/>
                <w:lang w:val="en-GB" w:eastAsia="en-GB"/>
              </w:rPr>
              <w:t>The issuer’s system or intermediary switch was unavailable during processing. Additionally, ongoing Mastercard direct connectivity configuration is causing intermittent routing failures. Since the direct link could not be completed due to HSM issues, transactions are currently routed back via HBL. This fallback routing is unstable, resulting in frequent route errors.</w:t>
            </w:r>
          </w:p>
        </w:tc>
      </w:tr>
      <w:tr w:rsidR="007B5610" w:rsidRPr="007B5610" w14:paraId="08948A35" w14:textId="77777777" w:rsidTr="007B5610">
        <w:trPr>
          <w:trHeight w:val="864"/>
        </w:trPr>
        <w:tc>
          <w:tcPr>
            <w:tcW w:w="2840" w:type="dxa"/>
            <w:tcBorders>
              <w:top w:val="nil"/>
              <w:left w:val="single" w:sz="4" w:space="0" w:color="auto"/>
              <w:bottom w:val="single" w:sz="4" w:space="0" w:color="auto"/>
              <w:right w:val="single" w:sz="4" w:space="0" w:color="auto"/>
            </w:tcBorders>
            <w:vAlign w:val="center"/>
            <w:hideMark/>
          </w:tcPr>
          <w:p w14:paraId="3F9BF109" w14:textId="77777777" w:rsidR="007B5610" w:rsidRPr="007B5610" w:rsidRDefault="007B5610" w:rsidP="007B5610">
            <w:pPr>
              <w:spacing w:after="0" w:line="240" w:lineRule="auto"/>
              <w:rPr>
                <w:rFonts w:ascii="Calibri" w:eastAsia="Times New Roman" w:hAnsi="Calibri" w:cs="Calibri"/>
                <w:b/>
                <w:bCs/>
                <w:color w:val="000000"/>
                <w:lang w:val="en-GB" w:eastAsia="en-GB"/>
              </w:rPr>
            </w:pPr>
            <w:r w:rsidRPr="007B5610">
              <w:rPr>
                <w:rFonts w:ascii="Calibri" w:eastAsia="Times New Roman" w:hAnsi="Calibri" w:cs="Calibri"/>
                <w:b/>
                <w:bCs/>
                <w:color w:val="000000"/>
                <w:lang w:val="en-GB" w:eastAsia="en-GB"/>
              </w:rPr>
              <w:t>System Malfunction</w:t>
            </w:r>
          </w:p>
        </w:tc>
        <w:tc>
          <w:tcPr>
            <w:tcW w:w="820" w:type="dxa"/>
            <w:tcBorders>
              <w:top w:val="nil"/>
              <w:left w:val="nil"/>
              <w:bottom w:val="single" w:sz="4" w:space="0" w:color="auto"/>
              <w:right w:val="single" w:sz="4" w:space="0" w:color="auto"/>
            </w:tcBorders>
            <w:vAlign w:val="center"/>
            <w:hideMark/>
          </w:tcPr>
          <w:p w14:paraId="5C7AC08F" w14:textId="77777777" w:rsidR="007B5610" w:rsidRPr="007B5610" w:rsidRDefault="007B5610" w:rsidP="007B5610">
            <w:pPr>
              <w:spacing w:after="0" w:line="240" w:lineRule="auto"/>
              <w:jc w:val="right"/>
              <w:rPr>
                <w:rFonts w:ascii="Calibri" w:eastAsia="Times New Roman" w:hAnsi="Calibri" w:cs="Calibri"/>
                <w:color w:val="000000"/>
                <w:lang w:val="en-GB" w:eastAsia="en-GB"/>
              </w:rPr>
            </w:pPr>
            <w:r w:rsidRPr="007B5610">
              <w:rPr>
                <w:rFonts w:ascii="Calibri" w:eastAsia="Times New Roman" w:hAnsi="Calibri" w:cs="Calibri"/>
                <w:color w:val="000000"/>
                <w:lang w:val="en-GB" w:eastAsia="en-GB"/>
              </w:rPr>
              <w:t>32</w:t>
            </w:r>
          </w:p>
        </w:tc>
        <w:tc>
          <w:tcPr>
            <w:tcW w:w="5420" w:type="dxa"/>
            <w:tcBorders>
              <w:top w:val="nil"/>
              <w:left w:val="nil"/>
              <w:bottom w:val="single" w:sz="4" w:space="0" w:color="auto"/>
              <w:right w:val="single" w:sz="4" w:space="0" w:color="auto"/>
            </w:tcBorders>
            <w:vAlign w:val="center"/>
            <w:hideMark/>
          </w:tcPr>
          <w:p w14:paraId="6C3A0311" w14:textId="77777777" w:rsidR="007B5610" w:rsidRPr="007B5610" w:rsidRDefault="007B5610" w:rsidP="007B5610">
            <w:pPr>
              <w:spacing w:after="0" w:line="240" w:lineRule="auto"/>
              <w:rPr>
                <w:rFonts w:ascii="Calibri" w:eastAsia="Times New Roman" w:hAnsi="Calibri" w:cs="Calibri"/>
                <w:color w:val="000000"/>
                <w:lang w:val="en-GB" w:eastAsia="en-GB"/>
              </w:rPr>
            </w:pPr>
            <w:r w:rsidRPr="007B5610">
              <w:rPr>
                <w:rFonts w:ascii="Calibri" w:eastAsia="Times New Roman" w:hAnsi="Calibri" w:cs="Calibri"/>
                <w:color w:val="000000"/>
                <w:lang w:val="en-GB" w:eastAsia="en-GB"/>
              </w:rPr>
              <w:t>General technical issue — may be due to network interruptions, timeouts, or temporary host-side processing failures.</w:t>
            </w:r>
          </w:p>
        </w:tc>
      </w:tr>
      <w:tr w:rsidR="007B5610" w:rsidRPr="007B5610" w14:paraId="743B5C1B" w14:textId="77777777" w:rsidTr="007B5610">
        <w:trPr>
          <w:trHeight w:val="864"/>
        </w:trPr>
        <w:tc>
          <w:tcPr>
            <w:tcW w:w="2840" w:type="dxa"/>
            <w:tcBorders>
              <w:top w:val="nil"/>
              <w:left w:val="single" w:sz="4" w:space="0" w:color="auto"/>
              <w:bottom w:val="single" w:sz="4" w:space="0" w:color="auto"/>
              <w:right w:val="single" w:sz="4" w:space="0" w:color="auto"/>
            </w:tcBorders>
            <w:vAlign w:val="center"/>
            <w:hideMark/>
          </w:tcPr>
          <w:p w14:paraId="4586BD70" w14:textId="77777777" w:rsidR="007B5610" w:rsidRPr="007B5610" w:rsidRDefault="007B5610" w:rsidP="007B5610">
            <w:pPr>
              <w:spacing w:after="0" w:line="240" w:lineRule="auto"/>
              <w:rPr>
                <w:rFonts w:ascii="Calibri" w:eastAsia="Times New Roman" w:hAnsi="Calibri" w:cs="Calibri"/>
                <w:b/>
                <w:bCs/>
                <w:color w:val="000000"/>
                <w:lang w:val="en-GB" w:eastAsia="en-GB"/>
              </w:rPr>
            </w:pPr>
            <w:r w:rsidRPr="007B5610">
              <w:rPr>
                <w:rFonts w:ascii="Calibri" w:eastAsia="Times New Roman" w:hAnsi="Calibri" w:cs="Calibri"/>
                <w:b/>
                <w:bCs/>
                <w:color w:val="000000"/>
                <w:lang w:val="en-GB" w:eastAsia="en-GB"/>
              </w:rPr>
              <w:t>Format Error</w:t>
            </w:r>
          </w:p>
        </w:tc>
        <w:tc>
          <w:tcPr>
            <w:tcW w:w="820" w:type="dxa"/>
            <w:tcBorders>
              <w:top w:val="nil"/>
              <w:left w:val="nil"/>
              <w:bottom w:val="single" w:sz="4" w:space="0" w:color="auto"/>
              <w:right w:val="single" w:sz="4" w:space="0" w:color="auto"/>
            </w:tcBorders>
            <w:vAlign w:val="center"/>
            <w:hideMark/>
          </w:tcPr>
          <w:p w14:paraId="5D1E55A4" w14:textId="77777777" w:rsidR="007B5610" w:rsidRPr="007B5610" w:rsidRDefault="007B5610" w:rsidP="007B5610">
            <w:pPr>
              <w:spacing w:after="0" w:line="240" w:lineRule="auto"/>
              <w:jc w:val="right"/>
              <w:rPr>
                <w:rFonts w:ascii="Calibri" w:eastAsia="Times New Roman" w:hAnsi="Calibri" w:cs="Calibri"/>
                <w:color w:val="000000"/>
                <w:lang w:val="en-GB" w:eastAsia="en-GB"/>
              </w:rPr>
            </w:pPr>
            <w:r w:rsidRPr="007B5610">
              <w:rPr>
                <w:rFonts w:ascii="Calibri" w:eastAsia="Times New Roman" w:hAnsi="Calibri" w:cs="Calibri"/>
                <w:color w:val="000000"/>
                <w:lang w:val="en-GB" w:eastAsia="en-GB"/>
              </w:rPr>
              <w:t>1</w:t>
            </w:r>
          </w:p>
        </w:tc>
        <w:tc>
          <w:tcPr>
            <w:tcW w:w="5420" w:type="dxa"/>
            <w:tcBorders>
              <w:top w:val="nil"/>
              <w:left w:val="nil"/>
              <w:bottom w:val="single" w:sz="4" w:space="0" w:color="auto"/>
              <w:right w:val="single" w:sz="4" w:space="0" w:color="auto"/>
            </w:tcBorders>
            <w:vAlign w:val="center"/>
            <w:hideMark/>
          </w:tcPr>
          <w:p w14:paraId="6FC85A41" w14:textId="77777777" w:rsidR="007B5610" w:rsidRPr="007B5610" w:rsidRDefault="007B5610" w:rsidP="007B5610">
            <w:pPr>
              <w:spacing w:after="0" w:line="240" w:lineRule="auto"/>
              <w:rPr>
                <w:rFonts w:ascii="Calibri" w:eastAsia="Times New Roman" w:hAnsi="Calibri" w:cs="Calibri"/>
                <w:color w:val="000000"/>
                <w:lang w:val="en-GB" w:eastAsia="en-GB"/>
              </w:rPr>
            </w:pPr>
            <w:r w:rsidRPr="007B5610">
              <w:rPr>
                <w:rFonts w:ascii="Calibri" w:eastAsia="Times New Roman" w:hAnsi="Calibri" w:cs="Calibri"/>
                <w:color w:val="000000"/>
                <w:lang w:val="en-GB" w:eastAsia="en-GB"/>
              </w:rPr>
              <w:t>The transaction message did not conform to expected ISO 8583 format; likely caused by incorrect field mapping or configuration mismatch.</w:t>
            </w:r>
          </w:p>
        </w:tc>
      </w:tr>
    </w:tbl>
    <w:p w14:paraId="4C038EFE" w14:textId="77777777" w:rsidR="008B2273" w:rsidRDefault="008B2273" w:rsidP="008B2273">
      <w:pPr>
        <w:rPr>
          <w:rFonts w:cstheme="minorHAnsi"/>
          <w:b/>
          <w:u w:val="single"/>
        </w:rPr>
      </w:pPr>
    </w:p>
    <w:p w14:paraId="3F9195B1" w14:textId="77777777" w:rsidR="008B2273" w:rsidRDefault="008B2273" w:rsidP="008B2273">
      <w:pPr>
        <w:rPr>
          <w:rFonts w:cstheme="minorHAnsi"/>
          <w:b/>
          <w:u w:val="single"/>
        </w:rPr>
      </w:pPr>
    </w:p>
    <w:p w14:paraId="24D6991D" w14:textId="77777777" w:rsidR="001E7FD1" w:rsidRDefault="001E7FD1"/>
    <w:sectPr w:rsidR="001E7FD1" w:rsidSect="008B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D58EE"/>
    <w:multiLevelType w:val="hybridMultilevel"/>
    <w:tmpl w:val="A9F0058E"/>
    <w:lvl w:ilvl="0" w:tplc="A12E02FA">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 w15:restartNumberingAfterBreak="0">
    <w:nsid w:val="52124FC6"/>
    <w:multiLevelType w:val="hybridMultilevel"/>
    <w:tmpl w:val="46D27D94"/>
    <w:lvl w:ilvl="0" w:tplc="CA2C93D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416252">
    <w:abstractNumId w:val="1"/>
  </w:num>
  <w:num w:numId="2" w16cid:durableId="1331103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B2"/>
    <w:rsid w:val="000A7B2B"/>
    <w:rsid w:val="00145FAD"/>
    <w:rsid w:val="001E7FD1"/>
    <w:rsid w:val="001F6CF7"/>
    <w:rsid w:val="004868DE"/>
    <w:rsid w:val="00507CDC"/>
    <w:rsid w:val="007B5610"/>
    <w:rsid w:val="008B2273"/>
    <w:rsid w:val="00BB7AB2"/>
    <w:rsid w:val="00C402F0"/>
    <w:rsid w:val="00E71DA6"/>
    <w:rsid w:val="00F60B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1063"/>
  <w15:chartTrackingRefBased/>
  <w15:docId w15:val="{09D95D81-48B4-448D-B151-8B6ED1F8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273"/>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BB7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AB2"/>
    <w:rPr>
      <w:rFonts w:eastAsiaTheme="majorEastAsia" w:cstheme="majorBidi"/>
      <w:color w:val="272727" w:themeColor="text1" w:themeTint="D8"/>
    </w:rPr>
  </w:style>
  <w:style w:type="paragraph" w:styleId="Title">
    <w:name w:val="Title"/>
    <w:basedOn w:val="Normal"/>
    <w:next w:val="Normal"/>
    <w:link w:val="TitleChar"/>
    <w:uiPriority w:val="10"/>
    <w:qFormat/>
    <w:rsid w:val="00BB7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AB2"/>
    <w:pPr>
      <w:spacing w:before="160"/>
      <w:jc w:val="center"/>
    </w:pPr>
    <w:rPr>
      <w:i/>
      <w:iCs/>
      <w:color w:val="404040" w:themeColor="text1" w:themeTint="BF"/>
    </w:rPr>
  </w:style>
  <w:style w:type="character" w:customStyle="1" w:styleId="QuoteChar">
    <w:name w:val="Quote Char"/>
    <w:basedOn w:val="DefaultParagraphFont"/>
    <w:link w:val="Quote"/>
    <w:uiPriority w:val="29"/>
    <w:rsid w:val="00BB7AB2"/>
    <w:rPr>
      <w:i/>
      <w:iCs/>
      <w:color w:val="404040" w:themeColor="text1" w:themeTint="BF"/>
    </w:rPr>
  </w:style>
  <w:style w:type="paragraph" w:styleId="ListParagraph">
    <w:name w:val="List Paragraph"/>
    <w:basedOn w:val="Normal"/>
    <w:uiPriority w:val="34"/>
    <w:qFormat/>
    <w:rsid w:val="00BB7AB2"/>
    <w:pPr>
      <w:ind w:left="720"/>
      <w:contextualSpacing/>
    </w:pPr>
  </w:style>
  <w:style w:type="character" w:styleId="IntenseEmphasis">
    <w:name w:val="Intense Emphasis"/>
    <w:basedOn w:val="DefaultParagraphFont"/>
    <w:uiPriority w:val="21"/>
    <w:qFormat/>
    <w:rsid w:val="00BB7AB2"/>
    <w:rPr>
      <w:i/>
      <w:iCs/>
      <w:color w:val="2F5496" w:themeColor="accent1" w:themeShade="BF"/>
    </w:rPr>
  </w:style>
  <w:style w:type="paragraph" w:styleId="IntenseQuote">
    <w:name w:val="Intense Quote"/>
    <w:basedOn w:val="Normal"/>
    <w:next w:val="Normal"/>
    <w:link w:val="IntenseQuoteChar"/>
    <w:uiPriority w:val="30"/>
    <w:qFormat/>
    <w:rsid w:val="00BB7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AB2"/>
    <w:rPr>
      <w:i/>
      <w:iCs/>
      <w:color w:val="2F5496" w:themeColor="accent1" w:themeShade="BF"/>
    </w:rPr>
  </w:style>
  <w:style w:type="character" w:styleId="IntenseReference">
    <w:name w:val="Intense Reference"/>
    <w:basedOn w:val="DefaultParagraphFont"/>
    <w:uiPriority w:val="32"/>
    <w:qFormat/>
    <w:rsid w:val="00BB7AB2"/>
    <w:rPr>
      <w:b/>
      <w:bCs/>
      <w:smallCaps/>
      <w:color w:val="2F5496" w:themeColor="accent1" w:themeShade="BF"/>
      <w:spacing w:val="5"/>
    </w:rPr>
  </w:style>
  <w:style w:type="table" w:styleId="TableGrid">
    <w:name w:val="Table Grid"/>
    <w:basedOn w:val="TableNormal"/>
    <w:uiPriority w:val="39"/>
    <w:rsid w:val="008B2273"/>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845961">
      <w:bodyDiv w:val="1"/>
      <w:marLeft w:val="0"/>
      <w:marRight w:val="0"/>
      <w:marTop w:val="0"/>
      <w:marBottom w:val="0"/>
      <w:divBdr>
        <w:top w:val="none" w:sz="0" w:space="0" w:color="auto"/>
        <w:left w:val="none" w:sz="0" w:space="0" w:color="auto"/>
        <w:bottom w:val="none" w:sz="0" w:space="0" w:color="auto"/>
        <w:right w:val="none" w:sz="0" w:space="0" w:color="auto"/>
      </w:divBdr>
      <w:divsChild>
        <w:div w:id="1418790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Dorji Lhendup Tenzin, Card Division</dc:creator>
  <cp:keywords/>
  <dc:description/>
  <cp:lastModifiedBy>Dorji Lhendup Tenzin, Card Division</cp:lastModifiedBy>
  <cp:revision>3</cp:revision>
  <dcterms:created xsi:type="dcterms:W3CDTF">2025-11-06T03:31:00Z</dcterms:created>
  <dcterms:modified xsi:type="dcterms:W3CDTF">2025-11-06T04:07:00Z</dcterms:modified>
</cp:coreProperties>
</file>