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Target venue and deadline tracked privately (planning notes outside this repository) —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Kyle Wild (first author) — Chief Technology Officer, Endgame Labs; Visiting Researcher, Asia AI Institute, Musashino University — https://orcid.org/0009-0001-6918-3197;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t>Hamilton et al. 2026, Token Tax (arXiv preprint)</w:t>
            </w:r>
          </w:p>
        </w:tc>
        <w:tc>
          <w:tcPr>
            <w:tcW w:type="dxa" w:w="2160"/>
          </w:tcPr>
          <w:p>
            <w:r/>
            <w:r>
              <w:t>Cost-quality frontier framing, chunk-level only</w:t>
            </w:r>
          </w:p>
        </w:tc>
        <w:tc>
          <w:tcPr>
            <w:tcW w:type="dxa" w:w="2160"/>
          </w:tcPr>
          <w:p>
            <w:r/>
            <w:r>
              <w:t>OK (verified 2026-07-26)</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t>Chhikara et al. 2025, Mem0 (arXiv preprint)</w:t>
            </w:r>
          </w:p>
        </w:tc>
        <w:tc>
          <w:tcPr>
            <w:tcW w:type="dxa" w:w="2160"/>
          </w:tcPr>
          <w:p>
            <w:r/>
            <w:r>
              <w:t>Industry fact-extraction memory + 90% token-savings claim, no provenance</w:t>
            </w:r>
          </w:p>
        </w:tc>
        <w:tc>
          <w:tcPr>
            <w:tcW w:type="dxa" w:w="2160"/>
          </w:tcPr>
          <w:p>
            <w:r/>
            <w:r>
              <w:t>OK (verified 2026-07-26)</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A real example from our corpus makes the contrast concrete. In a CNN segment on Amazon's growth, a retail analyst assesses the traditional chains:</w:t>
      </w:r>
    </w:p>
    <w:p>
      <w:pPr>
        <w:pStyle w:val="IntenseQuote"/>
      </w:pPr>
      <w:r>
        <w:t>“…Walmart, Target, the big box retailers are still really well-run companies but they are behind. They're behind Amazon. Amazon is much further along in the online retail space. I think they can catch up and they still do have certain advantages…” (DUBAY, turn 8)</w:t>
      </w:r>
    </w:p>
    <w:p>
      <w:r>
        <w:t>A fixed chunk containing this sentence is a 3,987-character window spanning turns 0–11: the claim sits among revenue comparisons (“$67 billion compared to $10 billion”), anchor questions, and hedged analysis, and both the claim's speaker and its subject appear only as pronouns — “I” and “they.” A turn-aware chunk keeps whole turns and a semantic chunk breaks near a topic shift, but both likewise return raw multi-turn transcript in which the answer model must locate the claim and resolve its references. ISC-RAG instead compiles the turn into fact-plus-quote units, one per claim:</w:t>
      </w:r>
    </w:p>
    <w:p>
      <w:pPr>
        <w:pStyle w:val="IntenseQuote"/>
      </w:pPr>
      <w:r>
        <w:t>Fact: Dubay thinks big box retailers can catch up to Amazon. — Supporting quote: “I think they can catch up” — DUBAY, turn 8</w:t>
      </w:r>
    </w:p>
    <w:p>
      <w:r>
        <w:t>Both pronouns are resolved at ingest — “I” to the named speaker and “they” to the retailers under discussion — with the verbatim source span retained as checkable evidence. A question like “Who thought traditional retailers could catch up to Amazon?” now matches a ~15-token unit whose speaker and subject are named, instead of a ~1,000-token window in which the claim is five words inside an analyst's assessment.</w:t>
      </w:r>
    </w:p>
    <w:p>
      <w:r>
        <w:t>Compilation also changes what a single retrieval must carry. One turn frequently yields several distinct claims: in an interview after the Haiti earthquake, one Ban Ki-moon turn compiles into five separate facts, among them:</w:t>
      </w:r>
    </w:p>
    <w:p>
      <w:pPr>
        <w:pStyle w:val="IntenseQuote"/>
      </w:pPr>
      <w:r>
        <w:t>Fact: Ban Ki-moon met President Preval yesterday. — quote: “I met President Preval yesterday” — Fact: Ban Ki-moon believes sovereign, primary sovereignty should rest with the Haitian government. — Fact: Ban Ki-moon believes major government institutions have been devastated, including the presidential palace.</w:t>
      </w:r>
    </w:p>
    <w:p>
      <w:r>
        <w:t>The fixed chunk containing this turn is a 3,981-character window spanning turns 15–33. Because each fact is indexed separately, a question about the presidential palace retrieves that claim alone: the answer model is not handed Ban Ki-moon's four other assertions — let alone the nineteen-turn neighborhood — merely because they share a window. A chunk index cannot make that selection; any question touching one of the five claims drags in all of them and their surroundings. (The same granularity has a cost we return to later: facts from the same turn compete with one another for retrieval rank.)</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Decomposing each cell into retrieval coverage (was any gold-overlapping source packed?) and reading accuracy (correctness among only those questions) isolates the representation effect from a needle-in-a-haystack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Representation</w:t>
            </w:r>
          </w:p>
        </w:tc>
        <w:tc>
          <w:tcPr>
            <w:tcW w:type="dxa" w:w="2880"/>
          </w:tcPr>
          <w:p>
            <w:r/>
            <w:r>
              <w:rPr>
                <w:b/>
              </w:rPr>
              <w:t>Gold packed @2k/4k/8k/16k</w:t>
            </w:r>
          </w:p>
        </w:tc>
        <w:tc>
          <w:tcPr>
            <w:tcW w:type="dxa" w:w="2880"/>
          </w:tcPr>
          <w:p>
            <w:r/>
            <w:r>
              <w:rPr>
                <w:b/>
              </w:rPr>
              <w:t>Read-acc given gold @2k/4k/8k/16k</w:t>
            </w:r>
          </w:p>
        </w:tc>
      </w:tr>
      <w:tr>
        <w:tc>
          <w:tcPr>
            <w:tcW w:type="dxa" w:w="2880"/>
          </w:tcPr>
          <w:p>
            <w:r/>
            <w:r>
              <w:t>Facts + quote</w:t>
            </w:r>
          </w:p>
        </w:tc>
        <w:tc>
          <w:tcPr>
            <w:tcW w:type="dxa" w:w="2880"/>
          </w:tcPr>
          <w:p>
            <w:r/>
            <w:r>
              <w:t>100 / 100 / 100 / 100</w:t>
            </w:r>
          </w:p>
        </w:tc>
        <w:tc>
          <w:tcPr>
            <w:tcW w:type="dxa" w:w="2880"/>
          </w:tcPr>
          <w:p>
            <w:r/>
            <w:r>
              <w:t>92.0 / 87.0 / 88.0 / 86.0</w:t>
            </w:r>
          </w:p>
        </w:tc>
      </w:tr>
      <w:tr>
        <w:tc>
          <w:tcPr>
            <w:tcW w:type="dxa" w:w="2880"/>
          </w:tcPr>
          <w:p>
            <w:r/>
            <w:r>
              <w:t>Fixed chunks</w:t>
            </w:r>
          </w:p>
        </w:tc>
        <w:tc>
          <w:tcPr>
            <w:tcW w:type="dxa" w:w="2880"/>
          </w:tcPr>
          <w:p>
            <w:r/>
            <w:r>
              <w:t>80 / 88 / 90 / 95</w:t>
            </w:r>
          </w:p>
        </w:tc>
        <w:tc>
          <w:tcPr>
            <w:tcW w:type="dxa" w:w="2880"/>
          </w:tcPr>
          <w:p>
            <w:r/>
            <w:r>
              <w:t>76.3 / 78.4 / 75.6 / 78.9</w:t>
            </w:r>
          </w:p>
        </w:tc>
      </w:tr>
      <w:tr>
        <w:tc>
          <w:tcPr>
            <w:tcW w:type="dxa" w:w="2880"/>
          </w:tcPr>
          <w:p>
            <w:r/>
            <w:r>
              <w:t>Turn-aware chunks</w:t>
            </w:r>
          </w:p>
        </w:tc>
        <w:tc>
          <w:tcPr>
            <w:tcW w:type="dxa" w:w="2880"/>
          </w:tcPr>
          <w:p>
            <w:r/>
            <w:r>
              <w:t>75 / 82 / 91 / 95</w:t>
            </w:r>
          </w:p>
        </w:tc>
        <w:tc>
          <w:tcPr>
            <w:tcW w:type="dxa" w:w="2880"/>
          </w:tcPr>
          <w:p>
            <w:r/>
            <w:r>
              <w:t>77.3 / 72.0 / 70.3 / 78.9</w:t>
            </w:r>
          </w:p>
        </w:tc>
      </w:tr>
      <w:tr>
        <w:tc>
          <w:tcPr>
            <w:tcW w:type="dxa" w:w="2880"/>
          </w:tcPr>
          <w:p>
            <w:r/>
            <w:r>
              <w:t>Semantic chunks</w:t>
            </w:r>
          </w:p>
        </w:tc>
        <w:tc>
          <w:tcPr>
            <w:tcW w:type="dxa" w:w="2880"/>
          </w:tcPr>
          <w:p>
            <w:r/>
            <w:r>
              <w:t>78 / 85 / 88 / 95</w:t>
            </w:r>
          </w:p>
        </w:tc>
        <w:tc>
          <w:tcPr>
            <w:tcW w:type="dxa" w:w="2880"/>
          </w:tcPr>
          <w:p>
            <w:r/>
            <w:r>
              <w:t>78.2 / 70.6 / 72.7 / 73.7</w:t>
            </w:r>
          </w:p>
        </w:tc>
      </w:tr>
    </w:tbl>
    <w:p>
      <w:r>
        <w:t>If large-budget chunk cells merely measured the answer model's haystack weakness, reading accuracy given packed gold would collapse with budget; instead it is roughly flat for fixed chunks (~76–79%) from 2,048 to 16,384 tokens, and chunk budget gains are mostly coverage gains (80%→95%). The dominant effect is a ~14–16-point reading-accuracy gap between compiled facts and raw transcript that is already present at 2,048 tokens, where haystack pressure is minimal; long-context degradation appears as a secondary effect on top (the fact conditions' own decline occurs at fixed 100% coverage and is therefore pure reading degradation with volume).</w:t>
      </w:r>
    </w:p>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Model generality. To test whether these effects are artifacts of one answer model, the endpoint cells (facts, fixed, turn-aware at 2,048 and 16,384) were rerun with Kimi K2.6 and GLM 5.2 as answer models, cross-judged so no model judges its own answers. Facts lead every model at 2,048 (Kimi 90 vs 70–74; GLM 98 vs 72–75). Stronger readers recover much of the raw-transcript penalty at 16,384 (GLM chunks reach 91/100; Kimi 87/100) — Flash's budget-driven degradation does not reproduce on them at these volumes — but the gap never inverts, and facts at 2,048 beat chunks at 16,384 for all three models (92 vs 75; 90 vs 87; 98 vs 91) at roughly 13% of the tokens. The cheapest configuration tested, Flash reading facts at a 2,048 budget (92/100, ~2,233 tokens), outperforms the most expensive chunk configuration, GLM 5.2 reading chunks at 16,384 (91/100, ~16,200 tokens): compilation lets a small model with a small context match a large model with a large one.</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(as in the introduction's example, “I think they can catch up” is retrieved as “Dubay thinks big box retailers can catch up to Amazon”),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Extraction remains single-model; the answer side is now tested across three models, but the fact index itself was produced by one extraction configuration.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[9] A. Hamilton et al., “The Token Tax of Epistemic Accuracy: Comparing RAG and Long-Context Architectures for Document-Grounded Generative AI Applications,”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[16] P. Chhikara et al.,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