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SOLANGE — Production Deployment Model</w:t>
      </w:r>
    </w:p>
    <w:p>
      <w:pPr>
        <w:spacing w:after="100"/>
      </w:pPr>
      <w:r>
        <w:t xml:space="preserve">*How the system is meant to run once it is deployed at a customer site — as</w:t>
      </w:r>
    </w:p>
    <w:p>
      <w:pPr>
        <w:spacing w:after="100"/>
      </w:pPr>
      <w:r>
        <w:t xml:space="preserve">distinct from the proof-of-concept operator workflow used during this</w:t>
      </w:r>
    </w:p>
    <w:p>
      <w:pPr>
        <w:spacing w:after="100"/>
      </w:pPr>
      <w:r>
        <w:t xml:space="preserve">dissertation's development (see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scripts/laguna/STARTUP_GUIDE.md</w:t>
      </w:r>
      <w:r>
        <w:t xml:space="preserve">).*</w:t>
      </w:r>
    </w:p>
    <w:p>
      <w:pPr>
        <w:pStyle w:val="Heading2"/>
      </w:pPr>
      <w:r>
        <w:t xml:space="preserve">The core distinction</w:t>
      </w:r>
    </w:p>
    <w:p>
      <w:pPr>
        <w:spacing w:after="100"/>
      </w:pPr>
      <w:r>
        <w:t xml:space="preserve">Today, running SOLANGE end-to-end requires a developer/operator to open</w:t>
      </w:r>
    </w:p>
    <w:p>
      <w:pPr>
        <w:spacing w:after="100"/>
      </w:pPr>
      <w:r>
        <w:t xml:space="preserve">terminals, SSH into a cluster, and start pull-agents by hand. That is a</w:t>
      </w:r>
    </w:p>
    <w:p>
      <w:pPr>
        <w:spacing w:after="100"/>
      </w:pPr>
      <w:r>
        <w:rPr>
          <w:b/>
          <w:bCs/>
        </w:rPr>
        <w:t xml:space="preserve">proof-of-concept workflow</w:t>
      </w:r>
      <w:r>
        <w:t xml:space="preserve">, not a limitation of the architecture. Even</w:t>
      </w:r>
    </w:p>
    <w:p>
      <w:pPr>
        <w:spacing w:after="100"/>
      </w:pPr>
      <w:r>
        <w:t xml:space="preserve">today, the moment an agent is running, the end user never touches a</w:t>
      </w:r>
    </w:p>
    <w:p>
      <w:pPr>
        <w:spacing w:after="100"/>
      </w:pPr>
      <w:r>
        <w:t xml:space="preserve">terminal again — they only ever use the SOLANGE web app. The gap is</w:t>
      </w:r>
    </w:p>
    <w:p>
      <w:pPr>
        <w:spacing w:after="100"/>
      </w:pPr>
      <w:r>
        <w:t xml:space="preserve">entirely in *who starts the agent, and how* — not in what the end user</w:t>
      </w:r>
    </w:p>
    <w:p>
      <w:pPr>
        <w:spacing w:after="100"/>
      </w:pPr>
      <w:r>
        <w:t xml:space="preserve">experiences day to day.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E3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120"/>
            <w:shd w:fill="0B1E3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Proof of concept (today)</w:t>
            </w:r>
          </w:p>
        </w:tc>
        <w:tc>
          <w:tcPr>
            <w:tcW w:type="dxa" w:w="3120"/>
            <w:shd w:fill="0B1E3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Production (at a customer site)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Who starts the agent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The researcher, by hand, in a terminal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IT admin, once, during deployment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How it starts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bash agent_keepalive.sh start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 registered background service (systemd / launchd / container)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Survives reboot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 — must be re-run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Yes — auto-starts on boot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End-user experience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Same as production: browser only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Browser only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 architecture</w:t>
      </w:r>
    </w:p>
    <w:p>
      <w:pPr>
        <w:spacing w:after="100"/>
        <w:jc w:val="center"/>
      </w:pPr>
      <w:r>
        <w:drawing>
          <wp:inline distT="0" distB="0" distL="0" distR="0">
            <wp:extent cx="5905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Three trust zones, one governance boundary: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End user</w:t>
      </w:r>
      <w:r>
        <w:t xml:space="preserve"> — a clinician or researcher, browser only. Never sees a</w:t>
      </w:r>
    </w:p>
    <w:p>
      <w:pPr>
        <w:spacing w:after="100"/>
      </w:pPr>
      <w:r>
        <w:t xml:space="preserve">   terminal, never holds a credential.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SOLANGE (vendor-hosted)</w:t>
      </w:r>
      <w:r>
        <w:t xml:space="preserve"> — the UI, API, and database. </w:t>
      </w:r>
      <w:r>
        <w:rPr>
          <w:b/>
          <w:bCs/>
        </w:rPr>
        <w:t xml:space="preserve">LEON</w:t>
      </w:r>
    </w:p>
    <w:p>
      <w:pPr>
        <w:spacing w:after="100"/>
      </w:pPr>
      <w:r>
        <w:t xml:space="preserve">   re-verifies the cryptographic seal on every record the moment it arrives</w:t>
      </w:r>
    </w:p>
    <w:p>
      <w:pPr>
        <w:spacing w:after="100"/>
      </w:pPr>
      <w:r>
        <w:t xml:space="preserve">   (P8 for HPC/QPU energy records, the generic seal for DMRG</w:t>
      </w:r>
    </w:p>
    <w:p>
      <w:pPr>
        <w:spacing w:after="100"/>
      </w:pPr>
      <w:r>
        <w:t xml:space="preserve">   classifications) — nothing is trusted on the strength of where it came</w:t>
      </w:r>
    </w:p>
    <w:p>
      <w:pPr>
        <w:spacing w:after="100"/>
      </w:pPr>
      <w:r>
        <w:t xml:space="preserve">   from.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Customer infrastructure</w:t>
      </w:r>
      <w:r>
        <w:t xml:space="preserve"> — the HPC cluster and the QPU-access host,</w:t>
      </w:r>
    </w:p>
    <w:p>
      <w:pPr>
        <w:spacing w:after="100"/>
      </w:pPr>
      <w:r>
        <w:t xml:space="preserve">   both inside the customer's own security perimeter. Each runs one</w:t>
      </w:r>
    </w:p>
    <w:p>
      <w:pPr>
        <w:spacing w:after="100"/>
      </w:pPr>
      <w:r>
        <w:t xml:space="preserve">   </w:t>
      </w:r>
      <w:r>
        <w:rPr>
          <w:b/>
          <w:bCs/>
        </w:rPr>
        <w:t xml:space="preserve">persistent background agent</w:t>
      </w:r>
      <w:r>
        <w:t xml:space="preserve"> that polls SOLANGE's dispatch queue over</w:t>
      </w:r>
    </w:p>
    <w:p>
      <w:pPr>
        <w:spacing w:after="100"/>
      </w:pPr>
      <w:r>
        <w:t xml:space="preserve">   an *outbound-only* connection, claims a job, executes it with full local</w:t>
      </w:r>
    </w:p>
    <w:p>
      <w:pPr>
        <w:spacing w:after="100"/>
      </w:pPr>
      <w:r>
        <w:t xml:space="preserve">   privileges, and pushes the sealed result back out the same way.</w:t>
      </w:r>
    </w:p>
    <w:p>
      <w:pPr>
        <w:spacing w:after="100"/>
      </w:pPr>
      <w:r>
        <w:rPr>
          <w:b/>
          <w:bCs/>
        </w:rPr>
        <w:t xml:space="preserve">No arrow ever points from SOLANGE into customer infrastructure.</w:t>
      </w:r>
      <w:r>
        <w:t xml:space="preserve"> This is</w:t>
      </w:r>
    </w:p>
    <w:p>
      <w:pPr>
        <w:spacing w:after="100"/>
      </w:pPr>
      <w:r>
        <w:t xml:space="preserve">not a production simplification of the DP2 pull-architecture already used</w:t>
      </w:r>
    </w:p>
    <w:p>
      <w:pPr>
        <w:spacing w:after="100"/>
      </w:pPr>
      <w:r>
        <w:t xml:space="preserve">in this dissertation's proof of concept (§06.ii) — it is the *same*</w:t>
      </w:r>
    </w:p>
    <w:p>
      <w:pPr>
        <w:spacing w:after="100"/>
      </w:pPr>
      <w:r>
        <w:t xml:space="preserve">principle, just installed as a managed service instead of a manual script: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credential for the customer's cluster or QPU account is ever stored</w:t>
      </w:r>
    </w:p>
    <w:p>
      <w:pPr>
        <w:spacing w:after="100"/>
      </w:pPr>
      <w:r>
        <w:t xml:space="preserve">  outside that customer's own boundary.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inbound channel exists for SOLANGE to reach into either environment.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human-authenticated session that gates access today (2FA at login)</w:t>
      </w:r>
    </w:p>
    <w:p>
      <w:pPr>
        <w:spacing w:after="100"/>
      </w:pPr>
      <w:r>
        <w:t xml:space="preserve">  is replaced, at production scale, by the IT admin's own authenticated</w:t>
      </w:r>
    </w:p>
    <w:p>
      <w:pPr>
        <w:spacing w:after="100"/>
      </w:pPr>
      <w:r>
        <w:t xml:space="preserve">  install of the service — not removed.</w:t>
      </w:r>
    </w:p>
    <w:p>
      <w:pPr>
        <w:pStyle w:val="Heading2"/>
      </w:pPr>
      <w:r>
        <w:t xml:space="preserve">What changes for a real deployment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HPC / DMRG agent</w:t>
      </w:r>
      <w:r>
        <w:t xml:space="preserve"> → registered as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systemd</w:t>
      </w:r>
      <w:r>
        <w:t xml:space="preserve"> unit (Linux) on a node</w:t>
      </w:r>
    </w:p>
    <w:p>
      <w:pPr>
        <w:spacing w:after="100"/>
      </w:pPr>
      <w:r>
        <w:t xml:space="preserve">  with cluster access, or integrated with the site's batch scheduler as a</w:t>
      </w:r>
    </w:p>
    <w:p>
      <w:pPr>
        <w:spacing w:after="100"/>
      </w:pPr>
      <w:r>
        <w:t xml:space="preserve">  long-running job. Installed once by the cluster's IT/HPC admin.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QPU agent</w:t>
      </w:r>
      <w:r>
        <w:t xml:space="preserve"> → registered as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systemd</w:t>
      </w:r>
      <w:r>
        <w:t xml:space="preserve"> unit / macOS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launchd</w:t>
      </w:r>
      <w:r>
        <w:t xml:space="preserve"> agent /</w:t>
      </w:r>
    </w:p>
    <w:p>
      <w:pPr>
        <w:spacing w:after="100"/>
      </w:pPr>
      <w:r>
        <w:t xml:space="preserve">  container, on any machine with reliable outbound internet to the QPU</w:t>
      </w:r>
    </w:p>
    <w:p>
      <w:pPr>
        <w:spacing w:after="100"/>
      </w:pPr>
      <w:r>
        <w:t xml:space="preserve">  vendor (IBM Quantum or otherwise) and the customer's own QPU credentials.</w:t>
      </w:r>
    </w:p>
    <w:p>
      <w:pPr>
        <w:spacing w:after="100"/>
      </w:pPr>
      <w:r>
        <w:t xml:space="preserve">  Installed once by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Credentials</w:t>
      </w:r>
      <w:r>
        <w:t xml:space="preserve"> → the customer's own IBM Quantum (or equivalent) account,</w:t>
      </w:r>
    </w:p>
    <w:p>
      <w:pPr>
        <w:spacing w:after="100"/>
      </w:pPr>
      <w:r>
        <w:t xml:space="preserve">  configured once at install time — never the vendor's, never shared</w:t>
      </w:r>
    </w:p>
    <w:p>
      <w:pPr>
        <w:spacing w:after="100"/>
      </w:pPr>
      <w:r>
        <w:t xml:space="preserve">  across customers.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End user</w:t>
      </w:r>
      <w:r>
        <w:t xml:space="preserve"> → unchanged. Opens the browser, logs in, sees a green dot</w:t>
      </w:r>
    </w:p>
    <w:p>
      <w:pPr>
        <w:spacing w:after="100"/>
      </w:pPr>
      <w:r>
        <w:t xml:space="preserve">  when an agent is healthy, queues work, watches results land.</w:t>
      </w:r>
    </w:p>
    <w:p>
      <w:pPr>
        <w:pStyle w:val="Heading2"/>
      </w:pPr>
      <w:r>
        <w:t xml:space="preserve">Why this matters for the governance claim</w:t>
      </w:r>
    </w:p>
    <w:p>
      <w:pPr>
        <w:spacing w:after="100"/>
      </w:pPr>
      <w:r>
        <w:t xml:space="preserve">A common failure mode for "governed AI/HPC/QC orchestration" pitches is</w:t>
      </w:r>
    </w:p>
    <w:p>
      <w:pPr>
        <w:spacing w:after="100"/>
      </w:pPr>
      <w:r>
        <w:t xml:space="preserve">that the governance model quietly assumes a research operator willing to</w:t>
      </w:r>
    </w:p>
    <w:p>
      <w:pPr>
        <w:spacing w:after="100"/>
      </w:pPr>
      <w:r>
        <w:t xml:space="preserve">babysit terminals — which does not survive contact with a real regulated</w:t>
      </w:r>
    </w:p>
    <w:p>
      <w:pPr>
        <w:spacing w:after="100"/>
      </w:pPr>
      <w:r>
        <w:t xml:space="preserve">deployment (a hospital, a pharma R&amp;D group) where the end user is a</w:t>
      </w:r>
    </w:p>
    <w:p>
      <w:pPr>
        <w:spacing w:after="100"/>
      </w:pPr>
      <w:r>
        <w:t xml:space="preserve">clinician, not a systems engineer. Separating *installation* (IT, once)</w:t>
      </w:r>
    </w:p>
    <w:p>
      <w:pPr>
        <w:spacing w:after="100"/>
      </w:pPr>
      <w:r>
        <w:t xml:space="preserve">from *use* (clinician, always browser-only) is what makes the P1–P9 /</w:t>
      </w:r>
    </w:p>
    <w:p>
      <w:pPr>
        <w:spacing w:after="100"/>
      </w:pPr>
      <w:r>
        <w:t xml:space="preserve">LEON / DP1–DP4 governance model in this dissertation credible as something</w:t>
      </w:r>
    </w:p>
    <w:p>
      <w:pPr>
        <w:spacing w:after="100"/>
      </w:pPr>
      <w:r>
        <w:t xml:space="preserve">that could actually ship — not only as a research demonstration.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Line">
    <w:name w:val="codeLine"/>
    <w:basedOn w:val="Normal"/>
    <w:pPr>
      <w:spacing w:after="0" w:before="0" w:line="240"/>
    </w:pPr>
    <w:rPr>
      <w:rFonts w:ascii="Consolas" w:cs="Consolas" w:eastAsia="Consolas" w:hAnsi="Consolas"/>
      <w:color w:val="E6E6E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617ac2e94cd179f0d59ed76d7de9d8543c8f9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2026-07-24T06:18:56.688Z</dcterms:created>
  <dcterms:modified xsi:type="dcterms:W3CDTF">2026-07-24T06:18:56.689Z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