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1E3D"/>
          <w:sz w:val="28"/>
          <w:szCs w:val="28"/>
        </w:rPr>
        <w:t xml:space="preserve">SOLANGE™ 3D Quantum Simulation Platform</w:t>
      </w:r>
    </w:p>
    <w:p>
      <w:pPr>
        <w:spacing w:after="240"/>
      </w:pPr>
      <w:r>
        <w:rPr>
          <w:b/>
          <w:bCs/>
          <w:color w:val="06B6D4"/>
          <w:sz w:val="24"/>
          <w:szCs w:val="24"/>
        </w:rPr>
        <w:t xml:space="preserve">Comparative Benchmark Protocol</w:t>
      </w:r>
    </w:p>
    <w:p>
      <w:pPr>
        <w:spacing w:after="60"/>
      </w:pPr>
      <w:r>
        <w:rPr>
          <w:b/>
          <w:bCs/>
          <w:sz w:val="21"/>
          <w:szCs w:val="21"/>
        </w:rPr>
        <w:t xml:space="preserve">Document: </w:t>
      </w:r>
      <w:r>
        <w:rPr>
          <w:sz w:val="21"/>
          <w:szCs w:val="21"/>
        </w:rPr>
        <w:t xml:space="preserve">BM-2026-001, version 1.0</w:t>
      </w:r>
    </w:p>
    <w:p>
      <w:pPr>
        <w:spacing w:after="60"/>
      </w:pPr>
      <w:r>
        <w:rPr>
          <w:b/>
          <w:bCs/>
          <w:sz w:val="21"/>
          <w:szCs w:val="21"/>
        </w:rPr>
        <w:t xml:space="preserve">Scope: </w:t>
      </w:r>
      <w:r>
        <w:rPr>
          <w:sz w:val="21"/>
          <w:szCs w:val="21"/>
        </w:rPr>
        <w:t xml:space="preserve">Stage 5 of the development roadmap; §06.ii evaluation</w:t>
      </w:r>
    </w:p>
    <w:p>
      <w:pPr>
        <w:spacing w:after="60"/>
      </w:pPr>
      <w:r>
        <w:rPr>
          <w:b/>
          <w:bCs/>
          <w:sz w:val="21"/>
          <w:szCs w:val="21"/>
        </w:rPr>
        <w:t xml:space="preserve">Status: </w:t>
      </w:r>
      <w:r>
        <w:rPr>
          <w:sz w:val="21"/>
          <w:szCs w:val="21"/>
        </w:rPr>
        <w:t xml:space="preserve">PROTOCOL — pre-specified, not yet executed</w:t>
      </w:r>
    </w:p>
    <w:p>
      <w:pPr>
        <w:spacing w:after="60"/>
      </w:pPr>
      <w:r>
        <w:rPr>
          <w:b/>
          <w:bCs/>
          <w:sz w:val="21"/>
          <w:szCs w:val="21"/>
        </w:rPr>
        <w:t xml:space="preserve">Prepared by: </w:t>
      </w:r>
      <w:r>
        <w:rPr>
          <w:sz w:val="21"/>
          <w:szCs w:val="21"/>
        </w:rPr>
        <w:t xml:space="preserve">Doron Cohen</w:t>
      </w:r>
    </w:p>
    <w:p>
      <w:pPr>
        <w:pStyle w:val="Heading1"/>
        <w:spacing w:after="120" w:before="280"/>
      </w:pPr>
      <w:r>
        <w:rPr>
          <w:b/>
          <w:bCs/>
          <w:color w:val="0B1E3D"/>
        </w:rPr>
        <w:t xml:space="preserve">1. Purpose</w:t>
      </w:r>
    </w:p>
    <w:p>
      <w:pPr>
        <w:spacing w:after="120"/>
      </w:pPr>
      <w:r>
        <w:rPr>
          <w:sz w:val="21"/>
          <w:szCs w:val="21"/>
        </w:rPr>
        <w:t xml:space="preserve">This protocol fixes, in advance of any measurement, how the orchestration platform is to be compared against alternative routes to the same computational result. Its subject is not whether the chemistry is correct — every pathway below computes the same quantity by the same method — but what it costs a researcher to get from an intention to an auditable record of having carried it out.</w:t>
      </w:r>
    </w:p>
    <w:p>
      <w:pPr>
        <w:spacing w:after="120"/>
      </w:pPr>
      <w:r>
        <w:rPr>
          <w:sz w:val="21"/>
          <w:szCs w:val="21"/>
        </w:rPr>
        <w:t xml:space="preserve">The protocol is written before execution deliberately. A comparison whose counting rules are settled after the counts are seen is not a measurement, and the platform this document evaluates is one whose central claim is about evidence discipline. Fixing the rules first is the same practice the IQ and OQ protocols follow.</w:t>
      </w:r>
    </w:p>
    <w:p>
      <w:pPr>
        <w:pStyle w:val="Heading1"/>
        <w:spacing w:after="120" w:before="280"/>
      </w:pPr>
      <w:r>
        <w:rPr>
          <w:b/>
          <w:bCs/>
          <w:color w:val="0B1E3D"/>
        </w:rPr>
        <w:t xml:space="preserve">2. What this protocol does NOT measure</w:t>
      </w:r>
    </w:p>
    <w:p>
      <w:pPr>
        <w:spacing w:after="120"/>
      </w:pPr>
      <w:r>
        <w:rPr>
          <w:sz w:val="21"/>
          <w:szCs w:val="21"/>
        </w:rPr>
        <w:t xml:space="preserve">It makes no claim about savings at any customer site. A statement of the form “this platform saves an organisation N steps” requires knowing what that organisation does today, who does it, and how long it takes them — none of which is established by comparing tools in a controlled setting. Such a claim belongs to the expert-panel evaluation (Phase 4, n=4–6, OSF pre-registered), not to a benchmark, and is out of scope here.</w:t>
      </w:r>
    </w:p>
    <w:p>
      <w:pPr>
        <w:spacing w:after="120"/>
      </w:pPr>
      <w:r>
        <w:rPr>
          <w:sz w:val="21"/>
          <w:szCs w:val="21"/>
        </w:rPr>
        <w:t xml:space="preserve">What is in scope is narrower and defensible: four routes to one fixed task, all four executed by the same operator, with every step counted under one published rule.</w:t>
      </w:r>
    </w:p>
    <w:p>
      <w:pPr>
        <w:pStyle w:val="Heading1"/>
        <w:spacing w:after="120" w:before="280"/>
      </w:pPr>
      <w:r>
        <w:rPr>
          <w:b/>
          <w:bCs/>
          <w:color w:val="0B1E3D"/>
        </w:rPr>
        <w:t xml:space="preserve">3. Reference task (T)</w:t>
      </w:r>
    </w:p>
    <w:p>
      <w:pPr>
        <w:spacing w:after="120"/>
      </w:pPr>
      <w:r>
        <w:rPr>
          <w:sz w:val="21"/>
          <w:szCs w:val="21"/>
        </w:rPr>
        <w:t xml:space="preserve">Chosen so that all four pathways can perform it without modification, and so that the difference between them lies in orchestration and record-keeping rather than in chemistry.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shd w:fill="F1F5F9" w:val="clear"/>
            <w:tcMar>
              <w:top w:type="dxa" w:w="80"/>
              <w:left w:type="dxa" w:w="100"/>
              <w:bottom w:type="dxa" w:w="80"/>
              <w:right w:type="dxa" w:w="100"/>
            </w:tcMar>
            <w:vAlign w:val="center"/>
          </w:tcPr>
          <w:p>
            <w:pPr>
              <w:jc w:val="left"/>
            </w:pPr>
            <w:r>
              <w:rPr>
                <w:b/>
                <w:bCs/>
                <w:color w:val="000000"/>
                <w:sz w:val="18"/>
                <w:szCs w:val="18"/>
              </w:rPr>
              <w:t xml:space="preserve">Element</w:t>
            </w:r>
          </w:p>
        </w:tc>
        <w:tc>
          <w:tcPr>
            <w:tcW w:type="dxa" w:w="7846"/>
            <w:shd w:fill="F1F5F9" w:val="clear"/>
            <w:tcMar>
              <w:top w:type="dxa" w:w="80"/>
              <w:left w:type="dxa" w:w="100"/>
              <w:bottom w:type="dxa" w:w="80"/>
              <w:right w:type="dxa" w:w="100"/>
            </w:tcMar>
            <w:vAlign w:val="center"/>
          </w:tcPr>
          <w:p>
            <w:pPr>
              <w:jc w:val="left"/>
            </w:pPr>
            <w:r>
              <w:rPr>
                <w:b/>
                <w:bCs/>
                <w:color w:val="000000"/>
                <w:sz w:val="18"/>
                <w:szCs w:val="18"/>
              </w:rPr>
              <w:t xml:space="preserve">Specification</w:t>
            </w:r>
          </w:p>
        </w:tc>
      </w:tr>
      <w:tr>
        <w:tc>
          <w:tcPr>
            <w:tcW w:type="dxa" w:w="1900"/>
            <w:tcMar>
              <w:top w:type="dxa" w:w="80"/>
              <w:left w:type="dxa" w:w="100"/>
              <w:bottom w:type="dxa" w:w="80"/>
              <w:right w:type="dxa" w:w="100"/>
            </w:tcMar>
            <w:vAlign w:val="center"/>
          </w:tcPr>
          <w:p>
            <w:pPr>
              <w:jc w:val="left"/>
            </w:pPr>
            <w:r>
              <w:rPr>
                <w:b w:val="false"/>
                <w:bCs w:val="false"/>
                <w:color w:val="000000"/>
                <w:sz w:val="18"/>
                <w:szCs w:val="18"/>
              </w:rPr>
              <w:t xml:space="preserve">System</w:t>
            </w:r>
          </w:p>
        </w:tc>
        <w:tc>
          <w:tcPr>
            <w:tcW w:type="dxa" w:w="7846"/>
            <w:tcMar>
              <w:top w:type="dxa" w:w="80"/>
              <w:left w:type="dxa" w:w="100"/>
              <w:bottom w:type="dxa" w:w="80"/>
              <w:right w:type="dxa" w:w="100"/>
            </w:tcMar>
            <w:vAlign w:val="center"/>
          </w:tcPr>
          <w:p>
            <w:pPr>
              <w:jc w:val="left"/>
            </w:pPr>
            <w:r>
              <w:rPr>
                <w:b w:val="false"/>
                <w:bCs w:val="false"/>
                <w:color w:val="000000"/>
                <w:sz w:val="18"/>
                <w:szCs w:val="18"/>
              </w:rPr>
              <w:t xml:space="preserve">H2 at equilibrium geometry,​ or the platform's CAS(2e,​2o)/​STO-​3G model compound for TP53 C275F (toluene) — fixed at execution and identical across pathways</w:t>
            </w:r>
          </w:p>
        </w:tc>
      </w:tr>
      <w:tr>
        <w:tc>
          <w:tcPr>
            <w:tcW w:type="dxa" w:w="1900"/>
            <w:tcMar>
              <w:top w:type="dxa" w:w="80"/>
              <w:left w:type="dxa" w:w="100"/>
              <w:bottom w:type="dxa" w:w="80"/>
              <w:right w:type="dxa" w:w="100"/>
            </w:tcMar>
            <w:vAlign w:val="center"/>
          </w:tcPr>
          <w:p>
            <w:pPr>
              <w:jc w:val="left"/>
            </w:pPr>
            <w:r>
              <w:rPr>
                <w:b w:val="false"/>
                <w:bCs w:val="false"/>
                <w:color w:val="000000"/>
                <w:sz w:val="18"/>
                <w:szCs w:val="18"/>
              </w:rPr>
              <w:t xml:space="preserve">Method</w:t>
            </w:r>
          </w:p>
        </w:tc>
        <w:tc>
          <w:tcPr>
            <w:tcW w:type="dxa" w:w="7846"/>
            <w:tcMar>
              <w:top w:type="dxa" w:w="80"/>
              <w:left w:type="dxa" w:w="100"/>
              <w:bottom w:type="dxa" w:w="80"/>
              <w:right w:type="dxa" w:w="100"/>
            </w:tcMar>
            <w:vAlign w:val="center"/>
          </w:tcPr>
          <w:p>
            <w:pPr>
              <w:jc w:val="left"/>
            </w:pPr>
            <w:r>
              <w:rPr>
                <w:b w:val="false"/>
                <w:bCs w:val="false"/>
                <w:color w:val="000000"/>
                <w:sz w:val="18"/>
                <w:szCs w:val="18"/>
              </w:rPr>
              <w:t xml:space="preserve">VQE,​ hardware-​efficient ansatz,​ fixed initial parameters</w:t>
            </w:r>
          </w:p>
        </w:tc>
      </w:tr>
      <w:tr>
        <w:tc>
          <w:tcPr>
            <w:tcW w:type="dxa" w:w="1900"/>
            <w:tcMar>
              <w:top w:type="dxa" w:w="80"/>
              <w:left w:type="dxa" w:w="100"/>
              <w:bottom w:type="dxa" w:w="80"/>
              <w:right w:type="dxa" w:w="100"/>
            </w:tcMar>
            <w:vAlign w:val="center"/>
          </w:tcPr>
          <w:p>
            <w:pPr>
              <w:jc w:val="left"/>
            </w:pPr>
            <w:r>
              <w:rPr>
                <w:b w:val="false"/>
                <w:bCs w:val="false"/>
                <w:color w:val="000000"/>
                <w:sz w:val="18"/>
                <w:szCs w:val="18"/>
              </w:rPr>
              <w:t xml:space="preserve">Encoding</w:t>
            </w:r>
          </w:p>
        </w:tc>
        <w:tc>
          <w:tcPr>
            <w:tcW w:type="dxa" w:w="7846"/>
            <w:tcMar>
              <w:top w:type="dxa" w:w="80"/>
              <w:left w:type="dxa" w:w="100"/>
              <w:bottom w:type="dxa" w:w="80"/>
              <w:right w:type="dxa" w:w="100"/>
            </w:tcMar>
            <w:vAlign w:val="center"/>
          </w:tcPr>
          <w:p>
            <w:pPr>
              <w:jc w:val="left"/>
            </w:pPr>
            <w:r>
              <w:rPr>
                <w:b w:val="false"/>
                <w:bCs w:val="false"/>
                <w:color w:val="000000"/>
                <w:sz w:val="18"/>
                <w:szCs w:val="18"/>
              </w:rPr>
              <w:t xml:space="preserve">Jordan-​Wigner; 4 qubits (2 for the H2 control)</w:t>
            </w:r>
          </w:p>
        </w:tc>
      </w:tr>
      <w:tr>
        <w:tc>
          <w:tcPr>
            <w:tcW w:type="dxa" w:w="1900"/>
            <w:tcMar>
              <w:top w:type="dxa" w:w="80"/>
              <w:left w:type="dxa" w:w="100"/>
              <w:bottom w:type="dxa" w:w="80"/>
              <w:right w:type="dxa" w:w="100"/>
            </w:tcMar>
            <w:vAlign w:val="center"/>
          </w:tcPr>
          <w:p>
            <w:pPr>
              <w:jc w:val="left"/>
            </w:pPr>
            <w:r>
              <w:rPr>
                <w:b w:val="false"/>
                <w:bCs w:val="false"/>
                <w:color w:val="000000"/>
                <w:sz w:val="18"/>
                <w:szCs w:val="18"/>
              </w:rPr>
              <w:t xml:space="preserve">Backend</w:t>
            </w:r>
          </w:p>
        </w:tc>
        <w:tc>
          <w:tcPr>
            <w:tcW w:type="dxa" w:w="7846"/>
            <w:tcMar>
              <w:top w:type="dxa" w:w="80"/>
              <w:left w:type="dxa" w:w="100"/>
              <w:bottom w:type="dxa" w:w="80"/>
              <w:right w:type="dxa" w:w="100"/>
            </w:tcMar>
            <w:vAlign w:val="center"/>
          </w:tcPr>
          <w:p>
            <w:pPr>
              <w:jc w:val="left"/>
            </w:pPr>
            <w:r>
              <w:rPr>
                <w:b w:val="false"/>
                <w:bCs w:val="false"/>
                <w:color w:val="000000"/>
                <w:sz w:val="18"/>
                <w:szCs w:val="18"/>
              </w:rPr>
              <w:t xml:space="preserve">Statevector simulator.​ Real hardware is excluded:​ device queue time is not attributable to any pathway and would dominate the setup-​time metric</w:t>
            </w:r>
          </w:p>
        </w:tc>
      </w:tr>
      <w:tr>
        <w:tc>
          <w:tcPr>
            <w:tcW w:type="dxa" w:w="1900"/>
            <w:tcMar>
              <w:top w:type="dxa" w:w="80"/>
              <w:left w:type="dxa" w:w="100"/>
              <w:bottom w:type="dxa" w:w="80"/>
              <w:right w:type="dxa" w:w="100"/>
            </w:tcMar>
            <w:vAlign w:val="center"/>
          </w:tcPr>
          <w:p>
            <w:pPr>
              <w:jc w:val="left"/>
            </w:pPr>
            <w:r>
              <w:rPr>
                <w:b w:val="false"/>
                <w:bCs w:val="false"/>
                <w:color w:val="000000"/>
                <w:sz w:val="18"/>
                <w:szCs w:val="18"/>
              </w:rPr>
              <w:t xml:space="preserve">Shots</w:t>
            </w:r>
          </w:p>
        </w:tc>
        <w:tc>
          <w:tcPr>
            <w:tcW w:type="dxa" w:w="7846"/>
            <w:tcMar>
              <w:top w:type="dxa" w:w="80"/>
              <w:left w:type="dxa" w:w="100"/>
              <w:bottom w:type="dxa" w:w="80"/>
              <w:right w:type="dxa" w:w="100"/>
            </w:tcMar>
            <w:vAlign w:val="center"/>
          </w:tcPr>
          <w:p>
            <w:pPr>
              <w:jc w:val="left"/>
            </w:pPr>
            <w:r>
              <w:rPr>
                <w:b w:val="false"/>
                <w:bCs w:val="false"/>
                <w:color w:val="000000"/>
                <w:sz w:val="18"/>
                <w:szCs w:val="18"/>
              </w:rPr>
              <w:t xml:space="preserve">4,​096,​ matching the platform's executed quantum-​hardware runs (§07.​4)</w:t>
            </w:r>
          </w:p>
        </w:tc>
      </w:tr>
      <w:tr>
        <w:tc>
          <w:tcPr>
            <w:tcW w:type="dxa" w:w="1900"/>
            <w:tcMar>
              <w:top w:type="dxa" w:w="80"/>
              <w:left w:type="dxa" w:w="100"/>
              <w:bottom w:type="dxa" w:w="80"/>
              <w:right w:type="dxa" w:w="100"/>
            </w:tcMar>
            <w:vAlign w:val="center"/>
          </w:tcPr>
          <w:p>
            <w:pPr>
              <w:jc w:val="left"/>
            </w:pPr>
            <w:r>
              <w:rPr>
                <w:b w:val="false"/>
                <w:bCs w:val="false"/>
                <w:color w:val="000000"/>
                <w:sz w:val="18"/>
                <w:szCs w:val="18"/>
              </w:rPr>
              <w:t xml:space="preserve">Deliverable</w:t>
            </w:r>
          </w:p>
        </w:tc>
        <w:tc>
          <w:tcPr>
            <w:tcW w:type="dxa" w:w="7846"/>
            <w:tcMar>
              <w:top w:type="dxa" w:w="80"/>
              <w:left w:type="dxa" w:w="100"/>
              <w:bottom w:type="dxa" w:w="80"/>
              <w:right w:type="dxa" w:w="100"/>
            </w:tcMar>
            <w:vAlign w:val="center"/>
          </w:tcPr>
          <w:p>
            <w:pPr>
              <w:jc w:val="left"/>
            </w:pPr>
            <w:r>
              <w:rPr>
                <w:b w:val="false"/>
                <w:bCs w:val="false"/>
                <w:color w:val="000000"/>
                <w:sz w:val="18"/>
                <w:szCs w:val="18"/>
              </w:rPr>
              <w:t xml:space="preserve">The computed energy,​ plus whatever record of the run each pathway produces without additional work</w:t>
            </w:r>
          </w:p>
        </w:tc>
      </w:tr>
    </w:tbl>
    <w:p>
      <w:pPr>
        <w:pStyle w:val="Heading1"/>
        <w:spacing w:after="120" w:before="280"/>
      </w:pPr>
      <w:r>
        <w:rPr>
          <w:b/>
          <w:bCs/>
          <w:color w:val="0B1E3D"/>
        </w:rPr>
        <w:t xml:space="preserve">4. Pathways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tblHeader/>
        </w:trPr>
        <w:tc>
          <w:tcPr>
            <w:tcW w:type="dxa" w:w="900"/>
            <w:shd w:fill="F1F5F9" w:val="clear"/>
            <w:tcMar>
              <w:top w:type="dxa" w:w="80"/>
              <w:left w:type="dxa" w:w="100"/>
              <w:bottom w:type="dxa" w:w="80"/>
              <w:right w:type="dxa" w:w="100"/>
            </w:tcMar>
            <w:vAlign w:val="center"/>
          </w:tcPr>
          <w:p>
            <w:pPr>
              <w:jc w:val="left"/>
            </w:pPr>
            <w:r>
              <w:rPr>
                <w:b/>
                <w:bCs/>
                <w:color w:val="000000"/>
                <w:sz w:val="18"/>
                <w:szCs w:val="18"/>
              </w:rPr>
              <w:t xml:space="preserve">ID</w:t>
            </w:r>
          </w:p>
        </w:tc>
        <w:tc>
          <w:tcPr>
            <w:tcW w:type="dxa" w:w="2600"/>
            <w:shd w:fill="F1F5F9" w:val="clear"/>
            <w:tcMar>
              <w:top w:type="dxa" w:w="80"/>
              <w:left w:type="dxa" w:w="100"/>
              <w:bottom w:type="dxa" w:w="80"/>
              <w:right w:type="dxa" w:w="100"/>
            </w:tcMar>
            <w:vAlign w:val="center"/>
          </w:tcPr>
          <w:p>
            <w:pPr>
              <w:jc w:val="left"/>
            </w:pPr>
            <w:r>
              <w:rPr>
                <w:b/>
                <w:bCs/>
                <w:color w:val="000000"/>
                <w:sz w:val="18"/>
                <w:szCs w:val="18"/>
              </w:rPr>
              <w:t xml:space="preserve">Pathway</w:t>
            </w:r>
          </w:p>
        </w:tc>
        <w:tc>
          <w:tcPr>
            <w:tcW w:type="dxa" w:w="6246"/>
            <w:shd w:fill="F1F5F9" w:val="clear"/>
            <w:tcMar>
              <w:top w:type="dxa" w:w="80"/>
              <w:left w:type="dxa" w:w="100"/>
              <w:bottom w:type="dxa" w:w="80"/>
              <w:right w:type="dxa" w:w="100"/>
            </w:tcMar>
            <w:vAlign w:val="center"/>
          </w:tcPr>
          <w:p>
            <w:pPr>
              <w:jc w:val="left"/>
            </w:pPr>
            <w:r>
              <w:rPr>
                <w:b/>
                <w:bCs/>
                <w:color w:val="000000"/>
                <w:sz w:val="18"/>
                <w:szCs w:val="18"/>
              </w:rPr>
              <w:t xml:space="preserve">Definition and availability</w:t>
            </w:r>
          </w:p>
        </w:tc>
      </w:tr>
      <w:tr>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P1</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SOLANGE platform</w:t>
            </w:r>
          </w:p>
        </w:tc>
        <w:tc>
          <w:tcPr>
            <w:tcW w:type="dxa" w:w="6246"/>
            <w:tcMar>
              <w:top w:type="dxa" w:w="80"/>
              <w:left w:type="dxa" w:w="100"/>
              <w:bottom w:type="dxa" w:w="80"/>
              <w:right w:type="dxa" w:w="100"/>
            </w:tcMar>
            <w:vAlign w:val="center"/>
          </w:tcPr>
          <w:p>
            <w:pPr>
              <w:jc w:val="left"/>
            </w:pPr>
            <w:r>
              <w:rPr>
                <w:b w:val="false"/>
                <w:bCs w:val="false"/>
                <w:color w:val="000000"/>
                <w:sz w:val="18"/>
                <w:szCs w:val="18"/>
              </w:rPr>
              <w:t xml:space="preserve">The deployed prototype.​ Operator loads an NGS report,​ accepts the Gateway's routing recommendation,​ dispatches,​ and reads the sealed result.​</w:t>
            </w:r>
          </w:p>
        </w:tc>
      </w:tr>
      <w:tr>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P2</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Qiskit Runtime alone</w:t>
            </w:r>
          </w:p>
        </w:tc>
        <w:tc>
          <w:tcPr>
            <w:tcW w:type="dxa" w:w="6246"/>
            <w:tcMar>
              <w:top w:type="dxa" w:w="80"/>
              <w:left w:type="dxa" w:w="100"/>
              <w:bottom w:type="dxa" w:w="80"/>
              <w:right w:type="dxa" w:w="100"/>
            </w:tcMar>
            <w:vAlign w:val="center"/>
          </w:tcPr>
          <w:p>
            <w:pPr>
              <w:jc w:val="left"/>
            </w:pPr>
            <w:r>
              <w:rPr>
                <w:b w:val="false"/>
                <w:bCs w:val="false"/>
                <w:color w:val="000000"/>
                <w:sz w:val="18"/>
                <w:szCs w:val="18"/>
              </w:rPr>
              <w:t xml:space="preserve">IBM's SDK used directly,​ with no orchestration layer.​ Available; the project already holds the account used for the §07.​4 hardware runs.​</w:t>
            </w:r>
          </w:p>
        </w:tc>
      </w:tr>
      <w:tr>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P3</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Orquestra (Zapata)</w:t>
            </w:r>
          </w:p>
        </w:tc>
        <w:tc>
          <w:tcPr>
            <w:tcW w:type="dxa" w:w="6246"/>
            <w:tcMar>
              <w:top w:type="dxa" w:w="80"/>
              <w:left w:type="dxa" w:w="100"/>
              <w:bottom w:type="dxa" w:w="80"/>
              <w:right w:type="dxa" w:w="100"/>
            </w:tcMar>
            <w:vAlign w:val="center"/>
          </w:tcPr>
          <w:p>
            <w:pPr>
              <w:jc w:val="left"/>
            </w:pPr>
            <w:r>
              <w:rPr>
                <w:b w:val="false"/>
                <w:bCs w:val="false"/>
                <w:color w:val="000000"/>
                <w:sz w:val="18"/>
                <w:szCs w:val="18"/>
              </w:rPr>
              <w:t xml:space="preserve">AVAILABILITY MUST BE CONFIRMED BEFORE EXECUTION.​ Zapata Computing wound down commercial operations,​ and if Orquestra cannot be obtained and run by the operator,​ this pathway is reported as not assessable and no figures are estimated for it.​</w:t>
            </w:r>
          </w:p>
        </w:tc>
      </w:tr>
      <w:tr>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P4</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Fully manual workflow</w:t>
            </w:r>
          </w:p>
        </w:tc>
        <w:tc>
          <w:tcPr>
            <w:tcW w:type="dxa" w:w="6246"/>
            <w:tcMar>
              <w:top w:type="dxa" w:w="80"/>
              <w:left w:type="dxa" w:w="100"/>
              <w:bottom w:type="dxa" w:w="80"/>
              <w:right w:type="dxa" w:w="100"/>
            </w:tcMar>
            <w:vAlign w:val="center"/>
          </w:tcPr>
          <w:p>
            <w:pPr>
              <w:jc w:val="left"/>
            </w:pPr>
            <w:r>
              <w:rPr>
                <w:b w:val="false"/>
                <w:bCs w:val="false"/>
                <w:color w:val="000000"/>
                <w:sz w:val="18"/>
                <w:szCs w:val="18"/>
              </w:rPr>
              <w:t xml:space="preserve">Construct the Hamiltonian in PySCF,​ transpile,​ submit,​ collect,​ and record provenance by hand.​ The baseline a researcher without any platform actually occupies.​</w:t>
            </w:r>
          </w:p>
        </w:tc>
      </w:tr>
    </w:tbl>
    <w:p>
      <w:pPr>
        <w:pStyle w:val="Heading1"/>
        <w:spacing w:after="120" w:before="280"/>
      </w:pPr>
      <w:r>
        <w:rPr>
          <w:b/>
          <w:bCs/>
          <w:color w:val="0B1E3D"/>
        </w:rPr>
        <w:t xml:space="preserve">5. Metrics</w:t>
      </w:r>
    </w:p>
    <w:p>
      <w:pPr>
        <w:pStyle w:val="Heading2"/>
        <w:spacing w:after="120" w:before="280"/>
      </w:pPr>
      <w:r>
        <w:rPr>
          <w:b/>
          <w:bCs/>
          <w:color w:val="0B1E3D"/>
        </w:rPr>
        <w:t xml:space="preserve">5.1  M1 — Manual steps</w:t>
      </w:r>
    </w:p>
    <w:p>
      <w:pPr>
        <w:spacing w:after="120"/>
      </w:pPr>
      <w:r>
        <w:rPr>
          <w:sz w:val="21"/>
          <w:szCs w:val="21"/>
        </w:rPr>
        <w:t xml:space="preserve">A step is one discrete, unavoidable human action. The counting rule is fixed here and applied identically to all four pathways:</w:t>
      </w:r>
    </w:p>
    <w:p>
      <w:pPr>
        <w:pStyle w:val="ListParagraph"/>
        <w:numPr>
          <w:ilvl w:val="0"/>
          <w:numId w:val="1"/>
        </w:numPr>
        <w:spacing w:after="80"/>
      </w:pPr>
      <w:r>
        <w:rPr>
          <w:sz w:val="21"/>
          <w:szCs w:val="21"/>
        </w:rPr>
        <w:t xml:space="preserve">COUNTS: a click on a control; one command invocation at a shell; one file created or edited; one credential or parameter typed; one value copied from one place to another.</w:t>
      </w:r>
    </w:p>
    <w:p>
      <w:pPr>
        <w:pStyle w:val="ListParagraph"/>
        <w:numPr>
          <w:ilvl w:val="0"/>
          <w:numId w:val="1"/>
        </w:numPr>
        <w:spacing w:after="80"/>
      </w:pPr>
      <w:r>
        <w:rPr>
          <w:sz w:val="21"/>
          <w:szCs w:val="21"/>
        </w:rPr>
        <w:t xml:space="preserve">DOES NOT COUNT: anything the pathway performs without human intervention, however many operations it involves internally.</w:t>
      </w:r>
    </w:p>
    <w:p>
      <w:pPr>
        <w:pStyle w:val="ListParagraph"/>
        <w:numPr>
          <w:ilvl w:val="0"/>
          <w:numId w:val="1"/>
        </w:numPr>
        <w:spacing w:after="80"/>
      </w:pPr>
      <w:r>
        <w:rPr>
          <w:sz w:val="21"/>
          <w:szCs w:val="21"/>
        </w:rPr>
        <w:t xml:space="preserve">DOES NOT COUNT: one-time installation of the pathway itself. That is measured separately as M2.</w:t>
      </w:r>
    </w:p>
    <w:p>
      <w:pPr>
        <w:pStyle w:val="ListParagraph"/>
        <w:numPr>
          <w:ilvl w:val="0"/>
          <w:numId w:val="1"/>
        </w:numPr>
        <w:spacing w:after="80"/>
      </w:pPr>
      <w:r>
        <w:rPr>
          <w:sz w:val="21"/>
          <w:szCs w:val="21"/>
        </w:rPr>
        <w:t xml:space="preserve">DOES NOT COUNT: reading output. Only actions that change state.</w:t>
      </w:r>
    </w:p>
    <w:p>
      <w:pPr>
        <w:spacing w:after="120"/>
      </w:pPr>
      <w:r>
        <w:rPr>
          <w:i/>
          <w:iCs/>
          <w:sz w:val="21"/>
          <w:szCs w:val="21"/>
        </w:rPr>
        <w:t xml:space="preserve">Each counted step must be recorded with the control or command that performs it, so a reader can re-derive the count rather than take it. A step with no such anchor is not counted.</w:t>
      </w:r>
    </w:p>
    <w:p>
      <w:pPr>
        <w:pStyle w:val="Heading2"/>
        <w:spacing w:after="120" w:before="280"/>
      </w:pPr>
      <w:r>
        <w:rPr>
          <w:b/>
          <w:bCs/>
          <w:color w:val="0B1E3D"/>
        </w:rPr>
        <w:t xml:space="preserve">5.2  M2 — Setup time</w:t>
      </w:r>
    </w:p>
    <w:p>
      <w:pPr>
        <w:spacing w:after="120"/>
      </w:pPr>
      <w:r>
        <w:rPr>
          <w:sz w:val="21"/>
          <w:szCs w:val="21"/>
        </w:rPr>
        <w:t xml:space="preserve">Wall-clock minutes from a clean machine to the first correct result, excluding compute time and excluding any queue wait. Measured once per pathway by the same operator, who is already familiar with all four — this measures the pathway, not the learning curve, and the protocol states that limitation rather than correcting for it.</w:t>
      </w:r>
    </w:p>
    <w:p>
      <w:pPr>
        <w:pStyle w:val="Heading2"/>
        <w:spacing w:after="120" w:before="280"/>
      </w:pPr>
      <w:r>
        <w:rPr>
          <w:b/>
          <w:bCs/>
          <w:color w:val="0B1E3D"/>
        </w:rPr>
        <w:t xml:space="preserve">5.3  M3 — Part 11 elements satisfied</w:t>
      </w:r>
    </w:p>
    <w:p>
      <w:pPr>
        <w:spacing w:after="120"/>
      </w:pPr>
      <w:r>
        <w:rPr>
          <w:sz w:val="21"/>
          <w:szCs w:val="21"/>
        </w:rPr>
        <w:t xml:space="preserve">The strongest of the three metrics, because it is binary per element and does not depend on operator speed. For each element the question is whether the pathway produces it WITHOUT additional work beyond the steps counted in M1.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846"/>
      </w:tblGrid>
      <w:tr>
        <w:trPr>
          <w:tblHeader/>
        </w:trPr>
        <w:tc>
          <w:tcPr>
            <w:tcW w:type="dxa" w:w="700"/>
            <w:shd w:fill="F1F5F9" w:val="clear"/>
            <w:tcMar>
              <w:top w:type="dxa" w:w="80"/>
              <w:left w:type="dxa" w:w="100"/>
              <w:bottom w:type="dxa" w:w="80"/>
              <w:right w:type="dxa" w:w="100"/>
            </w:tcMar>
            <w:vAlign w:val="center"/>
          </w:tcPr>
          <w:p>
            <w:pPr>
              <w:jc w:val="left"/>
            </w:pPr>
            <w:r>
              <w:rPr>
                <w:b/>
                <w:bCs/>
                <w:color w:val="000000"/>
                <w:sz w:val="18"/>
                <w:szCs w:val="18"/>
              </w:rPr>
              <w:t xml:space="preserve">#</w:t>
            </w:r>
          </w:p>
        </w:tc>
        <w:tc>
          <w:tcPr>
            <w:tcW w:type="dxa" w:w="3200"/>
            <w:shd w:fill="F1F5F9" w:val="clear"/>
            <w:tcMar>
              <w:top w:type="dxa" w:w="80"/>
              <w:left w:type="dxa" w:w="100"/>
              <w:bottom w:type="dxa" w:w="80"/>
              <w:right w:type="dxa" w:w="100"/>
            </w:tcMar>
            <w:vAlign w:val="center"/>
          </w:tcPr>
          <w:p>
            <w:pPr>
              <w:jc w:val="left"/>
            </w:pPr>
            <w:r>
              <w:rPr>
                <w:b/>
                <w:bCs/>
                <w:color w:val="000000"/>
                <w:sz w:val="18"/>
                <w:szCs w:val="18"/>
              </w:rPr>
              <w:t xml:space="preserve">Element (21 CFR §11.​10)</w:t>
            </w:r>
          </w:p>
        </w:tc>
        <w:tc>
          <w:tcPr>
            <w:tcW w:type="dxa" w:w="5846"/>
            <w:shd w:fill="F1F5F9" w:val="clear"/>
            <w:tcMar>
              <w:top w:type="dxa" w:w="80"/>
              <w:left w:type="dxa" w:w="100"/>
              <w:bottom w:type="dxa" w:w="80"/>
              <w:right w:type="dxa" w:w="100"/>
            </w:tcMar>
            <w:vAlign w:val="center"/>
          </w:tcPr>
          <w:p>
            <w:pPr>
              <w:jc w:val="left"/>
            </w:pPr>
            <w:r>
              <w:rPr>
                <w:b/>
                <w:bCs/>
                <w:color w:val="000000"/>
                <w:sz w:val="18"/>
                <w:szCs w:val="18"/>
              </w:rPr>
              <w:t xml:space="preserve">Test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E1</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Attributable — (e)</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Does the record identify who initiated the run,​ from an authenticated identity rather than a typed name?</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E2</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Timestamped — (e)</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Is the time of the operation recorded by the system rather than by the operator?</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E3</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Tamper-​evident — (c)</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Can an alteration to the stored result be detected after the fact?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E4</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Complete inputs — (a)</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Are the exact inputs recoverable from the record alone — Hamiltonian,​ ansatz,​ parameters,​ backend,​ shot count?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E5</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Device state — (a)</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Is the backend's own reported state captured at execution,​ not looked up afterwards?</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E6</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Independently re-​verifiable</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Can a third party confirm the record is unaltered without trusting the party that produced it?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E7</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Append-​only audit trail — (e)</w:t>
            </w:r>
          </w:p>
        </w:tc>
        <w:tc>
          <w:tcPr>
            <w:tcW w:type="dxa" w:w="5846"/>
            <w:tcMar>
              <w:top w:type="dxa" w:w="80"/>
              <w:left w:type="dxa" w:w="100"/>
              <w:bottom w:type="dxa" w:w="80"/>
              <w:right w:type="dxa" w:w="100"/>
            </w:tcMar>
            <w:vAlign w:val="center"/>
          </w:tcPr>
          <w:p>
            <w:pPr>
              <w:jc w:val="left"/>
            </w:pPr>
            <w:r>
              <w:rPr>
                <w:b w:val="false"/>
                <w:bCs w:val="false"/>
                <w:color w:val="000000"/>
                <w:sz w:val="18"/>
                <w:szCs w:val="18"/>
              </w:rPr>
              <w:t xml:space="preserve">Is there a record of the operation that the operator cannot subsequently edit or delete?</w:t>
            </w:r>
          </w:p>
        </w:tc>
      </w:tr>
    </w:tbl>
    <w:p>
      <w:pPr>
        <w:pStyle w:val="Heading1"/>
        <w:spacing w:after="120" w:before="280"/>
      </w:pPr>
      <w:r>
        <w:rPr>
          <w:b/>
          <w:bCs/>
          <w:color w:val="0B1E3D"/>
        </w:rPr>
        <w:t xml:space="preserve">6. Execution and reporting</w:t>
      </w:r>
    </w:p>
    <w:p>
      <w:pPr>
        <w:spacing w:after="120"/>
      </w:pPr>
      <w:r>
        <w:rPr>
          <w:sz w:val="21"/>
          <w:szCs w:val="21"/>
        </w:rPr>
        <w:t xml:space="preserve">Each pathway is executed once, end to end, by the same operator. During execution a log is kept recording, for every step, the action taken and the control or command that performed it. The logs are the evidence; the tables in the report are derived from them.</w:t>
      </w:r>
    </w:p>
    <w:p>
      <w:pPr>
        <w:spacing w:after="120"/>
      </w:pPr>
      <w:r>
        <w:rPr>
          <w:sz w:val="21"/>
          <w:szCs w:val="21"/>
        </w:rPr>
        <w:t xml:space="preserve">Reporting rules, also fixed in advance:</w:t>
      </w:r>
    </w:p>
    <w:p>
      <w:pPr>
        <w:pStyle w:val="ListParagraph"/>
        <w:numPr>
          <w:ilvl w:val="0"/>
          <w:numId w:val="1"/>
        </w:numPr>
        <w:spacing w:after="80"/>
      </w:pPr>
      <w:r>
        <w:rPr>
          <w:sz w:val="21"/>
          <w:szCs w:val="21"/>
        </w:rPr>
        <w:t xml:space="preserve">A pathway that cannot be obtained is reported as not assessable. No figure is estimated for it, and its absence is stated in any summary that cites the others.</w:t>
      </w:r>
    </w:p>
    <w:p>
      <w:pPr>
        <w:pStyle w:val="ListParagraph"/>
        <w:numPr>
          <w:ilvl w:val="0"/>
          <w:numId w:val="1"/>
        </w:numPr>
        <w:spacing w:after="80"/>
      </w:pPr>
      <w:r>
        <w:rPr>
          <w:sz w:val="21"/>
          <w:szCs w:val="21"/>
        </w:rPr>
        <w:t xml:space="preserve">M1 and M2 are reported per pathway with their logs attached. M3 is reported as a table of seven yes/no answers with the evidence for each.</w:t>
      </w:r>
    </w:p>
    <w:p>
      <w:pPr>
        <w:pStyle w:val="ListParagraph"/>
        <w:numPr>
          <w:ilvl w:val="0"/>
          <w:numId w:val="1"/>
        </w:numPr>
        <w:spacing w:after="80"/>
      </w:pPr>
      <w:r>
        <w:rPr>
          <w:sz w:val="21"/>
          <w:szCs w:val="21"/>
        </w:rPr>
        <w:t xml:space="preserve">Where the platform's own pathway scores well, the report states which parts of the advantage come from orchestration and which from the platform simply having been built for this task — a comparison against general-purpose tooling is not a like-for-like contest and should not be presented as one.</w:t>
      </w:r>
    </w:p>
    <w:p>
      <w:pPr>
        <w:pStyle w:val="ListParagraph"/>
        <w:numPr>
          <w:ilvl w:val="0"/>
          <w:numId w:val="1"/>
        </w:numPr>
        <w:spacing w:after="80"/>
      </w:pPr>
      <w:r>
        <w:rPr>
          <w:sz w:val="21"/>
          <w:szCs w:val="21"/>
        </w:rPr>
        <w:t xml:space="preserve">The operator is the platform's author. This is a conflict of interest, it cannot be removed within this study, and it is disclosed in the report rather than mitigated by claim.</w:t>
      </w:r>
    </w:p>
    <w:p>
      <w:pPr>
        <w:pStyle w:val="Heading1"/>
        <w:spacing w:after="120" w:before="280"/>
      </w:pPr>
      <w:r>
        <w:rPr>
          <w:b/>
          <w:bCs/>
          <w:color w:val="0B1E3D"/>
        </w:rPr>
        <w:t xml:space="preserve">7. Expected outcome, recorded before measurement</w:t>
      </w:r>
    </w:p>
    <w:p>
      <w:pPr>
        <w:spacing w:after="120"/>
      </w:pPr>
      <w:r>
        <w:rPr>
          <w:sz w:val="21"/>
          <w:szCs w:val="21"/>
        </w:rPr>
        <w:t xml:space="preserve">Stated here so that agreement between expectation and result carries some weight, and so that disagreement cannot be quietly reinterpreted afterwards.</w:t>
      </w:r>
    </w:p>
    <w:p>
      <w:pPr>
        <w:spacing w:after="120"/>
      </w:pPr>
      <w:r>
        <w:rPr>
          <w:sz w:val="21"/>
          <w:szCs w:val="21"/>
        </w:rPr>
        <w:t xml:space="preserve">On M1 and M2 the platform is expected to lead, and the result would be close to uninformative: a purpose-built pipeline requiring fewer actions than a general-purpose SDK is what building it was for. On M3 the expectation is a genuine separation — that P2 and P4 satisfy few of the seven elements without work outside the counted steps, because neither was designed to produce a governed record at all. If M3 does not separate, the platform's central claim is weaker than stated and the report must say so.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2026-08-06T14:02:55.490Z</dcterms:created>
  <dcterms:modified xsi:type="dcterms:W3CDTF">2026-08-06T14:02:55.490Z</dcterms:modified>
</cp:coreProperties>
</file>

<file path=docProps/custom.xml><?xml version="1.0" encoding="utf-8"?>
<Properties xmlns="http://schemas.openxmlformats.org/officeDocument/2006/custom-properties" xmlns:vt="http://schemas.openxmlformats.org/officeDocument/2006/docPropsVTypes"/>
</file>