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1E3D"/>
          <w:sz w:val="36"/>
          <w:szCs w:val="36"/>
        </w:rPr>
        <w:t xml:space="preserve">SOLANGE™</w:t>
      </w:r>
    </w:p>
    <w:p>
      <w:pPr>
        <w:spacing w:after="260"/>
        <w:jc w:val="center"/>
      </w:pPr>
      <w:r>
        <w:rPr>
          <w:b/>
          <w:bCs/>
          <w:color w:val="06B6D4"/>
          <w:sz w:val="30"/>
          <w:szCs w:val="30"/>
        </w:rPr>
        <w:t xml:space="preserve">Installation Qualification (IQ) Protocol</w:t>
      </w:r>
    </w:p>
    <w:p>
      <w:pPr>
        <w:spacing w:after="60"/>
      </w:pPr>
      <w:r>
        <w:rPr>
          <w:b/>
          <w:bCs/>
          <w:sz w:val="21"/>
          <w:szCs w:val="21"/>
        </w:rPr>
        <w:t xml:space="preserve">Protocol ID: </w:t>
      </w:r>
      <w:r>
        <w:rPr>
          <w:sz w:val="21"/>
          <w:szCs w:val="21"/>
        </w:rPr>
        <w:t xml:space="preserve">IQ-2026-001</w:t>
      </w:r>
    </w:p>
    <w:p>
      <w:pPr>
        <w:spacing w:after="60"/>
      </w:pPr>
      <w:r>
        <w:rPr>
          <w:b/>
          <w:bCs/>
          <w:sz w:val="21"/>
          <w:szCs w:val="21"/>
        </w:rPr>
        <w:t xml:space="preserve">Version: </w:t>
      </w:r>
      <w:r>
        <w:rPr>
          <w:sz w:val="21"/>
          <w:szCs w:val="21"/>
        </w:rPr>
        <w:t xml:space="preserve">1.0 (first formal execution — supersedes no prior signed IQ)</w:t>
      </w:r>
    </w:p>
    <w:p>
      <w:pPr>
        <w:spacing w:after="60"/>
      </w:pPr>
      <w:r>
        <w:rPr>
          <w:b/>
          <w:bCs/>
          <w:sz w:val="21"/>
          <w:szCs w:val="21"/>
        </w:rPr>
        <w:t xml:space="preserve">System: </w:t>
      </w:r>
      <w:r>
        <w:rPr>
          <w:sz w:val="21"/>
          <w:szCs w:val="21"/>
        </w:rPr>
        <w:t xml:space="preserve">SOLANGE — 3D Quantum Simulation Platform</w:t>
      </w:r>
    </w:p>
    <w:p>
      <w:pPr>
        <w:spacing w:after="60"/>
      </w:pPr>
      <w:r>
        <w:rPr>
          <w:b/>
          <w:bCs/>
          <w:sz w:val="21"/>
          <w:szCs w:val="21"/>
        </w:rPr>
        <w:t xml:space="preserve">Related record: </w:t>
      </w:r>
      <w:r>
        <w:rPr>
          <w:sz w:val="21"/>
          <w:szCs w:val="21"/>
        </w:rPr>
        <w:t xml:space="preserve">Platform Qualification Record VP-2026-001 (Compliance tab)</w:t>
      </w:r>
    </w:p>
    <w:p>
      <w:pPr>
        <w:spacing w:after="60"/>
      </w:pPr>
      <w:r>
        <w:rPr>
          <w:b/>
          <w:bCs/>
          <w:sz w:val="21"/>
          <w:szCs w:val="21"/>
        </w:rPr>
        <w:t xml:space="preserve">Prepared by: </w:t>
      </w:r>
      <w:r>
        <w:rPr>
          <w:sz w:val="21"/>
          <w:szCs w:val="21"/>
        </w:rPr>
        <w:t xml:space="preserve">Doron Cohen, PhD/DTech Candidate, IST 697, Claremont Graduate University</w:t>
      </w:r>
    </w:p>
    <w:p>
      <w:pPr>
        <w:spacing w:after="60"/>
      </w:pPr>
      <w:r>
        <w:rPr>
          <w:b/>
          <w:bCs/>
          <w:sz w:val="21"/>
          <w:szCs w:val="21"/>
        </w:rPr>
        <w:t xml:space="preserve">Issue date: </w:t>
      </w:r>
      <w:r>
        <w:rPr>
          <w:sz w:val="21"/>
          <w:szCs w:val="21"/>
        </w:rPr>
        <w:t xml:space="preserve">____________________</w:t>
      </w:r>
    </w:p>
    <w:p>
      <w:pPr>
        <w:pStyle w:val="Heading1"/>
        <w:spacing w:after="120" w:before="280"/>
      </w:pPr>
      <w:r>
        <w:rPr>
          <w:b/>
          <w:bCs/>
          <w:color w:val="0B1E3D"/>
        </w:rPr>
        <w:t xml:space="preserve">1. Purpose</w:t>
      </w:r>
    </w:p>
    <w:p>
      <w:pPr>
        <w:spacing w:after="120"/>
      </w:pPr>
      <w:r>
        <w:rPr>
          <w:sz w:val="21"/>
          <w:szCs w:val="21"/>
        </w:rPr>
        <w:t xml:space="preserve">This protocol verifies that the SOLANGE platform's installed software stack, network connectivity to its external compute resources, dependency versions, and runtime environment isolation match their intended specification, prior to that installation being relied on for Operational or Performance Qualification (OQ/PQ).</w:t>
      </w:r>
    </w:p>
    <w:p>
      <w:pPr>
        <w:pStyle w:val="Heading1"/>
        <w:spacing w:after="120" w:before="280"/>
      </w:pPr>
      <w:r>
        <w:rPr>
          <w:b/>
          <w:bCs/>
          <w:color w:val="0B1E3D"/>
        </w:rPr>
        <w:t xml:space="preserve">2. Scope</w:t>
      </w:r>
    </w:p>
    <w:p>
      <w:pPr>
        <w:spacing w:after="120"/>
      </w:pPr>
      <w:r>
        <w:rPr>
          <w:sz w:val="21"/>
          <w:szCs w:val="21"/>
        </w:rPr>
        <w:t xml:space="preserve">Covers the deployed backend (Render), the deployed frontend (Netlify), the researcher's authenticated USC CARC Laguna session, and the IBM Quantum connection used for real hardware execution. Does not cover scientific correctness of any computed result — that is addressed separately (see OQ, and the evidence-grading framework in backend/routes/evidence.py).</w:t>
      </w:r>
    </w:p>
    <w:p>
      <w:pPr>
        <w:pStyle w:val="Heading1"/>
        <w:spacing w:after="120" w:before="280"/>
      </w:pPr>
      <w:r>
        <w:rPr>
          <w:b/>
          <w:bCs/>
          <w:color w:val="0B1E3D"/>
        </w:rPr>
        <w:t xml:space="preserve">3. References</w:t>
      </w:r>
    </w:p>
    <w:p>
      <w:pPr>
        <w:spacing w:after="120"/>
      </w:pPr>
      <w:r>
        <w:rPr>
          <w:sz w:val="21"/>
          <w:szCs w:val="21"/>
        </w:rPr>
        <w:t xml:space="preserve">• backend/requirements.txt — pinned backend dependency versions</w:t>
      </w:r>
    </w:p>
    <w:p>
      <w:pPr>
        <w:spacing w:after="120"/>
      </w:pPr>
      <w:r>
        <w:rPr>
          <w:sz w:val="21"/>
          <w:szCs w:val="21"/>
        </w:rPr>
        <w:t xml:space="preserve">• scripts/laguna/GETTING_STARTED.md — documented Laguna environment build steps</w:t>
      </w:r>
    </w:p>
    <w:p>
      <w:pPr>
        <w:spacing w:after="120"/>
      </w:pPr>
      <w:r>
        <w:rPr>
          <w:sz w:val="21"/>
          <w:szCs w:val="21"/>
        </w:rPr>
        <w:t xml:space="preserve">• scripts/laguna/RUN_GUIDE.md — IBM Quantum credential and backend-connectivity commands</w:t>
      </w:r>
    </w:p>
    <w:p>
      <w:pPr>
        <w:spacing w:after="120"/>
      </w:pPr>
      <w:r>
        <w:rPr>
          <w:sz w:val="21"/>
          <w:szCs w:val="21"/>
        </w:rPr>
        <w:t xml:space="preserve">• CLAUDE.md — platform identity and standing operational conventions</w:t>
      </w:r>
    </w:p>
    <w:p>
      <w:pPr>
        <w:pStyle w:val="Heading1"/>
        <w:spacing w:after="120" w:before="280"/>
      </w:pPr>
      <w:r>
        <w:rPr>
          <w:b/>
          <w:bCs/>
          <w:color w:val="0B1E3D"/>
        </w:rPr>
        <w:t xml:space="preserve">4. Roles &amp; Responsibilities</w:t>
      </w:r>
    </w:p>
    <w:p>
      <w:pPr>
        <w:spacing w:after="120"/>
      </w:pPr>
      <w:r>
        <w:rPr>
          <w:sz w:val="21"/>
          <w:szCs w:val="21"/>
        </w:rPr>
        <w:t xml:space="preserve">Performed by: the operator executing each numbered step and recording its actual result.</w:t>
      </w:r>
    </w:p>
    <w:p>
      <w:pPr>
        <w:spacing w:after="120"/>
      </w:pPr>
      <w:r>
        <w:rPr>
          <w:sz w:val="21"/>
          <w:szCs w:val="21"/>
        </w:rPr>
        <w:t xml:space="preserve">Reviewed/Approved by: a second party (or, in a single-operator context, the same individual acting in a distinct review capacity, noted as such) confirming the recorded results support the conclusion reached.</w:t>
      </w:r>
    </w:p>
    <w:p>
      <w:pPr>
        <w:pStyle w:val="Heading1"/>
        <w:spacing w:after="120" w:before="280"/>
      </w:pPr>
      <w:r>
        <w:rPr>
          <w:b/>
          <w:bCs/>
          <w:color w:val="0B1E3D"/>
        </w:rPr>
        <w:t xml:space="preserve">5. Test Procedures</w:t>
      </w:r>
    </w:p>
    <w:p>
      <w:pPr>
        <w:pStyle w:val="Heading2"/>
        <w:spacing w:after="120" w:before="280"/>
      </w:pPr>
      <w:r>
        <w:rPr>
          <w:b/>
          <w:bCs/>
          <w:color w:val="0B1E3D"/>
        </w:rPr>
        <w:t xml:space="preserve">5.1  Software Stack Verification</w:t>
      </w:r>
    </w:p>
    <w:p>
      <w:pPr>
        <w:spacing w:after="120"/>
      </w:pPr>
      <w:r>
        <w:rPr>
          <w:sz w:val="21"/>
          <w:szCs w:val="21"/>
        </w:rPr>
        <w:t xml:space="preserve">Objective: confirm the deployed backend runs the dependency versions pinned in backend/requirements.txt, and that the frontend is served from its intended origin.</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400"/>
        <w:gridCol w:w="2000"/>
        <w:gridCol w:w="1000"/>
        <w:gridCol w:w="1300"/>
      </w:tblGrid>
      <w:tr>
        <w:trPr>
          <w:tblHeader/>
        </w:trPr>
        <w:tc>
          <w:tcPr>
            <w:tcW w:type="dxa" w:w="50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200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100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300"/>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3400"/>
            <w:tcMar>
              <w:top w:type="dxa" w:w="80"/>
              <w:left w:type="dxa" w:w="100"/>
              <w:bottom w:type="dxa" w:w="80"/>
              <w:right w:type="dxa" w:w="100"/>
            </w:tcMar>
          </w:tcPr>
          <w:p>
            <w:pPr>
              <w:spacing w:after="40"/>
            </w:pPr>
            <w:r>
              <w:rPr>
                <w:sz w:val="18"/>
                <w:szCs w:val="18"/>
              </w:rPr>
              <w:t xml:space="preserve">From the deployed backend's shell (Render → Shell) or an environment built from the same deployed commit, run:</w:t>
            </w:r>
          </w:p>
          <w:p>
            <w:pPr>
              <w:spacing w:after="40"/>
            </w:pPr>
            <w:r>
              <w:rPr>
                <w:rFonts w:ascii="Courier New" w:cs="Courier New" w:eastAsia="Courier New" w:hAnsi="Courier New"/>
                <w:sz w:val="18"/>
                <w:szCs w:val="18"/>
              </w:rPr>
              <w:t xml:space="preserve">pip freeze | grep -E "fastapi|uvicorn|numpy|pennylane|autoray|supabase|httpx|python-dotenv"</w:t>
            </w:r>
          </w:p>
        </w:tc>
        <w:tc>
          <w:tcPr>
            <w:tcW w:type="dxa" w:w="3400"/>
            <w:tcMar>
              <w:top w:type="dxa" w:w="80"/>
              <w:left w:type="dxa" w:w="100"/>
              <w:bottom w:type="dxa" w:w="80"/>
              <w:right w:type="dxa" w:w="100"/>
            </w:tcMar>
          </w:tcPr>
          <w:p>
            <w:r>
              <w:rPr>
                <w:sz w:val="18"/>
                <w:szCs w:val="18"/>
              </w:rPr>
              <w:t xml:space="preserve">Output matches backend/requirements.txt exactly: fastapi==0.111.0, uvicorn==0.29.0, numpy==1.26.4, pennylane==0.38.0, autoray&gt;=0.6.11,&lt;0.7.0, supabase==2.4.2, httpx==0.27.0, python-dotenv==1.0.1.</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2</w:t>
            </w:r>
          </w:p>
        </w:tc>
        <w:tc>
          <w:tcPr>
            <w:tcW w:type="dxa" w:w="3400"/>
            <w:tcMar>
              <w:top w:type="dxa" w:w="80"/>
              <w:left w:type="dxa" w:w="100"/>
              <w:bottom w:type="dxa" w:w="80"/>
              <w:right w:type="dxa" w:w="100"/>
            </w:tcMar>
          </w:tcPr>
          <w:p>
            <w:pPr>
              <w:spacing w:after="40"/>
            </w:pPr>
            <w:r>
              <w:rPr>
                <w:sz w:val="18"/>
                <w:szCs w:val="18"/>
              </w:rPr>
              <w:t xml:space="preserve">Run:</w:t>
            </w:r>
          </w:p>
          <w:p>
            <w:pPr>
              <w:spacing w:after="40"/>
            </w:pPr>
            <w:r>
              <w:rPr>
                <w:rFonts w:ascii="Courier New" w:cs="Courier New" w:eastAsia="Courier New" w:hAnsi="Courier New"/>
                <w:sz w:val="18"/>
                <w:szCs w:val="18"/>
              </w:rPr>
              <w:t xml:space="preserve">curl -I https://solange-platform.bio</w:t>
            </w:r>
          </w:p>
        </w:tc>
        <w:tc>
          <w:tcPr>
            <w:tcW w:type="dxa" w:w="3400"/>
            <w:tcMar>
              <w:top w:type="dxa" w:w="80"/>
              <w:left w:type="dxa" w:w="100"/>
              <w:bottom w:type="dxa" w:w="80"/>
              <w:right w:type="dxa" w:w="100"/>
            </w:tcMar>
          </w:tcPr>
          <w:p>
            <w:r>
              <w:rPr>
                <w:sz w:val="18"/>
                <w:szCs w:val="18"/>
              </w:rPr>
              <w:t xml:space="preserve">HTTP 200 response, served by Netlify.</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bl>
    <w:p>
      <w:pPr>
        <w:pStyle w:val="Heading2"/>
        <w:spacing w:after="120" w:before="280"/>
      </w:pPr>
      <w:r>
        <w:rPr>
          <w:b/>
          <w:bCs/>
          <w:color w:val="0B1E3D"/>
        </w:rPr>
        <w:t xml:space="preserve">5.2  Hardware Connectivity</w:t>
      </w:r>
    </w:p>
    <w:p>
      <w:pPr>
        <w:spacing w:after="120"/>
      </w:pPr>
      <w:r>
        <w:rPr>
          <w:sz w:val="21"/>
          <w:szCs w:val="21"/>
        </w:rPr>
        <w:t xml:space="preserve">Objective: confirm authenticated connectivity to both external compute resources the platform dispatches real work to.</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400"/>
        <w:gridCol w:w="2000"/>
        <w:gridCol w:w="1000"/>
        <w:gridCol w:w="1300"/>
      </w:tblGrid>
      <w:tr>
        <w:trPr>
          <w:tblHeader/>
        </w:trPr>
        <w:tc>
          <w:tcPr>
            <w:tcW w:type="dxa" w:w="50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200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100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300"/>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3400"/>
            <w:tcMar>
              <w:top w:type="dxa" w:w="80"/>
              <w:left w:type="dxa" w:w="100"/>
              <w:bottom w:type="dxa" w:w="80"/>
              <w:right w:type="dxa" w:w="100"/>
            </w:tcMar>
          </w:tcPr>
          <w:p>
            <w:pPr>
              <w:spacing w:after="40"/>
            </w:pPr>
            <w:r>
              <w:rPr>
                <w:sz w:val="18"/>
                <w:szCs w:val="18"/>
              </w:rPr>
              <w:t xml:space="preserve">Authenticate to USC CARC Laguna (SSH or OnDemand shell) with NetID + Duo 2FA. Run:</w:t>
            </w:r>
          </w:p>
          <w:p>
            <w:pPr>
              <w:spacing w:after="40"/>
            </w:pPr>
            <w:r>
              <w:rPr>
                <w:rFonts w:ascii="Courier New" w:cs="Courier New" w:eastAsia="Courier New" w:hAnsi="Courier New"/>
                <w:sz w:val="18"/>
                <w:szCs w:val="18"/>
              </w:rPr>
              <w:t xml:space="preserve">whoami &amp;&amp; pwd</w:t>
            </w:r>
          </w:p>
        </w:tc>
        <w:tc>
          <w:tcPr>
            <w:tcW w:type="dxa" w:w="3400"/>
            <w:tcMar>
              <w:top w:type="dxa" w:w="80"/>
              <w:left w:type="dxa" w:w="100"/>
              <w:bottom w:type="dxa" w:w="80"/>
              <w:right w:type="dxa" w:w="100"/>
            </w:tcMar>
          </w:tcPr>
          <w:p>
            <w:r>
              <w:rPr>
                <w:sz w:val="18"/>
                <w:szCs w:val="18"/>
              </w:rPr>
              <w:t xml:space="preserve">Duo 2FA prompt succeeds; output returns the operator's NetID and /home1/&lt;NetID&gt;.</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2</w:t>
            </w:r>
          </w:p>
        </w:tc>
        <w:tc>
          <w:tcPr>
            <w:tcW w:type="dxa" w:w="3400"/>
            <w:tcMar>
              <w:top w:type="dxa" w:w="80"/>
              <w:left w:type="dxa" w:w="100"/>
              <w:bottom w:type="dxa" w:w="80"/>
              <w:right w:type="dxa" w:w="100"/>
            </w:tcMar>
          </w:tcPr>
          <w:p>
            <w:pPr>
              <w:spacing w:after="40"/>
            </w:pPr>
            <w:r>
              <w:rPr>
                <w:sz w:val="18"/>
                <w:szCs w:val="18"/>
              </w:rPr>
              <w:t xml:space="preserve">With IBM Quantum credentials configured, run:</w:t>
            </w:r>
          </w:p>
          <w:p>
            <w:pPr>
              <w:spacing w:after="40"/>
            </w:pPr>
            <w:r>
              <w:rPr>
                <w:rFonts w:ascii="Courier New" w:cs="Courier New" w:eastAsia="Courier New" w:hAnsi="Courier New"/>
                <w:sz w:val="18"/>
                <w:szCs w:val="18"/>
              </w:rPr>
              <w:t xml:space="preserve">python -c "from qiskit_ibm_runtime import QiskitRuntimeService; print([b.name for b in QiskitRuntimeService().backends()])"</w:t>
            </w:r>
          </w:p>
        </w:tc>
        <w:tc>
          <w:tcPr>
            <w:tcW w:type="dxa" w:w="3400"/>
            <w:tcMar>
              <w:top w:type="dxa" w:w="80"/>
              <w:left w:type="dxa" w:w="100"/>
              <w:bottom w:type="dxa" w:w="80"/>
              <w:right w:type="dxa" w:w="100"/>
            </w:tcMar>
          </w:tcPr>
          <w:p>
            <w:r>
              <w:rPr>
                <w:sz w:val="18"/>
                <w:szCs w:val="18"/>
              </w:rPr>
              <w:t xml:space="preserve">Returns a non-empty list of backend names (e.g. ibm_fez, ibm_marrakesh, ibm_kingston).</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bl>
    <w:p>
      <w:pPr>
        <w:pStyle w:val="Heading2"/>
        <w:spacing w:after="120" w:before="280"/>
      </w:pPr>
      <w:r>
        <w:rPr>
          <w:b/>
          <w:bCs/>
          <w:color w:val="0B1E3D"/>
        </w:rPr>
        <w:t xml:space="preserve">5.3  Dependency Versions Locked</w:t>
      </w:r>
    </w:p>
    <w:p>
      <w:pPr>
        <w:spacing w:after="120"/>
      </w:pPr>
      <w:r>
        <w:rPr>
          <w:sz w:val="21"/>
          <w:szCs w:val="21"/>
        </w:rPr>
        <w:t xml:space="preserve">Objective: confirm installed dependency versions are pinned and reproducible, on both the backend and the Laguna compute environment.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400"/>
        <w:gridCol w:w="2000"/>
        <w:gridCol w:w="1000"/>
        <w:gridCol w:w="1300"/>
      </w:tblGrid>
      <w:tr>
        <w:trPr>
          <w:tblHeader/>
        </w:trPr>
        <w:tc>
          <w:tcPr>
            <w:tcW w:type="dxa" w:w="50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200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100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300"/>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3400"/>
            <w:tcMar>
              <w:top w:type="dxa" w:w="80"/>
              <w:left w:type="dxa" w:w="100"/>
              <w:bottom w:type="dxa" w:w="80"/>
              <w:right w:type="dxa" w:w="100"/>
            </w:tcMar>
          </w:tcPr>
          <w:p>
            <w:pPr>
              <w:spacing w:after="40"/>
            </w:pPr>
            <w:r>
              <w:rPr>
                <w:sz w:val="18"/>
                <w:szCs w:val="18"/>
              </w:rPr>
              <w:t xml:space="preserve">Re-run step 5.1.1 and compare, line by line, against backend/requirements.txt.</w:t>
            </w:r>
          </w:p>
        </w:tc>
        <w:tc>
          <w:tcPr>
            <w:tcW w:type="dxa" w:w="3400"/>
            <w:tcMar>
              <w:top w:type="dxa" w:w="80"/>
              <w:left w:type="dxa" w:w="100"/>
              <w:bottom w:type="dxa" w:w="80"/>
              <w:right w:type="dxa" w:w="100"/>
            </w:tcMar>
          </w:tcPr>
          <w:p>
            <w:r>
              <w:rPr>
                <w:sz w:val="18"/>
                <w:szCs w:val="18"/>
              </w:rPr>
              <w:t xml:space="preserve">Zero-tolerance exact match on every pinned package. Any mismatch is logged as a deviation (Section 7).</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2</w:t>
            </w:r>
          </w:p>
        </w:tc>
        <w:tc>
          <w:tcPr>
            <w:tcW w:type="dxa" w:w="3400"/>
            <w:tcMar>
              <w:top w:type="dxa" w:w="80"/>
              <w:left w:type="dxa" w:w="100"/>
              <w:bottom w:type="dxa" w:w="80"/>
              <w:right w:type="dxa" w:w="100"/>
            </w:tcMar>
          </w:tcPr>
          <w:p>
            <w:pPr>
              <w:spacing w:after="40"/>
            </w:pPr>
            <w:r>
              <w:rPr>
                <w:sz w:val="18"/>
                <w:szCs w:val="18"/>
              </w:rPr>
              <w:t xml:space="preserve">On Laguna, after activating the environment per GETTING_STARTED.md, run:</w:t>
            </w:r>
          </w:p>
          <w:p>
            <w:pPr>
              <w:spacing w:after="40"/>
            </w:pPr>
            <w:r>
              <w:rPr>
                <w:rFonts w:ascii="Courier New" w:cs="Courier New" w:eastAsia="Courier New" w:hAnsi="Courier New"/>
                <w:sz w:val="18"/>
                <w:szCs w:val="18"/>
              </w:rPr>
              <w:t xml:space="preserve">python -c "import block2, pyscf; print(block2.__version__, pyscf.__version__)"</w:t>
            </w:r>
          </w:p>
        </w:tc>
        <w:tc>
          <w:tcPr>
            <w:tcW w:type="dxa" w:w="3400"/>
            <w:tcMar>
              <w:top w:type="dxa" w:w="80"/>
              <w:left w:type="dxa" w:w="100"/>
              <w:bottom w:type="dxa" w:w="80"/>
              <w:right w:type="dxa" w:w="100"/>
            </w:tcMar>
          </w:tcPr>
          <w:p>
            <w:r>
              <w:rPr>
                <w:sz w:val="18"/>
                <w:szCs w:val="18"/>
              </w:rPr>
              <w:t xml:space="preserve">OPEN ITEM: no lockfile exists for the Laguna environment today. This step records the first baseline rather than checking against a prior spec. Corrective action: generate and commit a conda environment export (e.g. "conda env export") so future IQ executions have a real target to check against.</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bl>
    <w:p>
      <w:pPr>
        <w:pStyle w:val="Heading2"/>
        <w:spacing w:after="120" w:before="280"/>
      </w:pPr>
      <w:r>
        <w:rPr>
          <w:b/>
          <w:bCs/>
          <w:color w:val="0B1E3D"/>
        </w:rPr>
        <w:t xml:space="preserve">5.4  Environment Isolation</w:t>
      </w:r>
    </w:p>
    <w:p>
      <w:pPr>
        <w:spacing w:after="120"/>
      </w:pPr>
      <w:r>
        <w:rPr>
          <w:sz w:val="21"/>
          <w:szCs w:val="21"/>
        </w:rPr>
        <w:t xml:space="preserve">Objective: confirm each execution environment is isolated from other workloads and from the system default.</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400"/>
        <w:gridCol w:w="2000"/>
        <w:gridCol w:w="1000"/>
        <w:gridCol w:w="1300"/>
      </w:tblGrid>
      <w:tr>
        <w:trPr>
          <w:tblHeader/>
        </w:trPr>
        <w:tc>
          <w:tcPr>
            <w:tcW w:type="dxa" w:w="500"/>
            <w:shd w:fill="0B1E3D" w:val="clear"/>
            <w:tcMar>
              <w:top w:type="dxa" w:w="80"/>
              <w:left w:type="dxa" w:w="100"/>
              <w:bottom w:type="dxa" w:w="80"/>
              <w:right w:type="dxa" w:w="100"/>
            </w:tcMar>
            <w:vAlign w:val="center"/>
          </w:tcPr>
          <w:p>
            <w:pPr>
              <w:jc w:val="center"/>
            </w:pPr>
            <w:r>
              <w:rPr>
                <w:b/>
                <w:bCs/>
                <w:color w:val="FFFFFF"/>
                <w:sz w:val="18"/>
                <w:szCs w:val="18"/>
              </w:rPr>
              <w:t xml:space="preserve">#</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Action</w:t>
            </w:r>
          </w:p>
        </w:tc>
        <w:tc>
          <w:tcPr>
            <w:tcW w:type="dxa" w:w="3400"/>
            <w:shd w:fill="0B1E3D" w:val="clear"/>
            <w:tcMar>
              <w:top w:type="dxa" w:w="80"/>
              <w:left w:type="dxa" w:w="100"/>
              <w:bottom w:type="dxa" w:w="80"/>
              <w:right w:type="dxa" w:w="100"/>
            </w:tcMar>
            <w:vAlign w:val="center"/>
          </w:tcPr>
          <w:p>
            <w:pPr>
              <w:jc w:val="left"/>
            </w:pPr>
            <w:r>
              <w:rPr>
                <w:b/>
                <w:bCs/>
                <w:color w:val="FFFFFF"/>
                <w:sz w:val="18"/>
                <w:szCs w:val="18"/>
              </w:rPr>
              <w:t xml:space="preserve">Expected Result</w:t>
            </w:r>
          </w:p>
        </w:tc>
        <w:tc>
          <w:tcPr>
            <w:tcW w:type="dxa" w:w="2000"/>
            <w:shd w:fill="0B1E3D" w:val="clear"/>
            <w:tcMar>
              <w:top w:type="dxa" w:w="80"/>
              <w:left w:type="dxa" w:w="100"/>
              <w:bottom w:type="dxa" w:w="80"/>
              <w:right w:type="dxa" w:w="100"/>
            </w:tcMar>
            <w:vAlign w:val="center"/>
          </w:tcPr>
          <w:p>
            <w:pPr>
              <w:jc w:val="left"/>
            </w:pPr>
            <w:r>
              <w:rPr>
                <w:b/>
                <w:bCs/>
                <w:color w:val="FFFFFF"/>
                <w:sz w:val="18"/>
                <w:szCs w:val="18"/>
              </w:rPr>
              <w:t xml:space="preserve">Actual Result</w:t>
            </w:r>
          </w:p>
        </w:tc>
        <w:tc>
          <w:tcPr>
            <w:tcW w:type="dxa" w:w="1000"/>
            <w:shd w:fill="0B1E3D" w:val="clear"/>
            <w:tcMar>
              <w:top w:type="dxa" w:w="80"/>
              <w:left w:type="dxa" w:w="100"/>
              <w:bottom w:type="dxa" w:w="80"/>
              <w:right w:type="dxa" w:w="100"/>
            </w:tcMar>
            <w:vAlign w:val="center"/>
          </w:tcPr>
          <w:p>
            <w:pPr>
              <w:jc w:val="center"/>
            </w:pPr>
            <w:r>
              <w:rPr>
                <w:b/>
                <w:bCs/>
                <w:color w:val="FFFFFF"/>
                <w:sz w:val="18"/>
                <w:szCs w:val="18"/>
              </w:rPr>
              <w:t xml:space="preserve">Pass/Fail</w:t>
            </w:r>
          </w:p>
        </w:tc>
        <w:tc>
          <w:tcPr>
            <w:tcW w:type="dxa" w:w="1300"/>
            <w:shd w:fill="0B1E3D" w:val="clear"/>
            <w:tcMar>
              <w:top w:type="dxa" w:w="80"/>
              <w:left w:type="dxa" w:w="100"/>
              <w:bottom w:type="dxa" w:w="80"/>
              <w:right w:type="dxa" w:w="100"/>
            </w:tcMar>
            <w:vAlign w:val="center"/>
          </w:tcPr>
          <w:p>
            <w:pPr>
              <w:jc w:val="center"/>
            </w:pPr>
            <w:r>
              <w:rPr>
                <w:b/>
                <w:bCs/>
                <w:color w:val="FFFFFF"/>
                <w:sz w:val="18"/>
                <w:szCs w:val="18"/>
              </w:rPr>
              <w:t xml:space="preserve">Initials/Date</w:t>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1</w:t>
            </w:r>
          </w:p>
        </w:tc>
        <w:tc>
          <w:tcPr>
            <w:tcW w:type="dxa" w:w="3400"/>
            <w:tcMar>
              <w:top w:type="dxa" w:w="80"/>
              <w:left w:type="dxa" w:w="100"/>
              <w:bottom w:type="dxa" w:w="80"/>
              <w:right w:type="dxa" w:w="100"/>
            </w:tcMar>
          </w:tcPr>
          <w:p>
            <w:pPr>
              <w:spacing w:after="40"/>
            </w:pPr>
            <w:r>
              <w:rPr>
                <w:sz w:val="18"/>
                <w:szCs w:val="18"/>
              </w:rPr>
              <w:t xml:space="preserve">Confirm the backend is deployed as its own isolated Render Web Service (Render dashboard → service list), not sharing a filesystem or process with any other deployed service.</w:t>
            </w:r>
          </w:p>
        </w:tc>
        <w:tc>
          <w:tcPr>
            <w:tcW w:type="dxa" w:w="3400"/>
            <w:tcMar>
              <w:top w:type="dxa" w:w="80"/>
              <w:left w:type="dxa" w:w="100"/>
              <w:bottom w:type="dxa" w:w="80"/>
              <w:right w:type="dxa" w:w="100"/>
            </w:tcMar>
          </w:tcPr>
          <w:p>
            <w:r>
              <w:rPr>
                <w:sz w:val="18"/>
                <w:szCs w:val="18"/>
              </w:rPr>
              <w:t xml:space="preserve">Backend service is listed as a distinct, isolated Web Service.</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r>
        <w:tc>
          <w:tcPr>
            <w:tcW w:type="dxa" w:w="500"/>
            <w:shd w:fill="F1F5F9" w:val="clear"/>
            <w:tcMar>
              <w:top w:type="dxa" w:w="80"/>
              <w:left w:type="dxa" w:w="100"/>
              <w:bottom w:type="dxa" w:w="80"/>
              <w:right w:type="dxa" w:w="100"/>
            </w:tcMar>
            <w:vAlign w:val="center"/>
          </w:tcPr>
          <w:p>
            <w:pPr>
              <w:jc w:val="center"/>
            </w:pPr>
            <w:r>
              <w:rPr>
                <w:b w:val="false"/>
                <w:bCs w:val="false"/>
                <w:color w:val="000000"/>
                <w:sz w:val="18"/>
                <w:szCs w:val="18"/>
              </w:rPr>
              <w:t xml:space="preserve">2</w:t>
            </w:r>
          </w:p>
        </w:tc>
        <w:tc>
          <w:tcPr>
            <w:tcW w:type="dxa" w:w="3400"/>
            <w:tcMar>
              <w:top w:type="dxa" w:w="80"/>
              <w:left w:type="dxa" w:w="100"/>
              <w:bottom w:type="dxa" w:w="80"/>
              <w:right w:type="dxa" w:w="100"/>
            </w:tcMar>
          </w:tcPr>
          <w:p>
            <w:pPr>
              <w:spacing w:after="40"/>
            </w:pPr>
            <w:r>
              <w:rPr>
                <w:sz w:val="18"/>
                <w:szCs w:val="18"/>
              </w:rPr>
              <w:t xml:space="preserve">On Laguna, run the login shortcut and confirm it activates the intended environment, not the system default:</w:t>
            </w:r>
          </w:p>
          <w:p>
            <w:pPr>
              <w:spacing w:after="40"/>
            </w:pPr>
            <w:r>
              <w:rPr>
                <w:rFonts w:ascii="Courier New" w:cs="Courier New" w:eastAsia="Courier New" w:hAnsi="Courier New"/>
                <w:sz w:val="18"/>
                <w:szCs w:val="18"/>
              </w:rPr>
              <w:t xml:space="preserve">solange &amp;&amp; which python &amp;&amp; conda env list</w:t>
            </w:r>
          </w:p>
        </w:tc>
        <w:tc>
          <w:tcPr>
            <w:tcW w:type="dxa" w:w="3400"/>
            <w:tcMar>
              <w:top w:type="dxa" w:w="80"/>
              <w:left w:type="dxa" w:w="100"/>
              <w:bottom w:type="dxa" w:w="80"/>
              <w:right w:type="dxa" w:w="100"/>
            </w:tcMar>
          </w:tcPr>
          <w:p>
            <w:r>
              <w:rPr>
                <w:sz w:val="18"/>
                <w:szCs w:val="18"/>
              </w:rPr>
              <w:t xml:space="preserve">Active Python path resolves inside the intended conda/mamba environment (per GETTING_STARTED.md step 4); the environment list shows it as the active (*) environment.</w:t>
            </w:r>
          </w:p>
        </w:tc>
        <w:tc>
          <w:tcPr>
            <w:tcW w:type="dxa" w:w="2000"/>
            <w:tcMar>
              <w:top w:type="dxa" w:w="200"/>
              <w:left w:type="dxa" w:w="100"/>
              <w:bottom w:type="dxa" w:w="200"/>
              <w:right w:type="dxa" w:w="100"/>
            </w:tcMar>
          </w:tcPr>
          <w:p>
            <w:r>
              <w:rPr>
                <w:sz w:val="18"/>
                <w:szCs w:val="18"/>
              </w:rPr>
              <w:t xml:space="preserve"/>
            </w:r>
          </w:p>
        </w:tc>
        <w:tc>
          <w:tcPr>
            <w:tcW w:type="dxa" w:w="1000"/>
            <w:tcMar>
              <w:top w:type="dxa" w:w="200"/>
              <w:left w:type="dxa" w:w="100"/>
              <w:bottom w:type="dxa" w:w="200"/>
              <w:right w:type="dxa" w:w="100"/>
            </w:tcMar>
          </w:tcPr>
          <w:p>
            <w:r>
              <w:rPr>
                <w:sz w:val="18"/>
                <w:szCs w:val="18"/>
              </w:rPr>
              <w:t xml:space="preserve"/>
            </w:r>
          </w:p>
        </w:tc>
        <w:tc>
          <w:tcPr>
            <w:tcW w:type="dxa" w:w="1300"/>
            <w:tcMar>
              <w:top w:type="dxa" w:w="200"/>
              <w:left w:type="dxa" w:w="100"/>
              <w:bottom w:type="dxa" w:w="200"/>
              <w:right w:type="dxa" w:w="100"/>
            </w:tcMar>
          </w:tcPr>
          <w:p>
            <w:r>
              <w:rPr>
                <w:sz w:val="18"/>
                <w:szCs w:val="18"/>
              </w:rPr>
              <w:t xml:space="preserve"/>
            </w:r>
          </w:p>
        </w:tc>
      </w:tr>
    </w:tbl>
    <w:p>
      <w:pPr>
        <w:pStyle w:val="Heading1"/>
        <w:spacing w:after="120" w:before="280"/>
      </w:pPr>
      <w:r>
        <w:rPr>
          <w:b/>
          <w:bCs/>
          <w:color w:val="0B1E3D"/>
        </w:rPr>
        <w:t xml:space="preserve">6. Acceptance Criteria</w:t>
      </w:r>
    </w:p>
    <w:p>
      <w:pPr>
        <w:spacing w:after="120"/>
      </w:pPr>
      <w:r>
        <w:rPr>
          <w:sz w:val="21"/>
          <w:szCs w:val="21"/>
        </w:rPr>
        <w:t xml:space="preserve">Every step in Sections 5.1, 5.2, and 5.4 records Pass. Section 5.3 records either an exact match (5.3.1) or a logged deviation with corrective action (5.3.1 mismatch, or 5.3.2's open-item baseline). Any Fail or unresolved deviation blocks sign-off of this protocol; OQ may not commence against an unsigned IQ.</w:t>
      </w:r>
    </w:p>
    <w:p>
      <w:pPr>
        <w:pStyle w:val="Heading1"/>
        <w:spacing w:after="120" w:before="280"/>
      </w:pPr>
      <w:r>
        <w:rPr>
          <w:b/>
          <w:bCs/>
          <w:color w:val="0B1E3D"/>
        </w:rPr>
        <w:t xml:space="preserve">7. Deviations</w:t>
      </w:r>
    </w:p>
    <w:p>
      <w:pPr>
        <w:spacing w:after="120"/>
      </w:pPr>
      <w:r>
        <w:rPr>
          <w:sz w:val="21"/>
          <w:szCs w:val="21"/>
        </w:rPr>
        <w:t xml:space="preserve">Record any step whose actual result did not match its expected result. Leave blank if none occurred.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gridCol w:w="2500"/>
      </w:tblGrid>
      <w:tr>
        <w:tc>
          <w:tcPr>
            <w:tcW w:type="dxa" w:w="700"/>
            <w:shd w:fill="0B1E3D" w:val="clear"/>
            <w:tcMar>
              <w:top w:type="dxa" w:w="80"/>
              <w:left w:type="dxa" w:w="100"/>
              <w:bottom w:type="dxa" w:w="80"/>
              <w:right w:type="dxa" w:w="100"/>
            </w:tcMar>
            <w:vAlign w:val="center"/>
          </w:tcPr>
          <w:p>
            <w:pPr>
              <w:jc w:val="center"/>
            </w:pPr>
            <w:r>
              <w:rPr>
                <w:b/>
                <w:bCs/>
                <w:color w:val="FFFFFF"/>
                <w:sz w:val="18"/>
                <w:szCs w:val="18"/>
              </w:rPr>
              <w:t xml:space="preserve">Step #</w:t>
            </w:r>
          </w:p>
        </w:tc>
        <w:tc>
          <w:tcPr>
            <w:tcW w:type="dxa" w:w="3600"/>
            <w:shd w:fill="0B1E3D" w:val="clear"/>
            <w:tcMar>
              <w:top w:type="dxa" w:w="80"/>
              <w:left w:type="dxa" w:w="100"/>
              <w:bottom w:type="dxa" w:w="80"/>
              <w:right w:type="dxa" w:w="100"/>
            </w:tcMar>
            <w:vAlign w:val="center"/>
          </w:tcPr>
          <w:p>
            <w:pPr>
              <w:jc w:val="left"/>
            </w:pPr>
            <w:r>
              <w:rPr>
                <w:b/>
                <w:bCs/>
                <w:color w:val="FFFFFF"/>
                <w:sz w:val="18"/>
                <w:szCs w:val="18"/>
              </w:rPr>
              <w:t xml:space="preserve">Description of Deviation</w:t>
            </w:r>
          </w:p>
        </w:tc>
        <w:tc>
          <w:tcPr>
            <w:tcW w:type="dxa" w:w="3600"/>
            <w:shd w:fill="0B1E3D" w:val="clear"/>
            <w:tcMar>
              <w:top w:type="dxa" w:w="80"/>
              <w:left w:type="dxa" w:w="100"/>
              <w:bottom w:type="dxa" w:w="80"/>
              <w:right w:type="dxa" w:w="100"/>
            </w:tcMar>
            <w:vAlign w:val="center"/>
          </w:tcPr>
          <w:p>
            <w:pPr>
              <w:jc w:val="left"/>
            </w:pPr>
            <w:r>
              <w:rPr>
                <w:b/>
                <w:bCs/>
                <w:color w:val="FFFFFF"/>
                <w:sz w:val="18"/>
                <w:szCs w:val="18"/>
              </w:rPr>
              <w:t xml:space="preserve">Disposition / Corrective Action</w:t>
            </w:r>
          </w:p>
        </w:tc>
        <w:tc>
          <w:tcPr>
            <w:tcW w:type="dxa" w:w="2500"/>
            <w:shd w:fill="0B1E3D" w:val="clear"/>
            <w:tcMar>
              <w:top w:type="dxa" w:w="80"/>
              <w:left w:type="dxa" w:w="100"/>
              <w:bottom w:type="dxa" w:w="80"/>
              <w:right w:type="dxa" w:w="100"/>
            </w:tcMar>
            <w:vAlign w:val="center"/>
          </w:tcPr>
          <w:p>
            <w:pPr>
              <w:jc w:val="left"/>
            </w:pPr>
            <w:r>
              <w:rPr>
                <w:b/>
                <w:bCs/>
                <w:color w:val="FFFFFF"/>
                <w:sz w:val="18"/>
                <w:szCs w:val="18"/>
              </w:rPr>
              <w:t xml:space="preserve">Approved By / Date</w:t>
            </w:r>
          </w:p>
        </w:tc>
      </w:tr>
      <w:tr>
        <w:tc>
          <w:tcPr>
            <w:tcW w:type="dxa" w:w="700"/>
            <w:tcMar>
              <w:top w:type="dxa" w:w="200"/>
              <w:left w:type="dxa" w:w="100"/>
              <w:bottom w:type="dxa" w:w="200"/>
              <w:right w:type="dxa" w:w="100"/>
            </w:tcMar>
          </w:tcPr>
          <w:p>
            <w:r>
              <w:rPr>
                <w:sz w:val="18"/>
                <w:szCs w:val="18"/>
              </w:rPr>
              <w:t xml:space="preserve"/>
            </w:r>
          </w:p>
        </w:tc>
        <w:tc>
          <w:tcPr>
            <w:tcW w:type="dxa" w:w="3600"/>
            <w:tcMar>
              <w:top w:type="dxa" w:w="200"/>
              <w:left w:type="dxa" w:w="100"/>
              <w:bottom w:type="dxa" w:w="200"/>
              <w:right w:type="dxa" w:w="100"/>
            </w:tcMar>
          </w:tcPr>
          <w:p>
            <w:r>
              <w:rPr>
                <w:sz w:val="18"/>
                <w:szCs w:val="18"/>
              </w:rPr>
              <w:t xml:space="preserve"/>
            </w:r>
          </w:p>
        </w:tc>
        <w:tc>
          <w:tcPr>
            <w:tcW w:type="dxa" w:w="3600"/>
            <w:tcMar>
              <w:top w:type="dxa" w:w="200"/>
              <w:left w:type="dxa" w:w="100"/>
              <w:bottom w:type="dxa" w:w="200"/>
              <w:right w:type="dxa" w:w="100"/>
            </w:tcMar>
          </w:tcPr>
          <w:p>
            <w:r>
              <w:rPr>
                <w:sz w:val="18"/>
                <w:szCs w:val="18"/>
              </w:rPr>
              <w:t xml:space="preserve"/>
            </w:r>
          </w:p>
        </w:tc>
        <w:tc>
          <w:tcPr>
            <w:tcW w:type="dxa" w:w="2500"/>
            <w:tcMar>
              <w:top w:type="dxa" w:w="200"/>
              <w:left w:type="dxa" w:w="100"/>
              <w:bottom w:type="dxa" w:w="200"/>
              <w:right w:type="dxa" w:w="100"/>
            </w:tcMar>
          </w:tcPr>
          <w:p>
            <w:r>
              <w:rPr>
                <w:sz w:val="18"/>
                <w:szCs w:val="18"/>
              </w:rPr>
              <w:t xml:space="preserve"/>
            </w:r>
          </w:p>
        </w:tc>
      </w:tr>
      <w:tr>
        <w:tc>
          <w:tcPr>
            <w:tcW w:type="dxa" w:w="700"/>
            <w:tcMar>
              <w:top w:type="dxa" w:w="200"/>
              <w:left w:type="dxa" w:w="100"/>
              <w:bottom w:type="dxa" w:w="200"/>
              <w:right w:type="dxa" w:w="100"/>
            </w:tcMar>
          </w:tcPr>
          <w:p>
            <w:r>
              <w:rPr>
                <w:sz w:val="18"/>
                <w:szCs w:val="18"/>
              </w:rPr>
              <w:t xml:space="preserve"/>
            </w:r>
          </w:p>
        </w:tc>
        <w:tc>
          <w:tcPr>
            <w:tcW w:type="dxa" w:w="3600"/>
            <w:tcMar>
              <w:top w:type="dxa" w:w="200"/>
              <w:left w:type="dxa" w:w="100"/>
              <w:bottom w:type="dxa" w:w="200"/>
              <w:right w:type="dxa" w:w="100"/>
            </w:tcMar>
          </w:tcPr>
          <w:p>
            <w:r>
              <w:rPr>
                <w:sz w:val="18"/>
                <w:szCs w:val="18"/>
              </w:rPr>
              <w:t xml:space="preserve"/>
            </w:r>
          </w:p>
        </w:tc>
        <w:tc>
          <w:tcPr>
            <w:tcW w:type="dxa" w:w="3600"/>
            <w:tcMar>
              <w:top w:type="dxa" w:w="200"/>
              <w:left w:type="dxa" w:w="100"/>
              <w:bottom w:type="dxa" w:w="200"/>
              <w:right w:type="dxa" w:w="100"/>
            </w:tcMar>
          </w:tcPr>
          <w:p>
            <w:r>
              <w:rPr>
                <w:sz w:val="18"/>
                <w:szCs w:val="18"/>
              </w:rPr>
              <w:t xml:space="preserve"/>
            </w:r>
          </w:p>
        </w:tc>
        <w:tc>
          <w:tcPr>
            <w:tcW w:type="dxa" w:w="2500"/>
            <w:tcMar>
              <w:top w:type="dxa" w:w="200"/>
              <w:left w:type="dxa" w:w="100"/>
              <w:bottom w:type="dxa" w:w="200"/>
              <w:right w:type="dxa" w:w="100"/>
            </w:tcMar>
          </w:tcPr>
          <w:p>
            <w:r>
              <w:rPr>
                <w:sz w:val="18"/>
                <w:szCs w:val="18"/>
              </w:rPr>
              <w:t xml:space="preserve"/>
            </w:r>
          </w:p>
        </w:tc>
      </w:tr>
    </w:tbl>
    <w:p>
      <w:pPr>
        <w:pStyle w:val="Heading1"/>
        <w:spacing w:after="120" w:before="280"/>
      </w:pPr>
      <w:r>
        <w:rPr>
          <w:b/>
          <w:bCs/>
          <w:color w:val="0B1E3D"/>
        </w:rPr>
        <w:t xml:space="preserve">8. Approval</w:t>
      </w:r>
    </w:p>
    <w:p>
      <w:pPr>
        <w:spacing w:after="120"/>
      </w:pPr>
      <w:r>
        <w:rPr>
          <w:sz w:val="21"/>
          <w:szCs w:val="21"/>
        </w:rPr>
        <w:t xml:space="preserve">Signing below attests that the steps in Section 5 were performed as written, their actual results are recorded accurately, and any deviation is dispositioned in Section 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0B1E3D" w:val="clear"/>
            <w:tcMar>
              <w:top w:type="dxa" w:w="80"/>
              <w:left w:type="dxa" w:w="100"/>
              <w:bottom w:type="dxa" w:w="80"/>
              <w:right w:type="dxa" w:w="100"/>
            </w:tcMar>
            <w:vAlign w:val="center"/>
          </w:tcPr>
          <w:p>
            <w:pPr>
              <w:jc w:val="left"/>
            </w:pPr>
            <w:r>
              <w:rPr>
                <w:b/>
                <w:bCs/>
                <w:color w:val="FFFFFF"/>
                <w:sz w:val="18"/>
                <w:szCs w:val="18"/>
              </w:rPr>
              <w:t xml:space="preserve">Role</w:t>
            </w:r>
          </w:p>
        </w:tc>
        <w:tc>
          <w:tcPr>
            <w:tcW w:type="dxa" w:w="3200"/>
            <w:shd w:fill="0B1E3D" w:val="clear"/>
            <w:tcMar>
              <w:top w:type="dxa" w:w="80"/>
              <w:left w:type="dxa" w:w="100"/>
              <w:bottom w:type="dxa" w:w="80"/>
              <w:right w:type="dxa" w:w="100"/>
            </w:tcMar>
            <w:vAlign w:val="center"/>
          </w:tcPr>
          <w:p>
            <w:pPr>
              <w:jc w:val="left"/>
            </w:pPr>
            <w:r>
              <w:rPr>
                <w:b/>
                <w:bCs/>
                <w:color w:val="FFFFFF"/>
                <w:sz w:val="18"/>
                <w:szCs w:val="18"/>
              </w:rPr>
              <w:t xml:space="preserve">Name / Signature</w:t>
            </w:r>
          </w:p>
        </w:tc>
        <w:tc>
          <w:tcPr>
            <w:tcW w:type="dxa" w:w="3200"/>
            <w:shd w:fill="0B1E3D" w:val="clear"/>
            <w:tcMar>
              <w:top w:type="dxa" w:w="80"/>
              <w:left w:type="dxa" w:w="100"/>
              <w:bottom w:type="dxa" w:w="80"/>
              <w:right w:type="dxa" w:w="100"/>
            </w:tcMar>
            <w:vAlign w:val="center"/>
          </w:tcPr>
          <w:p>
            <w:pPr>
              <w:jc w:val="left"/>
            </w:pPr>
            <w:r>
              <w:rPr>
                <w:b/>
                <w:bCs/>
                <w:color w:val="FFFFFF"/>
                <w:sz w:val="18"/>
                <w:szCs w:val="18"/>
              </w:rPr>
              <w:t xml:space="preserve">Date</w:t>
            </w:r>
          </w:p>
        </w:tc>
      </w:tr>
      <w:tr>
        <w:tc>
          <w:tcPr>
            <w:tcW w:type="dxa" w:w="3200"/>
            <w:shd w:fill="F1F5F9" w:val="clear"/>
            <w:tcMar>
              <w:top w:type="dxa" w:w="80"/>
              <w:left w:type="dxa" w:w="100"/>
              <w:bottom w:type="dxa" w:w="80"/>
              <w:right w:type="dxa" w:w="100"/>
            </w:tcMar>
            <w:vAlign w:val="center"/>
          </w:tcPr>
          <w:p>
            <w:pPr>
              <w:jc w:val="left"/>
            </w:pPr>
            <w:r>
              <w:rPr>
                <w:b/>
                <w:bCs/>
                <w:color w:val="000000"/>
                <w:sz w:val="18"/>
                <w:szCs w:val="18"/>
              </w:rPr>
              <w:t xml:space="preserve">Performed by</w:t>
            </w:r>
          </w:p>
        </w:tc>
        <w:tc>
          <w:tcPr>
            <w:tcW w:type="dxa" w:w="3200"/>
            <w:tcMar>
              <w:top w:type="dxa" w:w="200"/>
              <w:left w:type="dxa" w:w="100"/>
              <w:bottom w:type="dxa" w:w="200"/>
              <w:right w:type="dxa" w:w="100"/>
            </w:tcMar>
          </w:tcPr>
          <w:p>
            <w:r>
              <w:rPr>
                <w:sz w:val="18"/>
                <w:szCs w:val="18"/>
              </w:rPr>
              <w:t xml:space="preserve"/>
            </w:r>
          </w:p>
        </w:tc>
        <w:tc>
          <w:tcPr>
            <w:tcW w:type="dxa" w:w="3200"/>
            <w:tcMar>
              <w:top w:type="dxa" w:w="200"/>
              <w:left w:type="dxa" w:w="100"/>
              <w:bottom w:type="dxa" w:w="200"/>
              <w:right w:type="dxa" w:w="100"/>
            </w:tcMar>
          </w:tcPr>
          <w:p>
            <w:r>
              <w:rPr>
                <w:sz w:val="18"/>
                <w:szCs w:val="18"/>
              </w:rPr>
              <w:t xml:space="preserve"/>
            </w:r>
          </w:p>
        </w:tc>
      </w:tr>
      <w:tr>
        <w:tc>
          <w:tcPr>
            <w:tcW w:type="dxa" w:w="3200"/>
            <w:shd w:fill="F1F5F9" w:val="clear"/>
            <w:tcMar>
              <w:top w:type="dxa" w:w="80"/>
              <w:left w:type="dxa" w:w="100"/>
              <w:bottom w:type="dxa" w:w="80"/>
              <w:right w:type="dxa" w:w="100"/>
            </w:tcMar>
            <w:vAlign w:val="center"/>
          </w:tcPr>
          <w:p>
            <w:pPr>
              <w:jc w:val="left"/>
            </w:pPr>
            <w:r>
              <w:rPr>
                <w:b/>
                <w:bCs/>
                <w:color w:val="000000"/>
                <w:sz w:val="18"/>
                <w:szCs w:val="18"/>
              </w:rPr>
              <w:t xml:space="preserve">Reviewed / Approved by</w:t>
            </w:r>
          </w:p>
        </w:tc>
        <w:tc>
          <w:tcPr>
            <w:tcW w:type="dxa" w:w="3200"/>
            <w:tcMar>
              <w:top w:type="dxa" w:w="200"/>
              <w:left w:type="dxa" w:w="100"/>
              <w:bottom w:type="dxa" w:w="200"/>
              <w:right w:type="dxa" w:w="100"/>
            </w:tcMar>
          </w:tcPr>
          <w:p>
            <w:r>
              <w:rPr>
                <w:sz w:val="18"/>
                <w:szCs w:val="18"/>
              </w:rPr>
              <w:t xml:space="preserve"/>
            </w:r>
          </w:p>
        </w:tc>
        <w:tc>
          <w:tcPr>
            <w:tcW w:type="dxa" w:w="3200"/>
            <w:tcMar>
              <w:top w:type="dxa" w:w="200"/>
              <w:left w:type="dxa" w:w="100"/>
              <w:bottom w:type="dxa" w:w="200"/>
              <w:right w:type="dxa" w:w="100"/>
            </w:tcMar>
          </w:tcPr>
          <w:p>
            <w:r>
              <w:rPr>
                <w:sz w:val="18"/>
                <w:szCs w:val="18"/>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2026-08-04T08:49:41.679Z</dcterms:created>
  <dcterms:modified xsi:type="dcterms:W3CDTF">2026-08-04T08:49:41.692Z</dcterms:modified>
</cp:coreProperties>
</file>

<file path=docProps/custom.xml><?xml version="1.0" encoding="utf-8"?>
<Properties xmlns="http://schemas.openxmlformats.org/officeDocument/2006/custom-properties" xmlns:vt="http://schemas.openxmlformats.org/officeDocument/2006/docPropsVTypes"/>
</file>