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1E3D"/>
          <w:sz w:val="44"/>
          <w:szCs w:val="44"/>
        </w:rPr>
        <w:t xml:space="preserve">SOLANGE</w:t>
      </w:r>
    </w:p>
    <w:p>
      <w:pPr>
        <w:spacing w:after="60"/>
      </w:pPr>
      <w:r>
        <w:rPr>
          <w:i/>
          <w:iCs/>
          <w:color w:val="555555"/>
          <w:sz w:val="24"/>
          <w:szCs w:val="24"/>
        </w:rPr>
        <w:t xml:space="preserve">System Architecture — the tools we use and how they fit together</w:t>
      </w:r>
    </w:p>
    <w:p>
      <w:pPr>
        <w:spacing w:after="200"/>
      </w:pPr>
      <w:r>
        <w:rPr>
          <w:sz w:val="22"/>
          <w:szCs w:val="22"/>
        </w:rPr>
        <w:t xml:space="preserve">A two-part map: (A) the external services the platform runs on, and (B) the internal components and the "pull loop" that moves a job from the browser to the cluster / quantum hardware and back, verified.</w:t>
      </w:r>
    </w:p>
    <w:p>
      <w:pPr>
        <w:pStyle w:val="Heading1"/>
        <w:spacing w:after="150" w:before="360"/>
      </w:pPr>
      <w:r>
        <w:rPr>
          <w:b/>
          <w:bCs/>
          <w:color w:val="0B1E3D"/>
          <w:sz w:val="32"/>
          <w:szCs w:val="32"/>
        </w:rPr>
        <w:t xml:space="preserve">Part A — External Infrastructure</w:t>
      </w:r>
    </w:p>
    <w:p>
      <w:pPr>
        <w:spacing w:after="130" w:line="280"/>
      </w:pPr>
      <w:r>
        <w:rPr>
          <w:sz w:val="22"/>
          <w:szCs w:val="22"/>
        </w:rPr>
        <w:t xml:space="preserve">SOLANGE is assembled from a small set of managed third-party services. Nothing here is installed by the end user; each service does one job and they talk to each other over HTTPS. The diagram shows every external tool and the direction data flows between them.</w:t>
      </w:r>
    </w:p>
    <w:p>
      <w:pPr>
        <w:spacing w:after="80" w:before="120"/>
        <w:jc w:val="center"/>
      </w:pPr>
      <w:r>
        <w:drawing>
          <wp:inline distT="0" distB="0" distL="0" distR="0">
            <wp:extent cx="5715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924300"/>
                    </a:xfrm>
                    <a:prstGeom prst="rect">
                      <a:avLst/>
                    </a:prstGeom>
                  </pic:spPr>
                </pic:pic>
              </a:graphicData>
            </a:graphic>
          </wp:inline>
        </w:drawing>
      </w:r>
    </w:p>
    <w:p>
      <w:pPr>
        <w:spacing w:after="200"/>
        <w:jc w:val="center"/>
      </w:pPr>
      <w:r>
        <w:rPr>
          <w:i/>
          <w:iCs/>
          <w:color w:val="555555"/>
          <w:sz w:val="18"/>
          <w:szCs w:val="18"/>
        </w:rPr>
        <w:t xml:space="preserve">Figure A — External infrastructure. Vendor-hosted cloud (dashed box), the source/deploy chain, and the customer-side pull-agents.</w:t>
      </w:r>
    </w:p>
    <w:p>
      <w:pPr>
        <w:pStyle w:val="Heading2"/>
        <w:spacing w:after="120" w:before="280"/>
      </w:pPr>
      <w:r>
        <w:rPr>
          <w:b/>
          <w:bCs/>
          <w:color w:val="06b6d4"/>
          <w:sz w:val="26"/>
          <w:szCs w:val="26"/>
        </w:rPr>
        <w:t xml:space="preserve">The services, one by one</w:t>
      </w:r>
    </w:p>
    <w:p>
      <w:pPr>
        <w:spacing w:after="60" w:before="180"/>
      </w:pPr>
      <w:r>
        <w:rPr>
          <w:b/>
          <w:bCs/>
          <w:color w:val="0B1E3D"/>
          <w:sz w:val="23"/>
          <w:szCs w:val="23"/>
        </w:rPr>
        <w:t xml:space="preserve">GitHub — the single source of truth</w:t>
      </w:r>
    </w:p>
    <w:p>
      <w:pPr>
        <w:spacing w:after="130" w:line="280"/>
      </w:pPr>
      <w:r>
        <w:rPr>
          <w:rFonts w:ascii="Consolas" w:cs="Consolas" w:eastAsia="Consolas" w:hAnsi="Consolas"/>
          <w:color w:val="0B1E3D"/>
          <w:sz w:val="20"/>
          <w:szCs w:val="20"/>
        </w:rPr>
        <w:t xml:space="preserve">doron66-collab/lili2014</w:t>
      </w:r>
      <w:r>
        <w:rPr>
          <w:sz w:val="22"/>
          <w:szCs w:val="22"/>
        </w:rPr>
        <w:t xml:space="preserve"> holds all the code (frontend, backend, agent scripts, the dissertation). A </w:t>
      </w:r>
      <w:r>
        <w:rPr>
          <w:b/>
          <w:bCs/>
          <w:sz w:val="22"/>
          <w:szCs w:val="22"/>
        </w:rPr>
        <w:t xml:space="preserve">git push to the main branch</w:t>
      </w:r>
      <w:r>
        <w:rPr>
          <w:sz w:val="22"/>
          <w:szCs w:val="22"/>
        </w:rPr>
        <w:t xml:space="preserve"> is the one action that triggers everything downstream: GitHub notifies Netlify and Render by webhook, and they rebuild automatically. There is no manual "deploy" step.</w:t>
      </w:r>
    </w:p>
    <w:p>
      <w:pPr>
        <w:spacing w:after="60" w:before="180"/>
      </w:pPr>
      <w:r>
        <w:rPr>
          <w:b/>
          <w:bCs/>
          <w:color w:val="06b6d4"/>
          <w:sz w:val="23"/>
          <w:szCs w:val="23"/>
        </w:rPr>
        <w:t xml:space="preserve">Netlify — hosts the web app</w:t>
      </w:r>
    </w:p>
    <w:p>
      <w:pPr>
        <w:spacing w:after="130" w:line="280"/>
      </w:pPr>
      <w:r>
        <w:rPr>
          <w:sz w:val="22"/>
          <w:szCs w:val="22"/>
        </w:rPr>
        <w:t xml:space="preserve">Netlify builds and serves the </w:t>
      </w:r>
      <w:r>
        <w:rPr>
          <w:b/>
          <w:bCs/>
          <w:sz w:val="22"/>
          <w:szCs w:val="22"/>
        </w:rPr>
        <w:t xml:space="preserve">frontend</w:t>
      </w:r>
      <w:r>
        <w:rPr>
          <w:sz w:val="22"/>
          <w:szCs w:val="22"/>
        </w:rPr>
        <w:t xml:space="preserve"> — the SOLANGE interface and the dissertation — as static files at </w:t>
      </w:r>
      <w:r>
        <w:rPr>
          <w:rFonts w:ascii="Consolas" w:cs="Consolas" w:eastAsia="Consolas" w:hAnsi="Consolas"/>
          <w:color w:val="0B1E3D"/>
          <w:sz w:val="20"/>
          <w:szCs w:val="20"/>
        </w:rPr>
        <w:t xml:space="preserve">solange-platform.bio</w:t>
      </w:r>
      <w:r>
        <w:rPr>
          <w:sz w:val="22"/>
          <w:szCs w:val="22"/>
        </w:rPr>
        <w:t xml:space="preserve">. It watches the </w:t>
      </w:r>
      <w:r>
        <w:rPr>
          <w:rFonts w:ascii="Consolas" w:cs="Consolas" w:eastAsia="Consolas" w:hAnsi="Consolas"/>
          <w:color w:val="0B1E3D"/>
          <w:sz w:val="20"/>
          <w:szCs w:val="20"/>
        </w:rPr>
        <w:t xml:space="preserve">main</w:t>
      </w:r>
      <w:r>
        <w:rPr>
          <w:sz w:val="22"/>
          <w:szCs w:val="22"/>
        </w:rPr>
        <w:t xml:space="preserve"> branch; every push rebuilds the site within a minute or two. Netlify holds no secrets and does no computation — it just serves the pages the browser loads.</w:t>
      </w:r>
    </w:p>
    <w:p>
      <w:pPr>
        <w:spacing w:after="60" w:before="180"/>
      </w:pPr>
      <w:r>
        <w:rPr>
          <w:b/>
          <w:bCs/>
          <w:color w:val="6b4fd0"/>
          <w:sz w:val="23"/>
          <w:szCs w:val="23"/>
        </w:rPr>
        <w:t xml:space="preserve">Render — hosts the backend (the API + LEON)</w:t>
      </w:r>
    </w:p>
    <w:p>
      <w:pPr>
        <w:spacing w:after="130" w:line="280"/>
      </w:pPr>
      <w:r>
        <w:rPr>
          <w:sz w:val="22"/>
          <w:szCs w:val="22"/>
        </w:rPr>
        <w:t xml:space="preserve">Render runs the </w:t>
      </w:r>
      <w:r>
        <w:rPr>
          <w:b/>
          <w:bCs/>
          <w:sz w:val="22"/>
          <w:szCs w:val="22"/>
        </w:rPr>
        <w:t xml:space="preserve">FastAPI backend</w:t>
      </w:r>
      <w:r>
        <w:rPr>
          <w:sz w:val="22"/>
          <w:szCs w:val="22"/>
        </w:rPr>
        <w:t xml:space="preserve"> (Python) at </w:t>
      </w:r>
      <w:r>
        <w:rPr>
          <w:rFonts w:ascii="Consolas" w:cs="Consolas" w:eastAsia="Consolas" w:hAnsi="Consolas"/>
          <w:color w:val="0B1E3D"/>
          <w:sz w:val="20"/>
          <w:szCs w:val="20"/>
        </w:rPr>
        <w:t xml:space="preserve">qcaihpc-simulation-api.onrender.com</w:t>
      </w:r>
      <w:r>
        <w:rPr>
          <w:sz w:val="22"/>
          <w:szCs w:val="22"/>
        </w:rPr>
        <w:t xml:space="preserve">. This is the brain of the operation: it holds the job queue, receives results, runs the </w:t>
      </w:r>
      <w:r>
        <w:rPr>
          <w:b/>
          <w:bCs/>
          <w:sz w:val="22"/>
          <w:szCs w:val="22"/>
        </w:rPr>
        <w:t xml:space="preserve">LEON</w:t>
      </w:r>
      <w:r>
        <w:rPr>
          <w:sz w:val="22"/>
          <w:szCs w:val="22"/>
        </w:rPr>
        <w:t xml:space="preserve"> notary, and reads/writes the database. Also watches </w:t>
      </w:r>
      <w:r>
        <w:rPr>
          <w:rFonts w:ascii="Consolas" w:cs="Consolas" w:eastAsia="Consolas" w:hAnsi="Consolas"/>
          <w:color w:val="0B1E3D"/>
          <w:sz w:val="20"/>
          <w:szCs w:val="20"/>
        </w:rPr>
        <w:t xml:space="preserve">main</w:t>
      </w:r>
      <w:r>
        <w:rPr>
          <w:sz w:val="22"/>
          <w:szCs w:val="22"/>
        </w:rPr>
        <w:t xml:space="preserve"> and redeploys on push. It is the only component the browser and the agents both talk to.</w:t>
      </w:r>
    </w:p>
    <w:p>
      <w:pPr>
        <w:spacing w:after="60" w:before="180"/>
      </w:pPr>
      <w:r>
        <w:rPr>
          <w:b/>
          <w:bCs/>
          <w:color w:val="1a9c4a"/>
          <w:sz w:val="23"/>
          <w:szCs w:val="23"/>
        </w:rPr>
        <w:t xml:space="preserve">Supabase — the database</w:t>
      </w:r>
    </w:p>
    <w:p>
      <w:pPr>
        <w:spacing w:after="130" w:line="280"/>
      </w:pPr>
      <w:r>
        <w:rPr>
          <w:sz w:val="22"/>
          <w:szCs w:val="22"/>
        </w:rPr>
        <w:t xml:space="preserve">A hosted PostgreSQL database plus authentication. Everything durable lives here — the job queue, sealed results, DMRG classifications, and the immutable audit trail. The backend reads and writes it; inserts require the </w:t>
      </w:r>
      <w:r>
        <w:rPr>
          <w:rFonts w:ascii="Consolas" w:cs="Consolas" w:eastAsia="Consolas" w:hAnsi="Consolas"/>
          <w:color w:val="0B1E3D"/>
          <w:sz w:val="20"/>
          <w:szCs w:val="20"/>
        </w:rPr>
        <w:t xml:space="preserve">service_role</w:t>
      </w:r>
      <w:r>
        <w:rPr>
          <w:sz w:val="22"/>
          <w:szCs w:val="22"/>
        </w:rPr>
        <w:t xml:space="preserve"> key (held only by the backend, never in the browser). Key tables:</w:t>
      </w:r>
    </w:p>
    <w:p>
      <w:pPr>
        <w:pStyle w:val="ListParagraph"/>
        <w:numPr>
          <w:ilvl w:val="0"/>
          <w:numId w:val="1"/>
        </w:numPr>
        <w:spacing w:after="70" w:line="270"/>
      </w:pPr>
      <w:r>
        <w:rPr>
          <w:rFonts w:ascii="Consolas" w:cs="Consolas" w:eastAsia="Consolas" w:hAnsi="Consolas"/>
          <w:color w:val="0B1E3D"/>
          <w:sz w:val="20"/>
          <w:szCs w:val="20"/>
        </w:rPr>
        <w:t xml:space="preserve">hpc_dispatch</w:t>
      </w:r>
      <w:r>
        <w:rPr>
          <w:sz w:val="22"/>
          <w:szCs w:val="22"/>
        </w:rPr>
        <w:t xml:space="preserve"> — the job queue (queued → running → done).</w:t>
      </w:r>
    </w:p>
    <w:p>
      <w:pPr>
        <w:pStyle w:val="ListParagraph"/>
        <w:numPr>
          <w:ilvl w:val="0"/>
          <w:numId w:val="1"/>
        </w:numPr>
        <w:spacing w:after="70" w:line="270"/>
      </w:pPr>
      <w:r>
        <w:rPr>
          <w:rFonts w:ascii="Consolas" w:cs="Consolas" w:eastAsia="Consolas" w:hAnsi="Consolas"/>
          <w:color w:val="0B1E3D"/>
          <w:sz w:val="20"/>
          <w:szCs w:val="20"/>
        </w:rPr>
        <w:t xml:space="preserve">simulation_runs</w:t>
      </w:r>
      <w:r>
        <w:rPr>
          <w:sz w:val="22"/>
          <w:szCs w:val="22"/>
        </w:rPr>
        <w:t xml:space="preserve"> — every sealed HPC/QPU result.</w:t>
      </w:r>
    </w:p>
    <w:p>
      <w:pPr>
        <w:pStyle w:val="ListParagraph"/>
        <w:numPr>
          <w:ilvl w:val="0"/>
          <w:numId w:val="1"/>
        </w:numPr>
        <w:spacing w:after="70" w:line="270"/>
      </w:pPr>
      <w:r>
        <w:rPr>
          <w:rFonts w:ascii="Consolas" w:cs="Consolas" w:eastAsia="Consolas" w:hAnsi="Consolas"/>
          <w:color w:val="0B1E3D"/>
          <w:sz w:val="20"/>
          <w:szCs w:val="20"/>
        </w:rPr>
        <w:t xml:space="preserve">dmrg_classifications</w:t>
      </w:r>
      <w:r>
        <w:rPr>
          <w:sz w:val="22"/>
          <w:szCs w:val="22"/>
        </w:rPr>
        <w:t xml:space="preserve"> — the Rung-3 A/B/C verdicts.</w:t>
      </w:r>
    </w:p>
    <w:p>
      <w:pPr>
        <w:pStyle w:val="ListParagraph"/>
        <w:numPr>
          <w:ilvl w:val="0"/>
          <w:numId w:val="1"/>
        </w:numPr>
        <w:spacing w:after="70" w:line="270"/>
      </w:pPr>
      <w:r>
        <w:rPr>
          <w:rFonts w:ascii="Consolas" w:cs="Consolas" w:eastAsia="Consolas" w:hAnsi="Consolas"/>
          <w:color w:val="0B1E3D"/>
          <w:sz w:val="20"/>
          <w:szCs w:val="20"/>
        </w:rPr>
        <w:t xml:space="preserve">leon_audit</w:t>
      </w:r>
      <w:r>
        <w:rPr>
          <w:sz w:val="22"/>
          <w:szCs w:val="22"/>
        </w:rPr>
        <w:t xml:space="preserve"> — append-only record of every notarization.</w:t>
      </w:r>
    </w:p>
    <w:p>
      <w:pPr>
        <w:pStyle w:val="ListParagraph"/>
        <w:numPr>
          <w:ilvl w:val="0"/>
          <w:numId w:val="1"/>
        </w:numPr>
        <w:spacing w:after="70" w:line="270"/>
      </w:pPr>
      <w:r>
        <w:rPr>
          <w:rFonts w:ascii="Consolas" w:cs="Consolas" w:eastAsia="Consolas" w:hAnsi="Consolas"/>
          <w:color w:val="0B1E3D"/>
          <w:sz w:val="20"/>
          <w:szCs w:val="20"/>
        </w:rPr>
        <w:t xml:space="preserve">agent_heartbeat</w:t>
      </w:r>
      <w:r>
        <w:rPr>
          <w:sz w:val="22"/>
          <w:szCs w:val="22"/>
        </w:rPr>
        <w:t xml:space="preserve"> — agent liveness (drives the green/red dot).</w:t>
      </w:r>
    </w:p>
    <w:p>
      <w:pPr>
        <w:spacing w:after="60" w:before="180"/>
      </w:pPr>
      <w:r>
        <w:rPr>
          <w:b/>
          <w:bCs/>
          <w:color w:val="0B1E3D"/>
          <w:sz w:val="23"/>
          <w:szCs w:val="23"/>
        </w:rPr>
        <w:t xml:space="preserve">IBM Quantum — the real quantum hardware</w:t>
      </w:r>
    </w:p>
    <w:p>
      <w:pPr>
        <w:spacing w:after="130" w:line="280"/>
      </w:pPr>
      <w:r>
        <w:rPr>
          <w:sz w:val="22"/>
          <w:szCs w:val="22"/>
        </w:rPr>
        <w:t xml:space="preserve">The actual QPUs — IBM Heron processors (</w:t>
      </w:r>
      <w:r>
        <w:rPr>
          <w:rFonts w:ascii="Consolas" w:cs="Consolas" w:eastAsia="Consolas" w:hAnsi="Consolas"/>
          <w:color w:val="0B1E3D"/>
          <w:sz w:val="20"/>
          <w:szCs w:val="20"/>
        </w:rPr>
        <w:t xml:space="preserve">ibm_kingston</w:t>
      </w:r>
      <w:r>
        <w:rPr>
          <w:sz w:val="22"/>
          <w:szCs w:val="22"/>
        </w:rPr>
        <w:t xml:space="preserve">, </w:t>
      </w:r>
      <w:r>
        <w:rPr>
          <w:rFonts w:ascii="Consolas" w:cs="Consolas" w:eastAsia="Consolas" w:hAnsi="Consolas"/>
          <w:color w:val="0B1E3D"/>
          <w:sz w:val="20"/>
          <w:szCs w:val="20"/>
        </w:rPr>
        <w:t xml:space="preserve">ibm_marrakesh</w:t>
      </w:r>
      <w:r>
        <w:rPr>
          <w:sz w:val="22"/>
          <w:szCs w:val="22"/>
        </w:rPr>
        <w:t xml:space="preserve"> = Heron r2) — reached through Qiskit Runtime. This is the </w:t>
      </w:r>
      <w:r>
        <w:rPr>
          <w:b/>
          <w:bCs/>
          <w:sz w:val="22"/>
          <w:szCs w:val="22"/>
        </w:rPr>
        <w:t xml:space="preserve">only truly quantum step</w:t>
      </w:r>
      <w:r>
        <w:rPr>
          <w:sz w:val="22"/>
          <w:szCs w:val="22"/>
        </w:rPr>
        <w:t xml:space="preserve"> in the whole system; everything else is classical infrastructure around it. Reached from the operator Mac, which has reliable internet to IBM Cloud.</w:t>
      </w:r>
    </w:p>
    <w:p>
      <w:pPr>
        <w:spacing w:after="60" w:before="180"/>
      </w:pPr>
      <w:r>
        <w:rPr>
          <w:b/>
          <w:bCs/>
          <w:color w:val="06b6d4"/>
          <w:sz w:val="23"/>
          <w:szCs w:val="23"/>
        </w:rPr>
        <w:t xml:space="preserve">USC CARC — Laguna (the HPC cluster)</w:t>
      </w:r>
    </w:p>
    <w:p>
      <w:pPr>
        <w:spacing w:after="130" w:line="280"/>
      </w:pPr>
      <w:r>
        <w:rPr>
          <w:sz w:val="22"/>
          <w:szCs w:val="22"/>
        </w:rPr>
        <w:t xml:space="preserve">The academic supercomputer where the classical heavy lifting runs — CASSCF/VQE on GPU nodes (L40S) and DMRG on large-memory nodes. It is a </w:t>
      </w:r>
      <w:r>
        <w:rPr>
          <w:b/>
          <w:bCs/>
          <w:sz w:val="22"/>
          <w:szCs w:val="22"/>
        </w:rPr>
        <w:t xml:space="preserve">secured environment</w:t>
      </w:r>
      <w:r>
        <w:rPr>
          <w:sz w:val="22"/>
          <w:szCs w:val="22"/>
        </w:rPr>
        <w:t xml:space="preserve"> (interactive Duo 2FA, no inbound automation), reached through CARC OnDemand → JupyterLab. The HPC/DMRG agent runs inside your authenticated session there.</w:t>
      </w:r>
    </w:p>
    <w:p>
      <w:pPr>
        <w:spacing w:after="60" w:before="180"/>
      </w:pPr>
      <w:r>
        <w:rPr>
          <w:b/>
          <w:bCs/>
          <w:color w:val="555555"/>
          <w:sz w:val="23"/>
          <w:szCs w:val="23"/>
        </w:rPr>
        <w:t xml:space="preserve">The operator Mac + structure/email services</w:t>
      </w:r>
    </w:p>
    <w:p>
      <w:pPr>
        <w:spacing w:after="130" w:line="280"/>
      </w:pPr>
      <w:r>
        <w:rPr>
          <w:sz w:val="22"/>
          <w:szCs w:val="22"/>
        </w:rPr>
        <w:t xml:space="preserve">The </w:t>
      </w:r>
      <w:r>
        <w:rPr>
          <w:b/>
          <w:bCs/>
          <w:sz w:val="22"/>
          <w:szCs w:val="22"/>
        </w:rPr>
        <w:t xml:space="preserve">Mac</w:t>
      </w:r>
      <w:r>
        <w:rPr>
          <w:sz w:val="22"/>
          <w:szCs w:val="22"/>
        </w:rPr>
        <w:t xml:space="preserve"> runs the QPU agent (it needs a stable connection to IBM). Two supporting services complete the picture: </w:t>
      </w:r>
      <w:r>
        <w:rPr>
          <w:b/>
          <w:bCs/>
          <w:sz w:val="22"/>
          <w:szCs w:val="22"/>
        </w:rPr>
        <w:t xml:space="preserve">RCSB PDB / AlphaFold</w:t>
      </w:r>
      <w:r>
        <w:rPr>
          <w:sz w:val="22"/>
          <w:szCs w:val="22"/>
        </w:rPr>
        <w:t xml:space="preserve"> (the backend fetches protein structures from them on demand), and </w:t>
      </w:r>
      <w:r>
        <w:rPr>
          <w:b/>
          <w:bCs/>
          <w:sz w:val="22"/>
          <w:szCs w:val="22"/>
        </w:rPr>
        <w:t xml:space="preserve">Gmail SMTP</w:t>
      </w:r>
      <w:r>
        <w:rPr>
          <w:sz w:val="22"/>
          <w:szCs w:val="22"/>
        </w:rPr>
        <w:t xml:space="preserve"> (access / notification e-mail).</w:t>
      </w:r>
    </w:p>
    <w:p>
      <w:pPr>
        <w:pStyle w:val="Heading2"/>
        <w:spacing w:after="120" w:before="280"/>
      </w:pPr>
      <w:r>
        <w:rPr>
          <w:b/>
          <w:bCs/>
          <w:color w:val="06b6d4"/>
          <w:sz w:val="26"/>
          <w:szCs w:val="26"/>
        </w:rPr>
        <w:t xml:space="preserve">How the data flows (the numbered arrows)</w:t>
      </w:r>
    </w:p>
    <w:p>
      <w:pPr>
        <w:pStyle w:val="ListParagraph"/>
        <w:numPr>
          <w:ilvl w:val="0"/>
          <w:numId w:val="1"/>
        </w:numPr>
        <w:spacing w:after="70" w:line="270"/>
      </w:pPr>
      <w:r>
        <w:rPr>
          <w:b/>
          <w:bCs/>
          <w:sz w:val="22"/>
          <w:szCs w:val="22"/>
        </w:rPr>
        <w:t xml:space="preserve">1 · Open the app: </w:t>
      </w:r>
      <w:r>
        <w:rPr>
          <w:sz w:val="22"/>
          <w:szCs w:val="22"/>
        </w:rPr>
        <w:t xml:space="preserve">the user’s browser loads the SOLANGE app from Netlify over HTTPS.</w:t>
      </w:r>
    </w:p>
    <w:p>
      <w:pPr>
        <w:pStyle w:val="ListParagraph"/>
        <w:numPr>
          <w:ilvl w:val="0"/>
          <w:numId w:val="1"/>
        </w:numPr>
        <w:spacing w:after="70" w:line="270"/>
      </w:pPr>
      <w:r>
        <w:rPr>
          <w:b/>
          <w:bCs/>
          <w:sz w:val="22"/>
          <w:szCs w:val="22"/>
        </w:rPr>
        <w:t xml:space="preserve">2 · Use the app: </w:t>
      </w:r>
      <w:r>
        <w:rPr>
          <w:sz w:val="22"/>
          <w:szCs w:val="22"/>
        </w:rPr>
        <w:t xml:space="preserve">the browser calls the Render API (HTTPS/JSON) for everything dynamic — queuing jobs, reading results. Render reads/writes Supabase.</w:t>
      </w:r>
    </w:p>
    <w:p>
      <w:pPr>
        <w:pStyle w:val="ListParagraph"/>
        <w:numPr>
          <w:ilvl w:val="0"/>
          <w:numId w:val="1"/>
        </w:numPr>
        <w:spacing w:after="70" w:line="270"/>
      </w:pPr>
      <w:r>
        <w:rPr>
          <w:b/>
          <w:bCs/>
          <w:sz w:val="22"/>
          <w:szCs w:val="22"/>
        </w:rPr>
        <w:t xml:space="preserve">3 · Agents work: </w:t>
      </w:r>
      <w:r>
        <w:rPr>
          <w:sz w:val="22"/>
          <w:szCs w:val="22"/>
        </w:rPr>
        <w:t xml:space="preserve">the Laguna and Mac agents poll the Render API outbound, claim queued jobs, run them locally, and return sealed results — again outbound only.</w:t>
      </w:r>
    </w:p>
    <w:p>
      <w:pPr>
        <w:spacing w:after="130" w:line="280"/>
      </w:pPr>
      <w:r>
        <w:rPr>
          <w:b/>
          <w:bCs/>
          <w:color w:val="b9791a"/>
          <w:sz w:val="21"/>
          <w:szCs w:val="21"/>
        </w:rPr>
        <w:t xml:space="preserve">✕ Critical security property (DP2): no arrow ever points INTO the cluster or the Mac from the cloud. The agents only reach out. There is no stored credential outside the trust boundary and no inbound path — which is exactly why a secured HPC environment permits this pattern.</w:t>
      </w:r>
    </w:p>
    <w:p>
      <w:pPr>
        <w:pageBreakBefore/>
      </w:pPr>
      <w:r>
        <w:rPr>
          <w:sz w:val="2"/>
          <w:szCs w:val="2"/>
        </w:rPr>
        <w:t xml:space="preserve"/>
      </w:r>
    </w:p>
    <w:p>
      <w:pPr>
        <w:pStyle w:val="Heading1"/>
        <w:spacing w:after="150" w:before="360"/>
      </w:pPr>
      <w:r>
        <w:rPr>
          <w:b/>
          <w:bCs/>
          <w:color w:val="0B1E3D"/>
          <w:sz w:val="32"/>
          <w:szCs w:val="32"/>
        </w:rPr>
        <w:t xml:space="preserve">Part B — Internal Architecture &amp; the Pull Loop</w:t>
      </w:r>
    </w:p>
    <w:p>
      <w:pPr>
        <w:spacing w:after="130" w:line="280"/>
      </w:pPr>
      <w:r>
        <w:rPr>
          <w:sz w:val="22"/>
          <w:szCs w:val="22"/>
        </w:rPr>
        <w:t xml:space="preserve">This is the inside view: what SOLANGE is actually made of, and how a single job travels end to end. Four layers — frontend, backend, database, and the pull-agents — connected by one repeating loop.</w:t>
      </w:r>
    </w:p>
    <w:p>
      <w:pPr>
        <w:spacing w:after="80" w:before="120"/>
        <w:jc w:val="center"/>
      </w:pPr>
      <w:r>
        <w:drawing>
          <wp:inline distT="0" distB="0" distL="0" distR="0">
            <wp:extent cx="5715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267200"/>
                    </a:xfrm>
                    <a:prstGeom prst="rect">
                      <a:avLst/>
                    </a:prstGeom>
                  </pic:spPr>
                </pic:pic>
              </a:graphicData>
            </a:graphic>
          </wp:inline>
        </w:drawing>
      </w:r>
    </w:p>
    <w:p>
      <w:pPr>
        <w:spacing w:after="200"/>
        <w:jc w:val="center"/>
      </w:pPr>
      <w:r>
        <w:rPr>
          <w:i/>
          <w:iCs/>
          <w:color w:val="555555"/>
          <w:sz w:val="18"/>
          <w:szCs w:val="18"/>
        </w:rPr>
        <w:t xml:space="preserve">Figure B — Internal architecture. The four layers and the job lifecycle (bottom strip).</w:t>
      </w:r>
    </w:p>
    <w:p>
      <w:pPr>
        <w:pStyle w:val="Heading2"/>
        <w:spacing w:after="120" w:before="280"/>
      </w:pPr>
      <w:r>
        <w:rPr>
          <w:b/>
          <w:bCs/>
          <w:color w:val="06b6d4"/>
          <w:sz w:val="26"/>
          <w:szCs w:val="26"/>
        </w:rPr>
        <w:t xml:space="preserve">1 · Frontend — the web app</w:t>
      </w:r>
    </w:p>
    <w:p>
      <w:pPr>
        <w:spacing w:after="130" w:line="280"/>
      </w:pPr>
      <w:r>
        <w:rPr>
          <w:sz w:val="22"/>
          <w:szCs w:val="22"/>
        </w:rPr>
        <w:t xml:space="preserve">The React/TypeScript interface in the browser. Its heart is the </w:t>
      </w:r>
      <w:r>
        <w:rPr>
          <w:b/>
          <w:bCs/>
          <w:sz w:val="22"/>
          <w:szCs w:val="22"/>
        </w:rPr>
        <w:t xml:space="preserve">orchestration ladder</w:t>
      </w:r>
      <w:r>
        <w:rPr>
          <w:sz w:val="22"/>
          <w:szCs w:val="22"/>
        </w:rPr>
        <w:t xml:space="preserve">, ordered small→large: </w:t>
      </w:r>
      <w:r>
        <w:rPr>
          <w:b/>
          <w:bCs/>
          <w:sz w:val="22"/>
          <w:szCs w:val="22"/>
        </w:rPr>
        <w:t xml:space="preserve">Rung 1</w:t>
      </w:r>
      <w:r>
        <w:rPr>
          <w:sz w:val="22"/>
          <w:szCs w:val="22"/>
        </w:rPr>
        <w:t xml:space="preserve"> (in-browser VQE on a laptop), </w:t>
      </w:r>
      <w:r>
        <w:rPr>
          <w:b/>
          <w:bCs/>
          <w:sz w:val="22"/>
          <w:szCs w:val="22"/>
        </w:rPr>
        <w:t xml:space="preserve">Rung 2</w:t>
      </w:r>
      <w:r>
        <w:rPr>
          <w:sz w:val="22"/>
          <w:szCs w:val="22"/>
        </w:rPr>
        <w:t xml:space="preserve"> (classical HPC on Laguna), </w:t>
      </w:r>
      <w:r>
        <w:rPr>
          <w:b/>
          <w:bCs/>
          <w:sz w:val="22"/>
          <w:szCs w:val="22"/>
        </w:rPr>
        <w:t xml:space="preserve">Rung 3</w:t>
      </w:r>
      <w:r>
        <w:rPr>
          <w:sz w:val="22"/>
          <w:szCs w:val="22"/>
        </w:rPr>
        <w:t xml:space="preserve"> (DMRG classifier on Laguna), </w:t>
      </w:r>
      <w:r>
        <w:rPr>
          <w:b/>
          <w:bCs/>
          <w:sz w:val="22"/>
          <w:szCs w:val="22"/>
        </w:rPr>
        <w:t xml:space="preserve">Rung 4</w:t>
      </w:r>
      <w:r>
        <w:rPr>
          <w:sz w:val="22"/>
          <w:szCs w:val="22"/>
        </w:rPr>
        <w:t xml:space="preserve"> (real QPU on IBM, via the Mac). A target climbs only as far as its size and BQP-class require. Every returned result shows its P8 seal and "notarized by LEON."</w:t>
      </w:r>
    </w:p>
    <w:p>
      <w:pPr>
        <w:pStyle w:val="Heading2"/>
        <w:spacing w:after="120" w:before="280"/>
      </w:pPr>
      <w:r>
        <w:rPr>
          <w:b/>
          <w:bCs/>
          <w:color w:val="6b4fd0"/>
          <w:sz w:val="26"/>
          <w:szCs w:val="26"/>
        </w:rPr>
        <w:t xml:space="preserve">2 · Backend — API, orchestration &amp; LEON</w:t>
      </w:r>
    </w:p>
    <w:p>
      <w:pPr>
        <w:spacing w:after="130" w:line="280"/>
      </w:pPr>
      <w:r>
        <w:rPr>
          <w:sz w:val="22"/>
          <w:szCs w:val="22"/>
        </w:rPr>
        <w:t xml:space="preserve">The FastAPI service. A few route modules do the work — </w:t>
      </w:r>
      <w:r>
        <w:rPr>
          <w:rFonts w:ascii="Consolas" w:cs="Consolas" w:eastAsia="Consolas" w:hAnsi="Consolas"/>
          <w:color w:val="0B1E3D"/>
          <w:sz w:val="20"/>
          <w:szCs w:val="20"/>
        </w:rPr>
        <w:t xml:space="preserve">simulate.py</w:t>
      </w:r>
      <w:r>
        <w:rPr>
          <w:sz w:val="22"/>
          <w:szCs w:val="22"/>
        </w:rPr>
        <w:t xml:space="preserve"> (the dispatch queue, result submission, run listing), </w:t>
      </w:r>
      <w:r>
        <w:rPr>
          <w:rFonts w:ascii="Consolas" w:cs="Consolas" w:eastAsia="Consolas" w:hAnsi="Consolas"/>
          <w:color w:val="0B1E3D"/>
          <w:sz w:val="20"/>
          <w:szCs w:val="20"/>
        </w:rPr>
        <w:t xml:space="preserve">provenance.py</w:t>
      </w:r>
      <w:r>
        <w:rPr>
          <w:sz w:val="22"/>
          <w:szCs w:val="22"/>
        </w:rPr>
        <w:t xml:space="preserve"> (on-demand re-verification), plus </w:t>
      </w:r>
      <w:r>
        <w:rPr>
          <w:rFonts w:ascii="Consolas" w:cs="Consolas" w:eastAsia="Consolas" w:hAnsi="Consolas"/>
          <w:color w:val="0B1E3D"/>
          <w:sz w:val="20"/>
          <w:szCs w:val="20"/>
        </w:rPr>
        <w:t xml:space="preserve">pdb.py</w:t>
      </w:r>
      <w:r>
        <w:rPr>
          <w:sz w:val="22"/>
          <w:szCs w:val="22"/>
        </w:rPr>
        <w:t xml:space="preserve">, </w:t>
      </w:r>
      <w:r>
        <w:rPr>
          <w:rFonts w:ascii="Consolas" w:cs="Consolas" w:eastAsia="Consolas" w:hAnsi="Consolas"/>
          <w:color w:val="0B1E3D"/>
          <w:sz w:val="20"/>
          <w:szCs w:val="20"/>
        </w:rPr>
        <w:t xml:space="preserve">notify.py</w:t>
      </w:r>
      <w:r>
        <w:rPr>
          <w:sz w:val="22"/>
          <w:szCs w:val="22"/>
        </w:rPr>
        <w:t xml:space="preserve">, </w:t>
      </w:r>
      <w:r>
        <w:rPr>
          <w:rFonts w:ascii="Consolas" w:cs="Consolas" w:eastAsia="Consolas" w:hAnsi="Consolas"/>
          <w:color w:val="0B1E3D"/>
          <w:sz w:val="20"/>
          <w:szCs w:val="20"/>
        </w:rPr>
        <w:t xml:space="preserve">admin.py</w:t>
      </w:r>
      <w:r>
        <w:rPr>
          <w:sz w:val="22"/>
          <w:szCs w:val="22"/>
        </w:rPr>
        <w:t xml:space="preserve">. Sitting on the return path is </w:t>
      </w:r>
      <w:r>
        <w:rPr>
          <w:b/>
          <w:bCs/>
          <w:sz w:val="22"/>
          <w:szCs w:val="22"/>
        </w:rPr>
        <w:t xml:space="preserve">LEON</w:t>
      </w:r>
      <w:r>
        <w:rPr>
          <w:sz w:val="22"/>
          <w:szCs w:val="22"/>
        </w:rPr>
        <w:t xml:space="preserve"> (Lineage-Evidence Orchestration &amp; Notarization): it independently recomputes the P8 SHA-256 seal over the P1–P9 fields, re-checks the physics-consistency invariant, </w:t>
      </w:r>
      <w:r>
        <w:rPr>
          <w:b/>
          <w:bCs/>
          <w:sz w:val="22"/>
          <w:szCs w:val="22"/>
        </w:rPr>
        <w:t xml:space="preserve">rejects</w:t>
      </w:r>
      <w:r>
        <w:rPr>
          <w:sz w:val="22"/>
          <w:szCs w:val="22"/>
        </w:rPr>
        <w:t xml:space="preserve"> anything that fails (the row never enters the store), and writes an immutable line to </w:t>
      </w:r>
      <w:r>
        <w:rPr>
          <w:rFonts w:ascii="Consolas" w:cs="Consolas" w:eastAsia="Consolas" w:hAnsi="Consolas"/>
          <w:color w:val="0B1E3D"/>
          <w:sz w:val="20"/>
          <w:szCs w:val="20"/>
        </w:rPr>
        <w:t xml:space="preserve">leon_audit</w:t>
      </w:r>
      <w:r>
        <w:rPr>
          <w:sz w:val="22"/>
          <w:szCs w:val="22"/>
        </w:rPr>
        <w:t xml:space="preserve">. This is the "verify, don’t trust" principle in code — and it is named in memory of Leon.</w:t>
      </w:r>
    </w:p>
    <w:p>
      <w:pPr>
        <w:pStyle w:val="Heading2"/>
        <w:spacing w:after="120" w:before="280"/>
      </w:pPr>
      <w:r>
        <w:rPr>
          <w:b/>
          <w:bCs/>
          <w:color w:val="1a9c4a"/>
          <w:sz w:val="26"/>
          <w:szCs w:val="26"/>
        </w:rPr>
        <w:t xml:space="preserve">3 · Database — Supabase</w:t>
      </w:r>
    </w:p>
    <w:p>
      <w:pPr>
        <w:spacing w:after="130" w:line="280"/>
      </w:pPr>
      <w:r>
        <w:rPr>
          <w:sz w:val="22"/>
          <w:szCs w:val="22"/>
        </w:rPr>
        <w:t xml:space="preserve">The same tables described in Part A, seen from the inside: the queue the backend writes and the agents read, the sealed results the ladder displays, and the audit trail LEON appends to. It is the durable memory of the whole system.</w:t>
      </w:r>
    </w:p>
    <w:p>
      <w:pPr>
        <w:pStyle w:val="Heading2"/>
        <w:spacing w:after="120" w:before="280"/>
      </w:pPr>
      <w:r>
        <w:rPr>
          <w:b/>
          <w:bCs/>
          <w:color w:val="B8860B"/>
          <w:sz w:val="26"/>
          <w:szCs w:val="26"/>
        </w:rPr>
        <w:t xml:space="preserve">4 · Pull-agents — where the compute actually happens</w:t>
      </w:r>
    </w:p>
    <w:p>
      <w:pPr>
        <w:spacing w:after="130" w:line="280"/>
      </w:pPr>
      <w:r>
        <w:rPr>
          <w:b/>
          <w:bCs/>
          <w:sz w:val="22"/>
          <w:szCs w:val="22"/>
        </w:rPr>
        <w:t xml:space="preserve">HPC / DMRG agent (Laguna) — </w:t>
      </w:r>
      <w:r>
        <w:rPr>
          <w:sz w:val="22"/>
          <w:szCs w:val="22"/>
        </w:rPr>
        <w:t xml:space="preserve">one process (</w:t>
      </w:r>
      <w:r>
        <w:rPr>
          <w:rFonts w:ascii="Consolas" w:cs="Consolas" w:eastAsia="Consolas" w:hAnsi="Consolas"/>
          <w:color w:val="0B1E3D"/>
          <w:sz w:val="20"/>
          <w:szCs w:val="20"/>
        </w:rPr>
        <w:t xml:space="preserve">solange_hpc.py --agent</w:t>
      </w:r>
      <w:r>
        <w:rPr>
          <w:sz w:val="22"/>
          <w:szCs w:val="22"/>
        </w:rPr>
        <w:t xml:space="preserve">) that handles both classical rungs. Rung 2 uses PySCF (CASSCF) and PennyLane VQE on GPU; Rung 3 uses the block2 tensor-network library for the A/B/C entanglement verdict. It builds the P1–P9 record, SHA-256-seals it at source, streams live stage notes (RHF→CASSCF→VQE step, or DMRG bond dimensions), and keeps a heartbeat every 30 s so it never looks offline mid-run. A keepalive supervisor lets it survive the terminal closing.</w:t>
      </w:r>
    </w:p>
    <w:p>
      <w:pPr>
        <w:spacing w:after="130" w:line="280"/>
      </w:pPr>
      <w:r>
        <w:rPr>
          <w:b/>
          <w:bCs/>
          <w:sz w:val="22"/>
          <w:szCs w:val="22"/>
        </w:rPr>
        <w:t xml:space="preserve">QPU agent (Mac) — </w:t>
      </w:r>
      <w:r>
        <w:rPr>
          <w:sz w:val="22"/>
          <w:szCs w:val="22"/>
        </w:rPr>
        <w:t xml:space="preserve">a second process (</w:t>
      </w:r>
      <w:r>
        <w:rPr>
          <w:rFonts w:ascii="Consolas" w:cs="Consolas" w:eastAsia="Consolas" w:hAnsi="Consolas"/>
          <w:color w:val="0B1E3D"/>
          <w:sz w:val="20"/>
          <w:szCs w:val="20"/>
        </w:rPr>
        <w:t xml:space="preserve">solange_qpu.py --agent</w:t>
      </w:r>
      <w:r>
        <w:rPr>
          <w:sz w:val="22"/>
          <w:szCs w:val="22"/>
        </w:rPr>
        <w:t xml:space="preserve">) that claims only Rung-4 jobs. It submits circuits to IBM Heron via Qiskit Runtime, captures live device telemetry (calibration epoch, gate/readout error, T1/T2) into P3/P4, seals the same P1–P9 record, and reports the live IBM job status back to the queue row. Each job it claims spends real quantum time — so it only ever runs work you explicitly queued.</w:t>
      </w:r>
    </w:p>
    <w:p>
      <w:pPr>
        <w:pStyle w:val="Heading2"/>
        <w:spacing w:after="120" w:before="280"/>
      </w:pPr>
      <w:r>
        <w:rPr>
          <w:b/>
          <w:bCs/>
          <w:color w:val="0B1E3D"/>
          <w:sz w:val="26"/>
          <w:szCs w:val="26"/>
        </w:rPr>
        <w:t xml:space="preserve">The pull loop — a job’s life, step by step</w:t>
      </w:r>
    </w:p>
    <w:p>
      <w:pPr>
        <w:spacing w:after="130" w:line="280"/>
      </w:pPr>
      <w:r>
        <w:rPr>
          <w:sz w:val="22"/>
          <w:szCs w:val="22"/>
        </w:rPr>
        <w:t xml:space="preserve">This single loop is the operational core, and every step is provenance-tracked:</w:t>
      </w:r>
    </w:p>
    <w:p>
      <w:pPr>
        <w:pStyle w:val="ListParagraph"/>
        <w:numPr>
          <w:ilvl w:val="0"/>
          <w:numId w:val="1"/>
        </w:numPr>
        <w:spacing w:after="70" w:line="270"/>
      </w:pPr>
      <w:r>
        <w:rPr>
          <w:b/>
          <w:bCs/>
          <w:sz w:val="22"/>
          <w:szCs w:val="22"/>
        </w:rPr>
        <w:t xml:space="preserve">Queued — </w:t>
      </w:r>
      <w:r>
        <w:rPr>
          <w:sz w:val="22"/>
          <w:szCs w:val="22"/>
        </w:rPr>
        <w:t xml:space="preserve">you tick a mutation in the browser and press a Rung button; the backend writes a row to </w:t>
      </w:r>
      <w:r>
        <w:rPr>
          <w:rFonts w:ascii="Consolas" w:cs="Consolas" w:eastAsia="Consolas" w:hAnsi="Consolas"/>
          <w:color w:val="0B1E3D"/>
          <w:sz w:val="20"/>
          <w:szCs w:val="20"/>
        </w:rPr>
        <w:t xml:space="preserve">hpc_dispatch</w:t>
      </w:r>
      <w:r>
        <w:rPr>
          <w:sz w:val="22"/>
          <w:szCs w:val="22"/>
        </w:rPr>
        <w:t xml:space="preserve">.</w:t>
      </w:r>
    </w:p>
    <w:p>
      <w:pPr>
        <w:pStyle w:val="ListParagraph"/>
        <w:numPr>
          <w:ilvl w:val="0"/>
          <w:numId w:val="1"/>
        </w:numPr>
        <w:spacing w:after="70" w:line="270"/>
      </w:pPr>
      <w:r>
        <w:rPr>
          <w:b/>
          <w:bCs/>
          <w:sz w:val="22"/>
          <w:szCs w:val="22"/>
        </w:rPr>
        <w:t xml:space="preserve">Claimed — </w:t>
      </w:r>
      <w:r>
        <w:rPr>
          <w:sz w:val="22"/>
          <w:szCs w:val="22"/>
        </w:rPr>
        <w:t xml:space="preserve">the matching agent, polling outbound, sees the job and marks it running.</w:t>
      </w:r>
    </w:p>
    <w:p>
      <w:pPr>
        <w:pStyle w:val="ListParagraph"/>
        <w:numPr>
          <w:ilvl w:val="0"/>
          <w:numId w:val="1"/>
        </w:numPr>
        <w:spacing w:after="70" w:line="270"/>
      </w:pPr>
      <w:r>
        <w:rPr>
          <w:b/>
          <w:bCs/>
          <w:sz w:val="22"/>
          <w:szCs w:val="22"/>
        </w:rPr>
        <w:t xml:space="preserve">Executed — </w:t>
      </w:r>
      <w:r>
        <w:rPr>
          <w:sz w:val="22"/>
          <w:szCs w:val="22"/>
        </w:rPr>
        <w:t xml:space="preserve">the agent runs it with full in-environment privileges (on Laguna, or on the IBM QPU).</w:t>
      </w:r>
    </w:p>
    <w:p>
      <w:pPr>
        <w:pStyle w:val="ListParagraph"/>
        <w:numPr>
          <w:ilvl w:val="0"/>
          <w:numId w:val="1"/>
        </w:numPr>
        <w:spacing w:after="70" w:line="270"/>
      </w:pPr>
      <w:r>
        <w:rPr>
          <w:b/>
          <w:bCs/>
          <w:sz w:val="22"/>
          <w:szCs w:val="22"/>
        </w:rPr>
        <w:t xml:space="preserve">Returned &amp; sealed — </w:t>
      </w:r>
      <w:r>
        <w:rPr>
          <w:sz w:val="22"/>
          <w:szCs w:val="22"/>
        </w:rPr>
        <w:t xml:space="preserve">the agent builds the P1–P9 record and SHA-256-seals it at source, then POSTs it to </w:t>
      </w:r>
      <w:r>
        <w:rPr>
          <w:rFonts w:ascii="Consolas" w:cs="Consolas" w:eastAsia="Consolas" w:hAnsi="Consolas"/>
          <w:color w:val="0B1E3D"/>
          <w:sz w:val="20"/>
          <w:szCs w:val="20"/>
        </w:rPr>
        <w:t xml:space="preserve">/hpc/submit</w:t>
      </w:r>
      <w:r>
        <w:rPr>
          <w:sz w:val="22"/>
          <w:szCs w:val="22"/>
        </w:rPr>
        <w:t xml:space="preserve">.</w:t>
      </w:r>
    </w:p>
    <w:p>
      <w:pPr>
        <w:pStyle w:val="ListParagraph"/>
        <w:numPr>
          <w:ilvl w:val="0"/>
          <w:numId w:val="1"/>
        </w:numPr>
        <w:spacing w:after="70" w:line="270"/>
      </w:pPr>
      <w:r>
        <w:rPr>
          <w:b/>
          <w:bCs/>
          <w:sz w:val="22"/>
          <w:szCs w:val="22"/>
        </w:rPr>
        <w:t xml:space="preserve">Verified — </w:t>
      </w:r>
      <w:r>
        <w:rPr>
          <w:sz w:val="22"/>
          <w:szCs w:val="22"/>
        </w:rPr>
        <w:t xml:space="preserve">LEON recomputes the seal and the physics check; a mismatch is rejected, not stored.</w:t>
      </w:r>
    </w:p>
    <w:p>
      <w:pPr>
        <w:pStyle w:val="ListParagraph"/>
        <w:numPr>
          <w:ilvl w:val="0"/>
          <w:numId w:val="1"/>
        </w:numPr>
        <w:spacing w:after="70" w:line="270"/>
      </w:pPr>
      <w:r>
        <w:rPr>
          <w:b/>
          <w:bCs/>
          <w:sz w:val="22"/>
          <w:szCs w:val="22"/>
        </w:rPr>
        <w:t xml:space="preserve">Stored &amp; shown — </w:t>
      </w:r>
      <w:r>
        <w:rPr>
          <w:sz w:val="22"/>
          <w:szCs w:val="22"/>
        </w:rPr>
        <w:t xml:space="preserve">the accepted row lands in </w:t>
      </w:r>
      <w:r>
        <w:rPr>
          <w:rFonts w:ascii="Consolas" w:cs="Consolas" w:eastAsia="Consolas" w:hAnsi="Consolas"/>
          <w:color w:val="0B1E3D"/>
          <w:sz w:val="20"/>
          <w:szCs w:val="20"/>
        </w:rPr>
        <w:t xml:space="preserve">simulation_runs</w:t>
      </w:r>
      <w:r>
        <w:rPr>
          <w:sz w:val="22"/>
          <w:szCs w:val="22"/>
        </w:rPr>
        <w:t xml:space="preserve"> and appears in the ladder, re-verifiable on demand forever after.</w:t>
      </w:r>
    </w:p>
    <w:p>
      <w:pPr>
        <w:pStyle w:val="Heading2"/>
        <w:spacing w:after="120" w:before="280"/>
      </w:pPr>
      <w:r>
        <w:rPr>
          <w:b/>
          <w:bCs/>
          <w:color w:val="555555"/>
          <w:sz w:val="26"/>
          <w:szCs w:val="26"/>
        </w:rPr>
        <w:t xml:space="preserve">Quick reference — who talks to whom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400"/>
      </w:tblGrid>
      <w:tr>
        <w:trPr>
          <w:tblHeader/>
        </w:trPr>
        <w:tc>
          <w:tcPr>
            <w:tcW w:type="dxa" w:w="2400"/>
            <w:shd w:fill="0B1E3D" w:color="auto" w:val="clear"/>
            <w:tcMar>
              <w:top w:type="dxa" w:w="50"/>
              <w:left w:type="dxa" w:w="90"/>
              <w:bottom w:type="dxa" w:w="50"/>
              <w:right w:type="dxa" w:w="90"/>
            </w:tcMar>
          </w:tcPr>
          <w:p>
            <w:r>
              <w:rPr>
                <w:b/>
                <w:bCs/>
                <w:color w:val="FFFFFF"/>
                <w:sz w:val="18"/>
                <w:szCs w:val="18"/>
              </w:rPr>
              <w:t xml:space="preserve">From</w:t>
            </w:r>
          </w:p>
        </w:tc>
        <w:tc>
          <w:tcPr>
            <w:tcW w:type="dxa" w:w="2400"/>
            <w:shd w:fill="0B1E3D" w:color="auto" w:val="clear"/>
            <w:tcMar>
              <w:top w:type="dxa" w:w="50"/>
              <w:left w:type="dxa" w:w="90"/>
              <w:bottom w:type="dxa" w:w="50"/>
              <w:right w:type="dxa" w:w="90"/>
            </w:tcMar>
          </w:tcPr>
          <w:p>
            <w:r>
              <w:rPr>
                <w:b/>
                <w:bCs/>
                <w:color w:val="FFFFFF"/>
                <w:sz w:val="18"/>
                <w:szCs w:val="18"/>
              </w:rPr>
              <w:t xml:space="preserve">To</w:t>
            </w:r>
          </w:p>
        </w:tc>
        <w:tc>
          <w:tcPr>
            <w:tcW w:type="dxa" w:w="4400"/>
            <w:shd w:fill="0B1E3D" w:color="auto" w:val="clear"/>
            <w:tcMar>
              <w:top w:type="dxa" w:w="50"/>
              <w:left w:type="dxa" w:w="90"/>
              <w:bottom w:type="dxa" w:w="50"/>
              <w:right w:type="dxa" w:w="90"/>
            </w:tcMar>
          </w:tcPr>
          <w:p>
            <w:r>
              <w:rPr>
                <w:b/>
                <w:bCs/>
                <w:color w:val="FFFFFF"/>
                <w:sz w:val="18"/>
                <w:szCs w:val="18"/>
              </w:rPr>
              <w:t xml:space="preserve">What crosses</w:t>
            </w:r>
          </w:p>
        </w:tc>
      </w:tr>
      <w:tr>
        <w:tc>
          <w:tcPr>
            <w:tcW w:type="dxa" w:w="2400"/>
            <w:shd w:fill="eef2f7" w:color="auto" w:val="clear"/>
            <w:tcMar>
              <w:top w:type="dxa" w:w="50"/>
              <w:left w:type="dxa" w:w="90"/>
              <w:bottom w:type="dxa" w:w="50"/>
              <w:right w:type="dxa" w:w="90"/>
            </w:tcMar>
          </w:tcPr>
          <w:p>
            <w:r>
              <w:rPr>
                <w:color w:val="222222"/>
                <w:sz w:val="18"/>
                <w:szCs w:val="18"/>
              </w:rPr>
              <w:t xml:space="preserve">Developer</w:t>
            </w:r>
          </w:p>
        </w:tc>
        <w:tc>
          <w:tcPr>
            <w:tcW w:type="dxa" w:w="2400"/>
            <w:tcMar>
              <w:top w:type="dxa" w:w="50"/>
              <w:left w:type="dxa" w:w="90"/>
              <w:bottom w:type="dxa" w:w="50"/>
              <w:right w:type="dxa" w:w="90"/>
            </w:tcMar>
          </w:tcPr>
          <w:p>
            <w:r>
              <w:rPr>
                <w:color w:val="222222"/>
                <w:sz w:val="18"/>
                <w:szCs w:val="18"/>
              </w:rPr>
              <w:t xml:space="preserve">GitHub</w:t>
            </w:r>
          </w:p>
        </w:tc>
        <w:tc>
          <w:tcPr>
            <w:tcW w:type="dxa" w:w="4400"/>
            <w:tcMar>
              <w:top w:type="dxa" w:w="50"/>
              <w:left w:type="dxa" w:w="90"/>
              <w:bottom w:type="dxa" w:w="50"/>
              <w:right w:type="dxa" w:w="90"/>
            </w:tcMar>
          </w:tcPr>
          <w:p>
            <w:r>
              <w:rPr>
                <w:color w:val="222222"/>
                <w:sz w:val="18"/>
                <w:szCs w:val="18"/>
              </w:rPr>
              <w:t xml:space="preserve">git push to main</w:t>
            </w:r>
          </w:p>
        </w:tc>
      </w:tr>
      <w:tr>
        <w:tc>
          <w:tcPr>
            <w:tcW w:type="dxa" w:w="2400"/>
            <w:shd w:fill="eef2f7" w:color="auto" w:val="clear"/>
            <w:tcMar>
              <w:top w:type="dxa" w:w="50"/>
              <w:left w:type="dxa" w:w="90"/>
              <w:bottom w:type="dxa" w:w="50"/>
              <w:right w:type="dxa" w:w="90"/>
            </w:tcMar>
          </w:tcPr>
          <w:p>
            <w:r>
              <w:rPr>
                <w:color w:val="222222"/>
                <w:sz w:val="18"/>
                <w:szCs w:val="18"/>
              </w:rPr>
              <w:t xml:space="preserve">GitHub</w:t>
            </w:r>
          </w:p>
        </w:tc>
        <w:tc>
          <w:tcPr>
            <w:tcW w:type="dxa" w:w="2400"/>
            <w:tcMar>
              <w:top w:type="dxa" w:w="50"/>
              <w:left w:type="dxa" w:w="90"/>
              <w:bottom w:type="dxa" w:w="50"/>
              <w:right w:type="dxa" w:w="90"/>
            </w:tcMar>
          </w:tcPr>
          <w:p>
            <w:r>
              <w:rPr>
                <w:color w:val="222222"/>
                <w:sz w:val="18"/>
                <w:szCs w:val="18"/>
              </w:rPr>
              <w:t xml:space="preserve">Netlify + Render</w:t>
            </w:r>
          </w:p>
        </w:tc>
        <w:tc>
          <w:tcPr>
            <w:tcW w:type="dxa" w:w="4400"/>
            <w:tcMar>
              <w:top w:type="dxa" w:w="50"/>
              <w:left w:type="dxa" w:w="90"/>
              <w:bottom w:type="dxa" w:w="50"/>
              <w:right w:type="dxa" w:w="90"/>
            </w:tcMar>
          </w:tcPr>
          <w:p>
            <w:r>
              <w:rPr>
                <w:color w:val="222222"/>
                <w:sz w:val="18"/>
                <w:szCs w:val="18"/>
              </w:rPr>
              <w:t xml:space="preserve">deploy webhook (auto-rebuild)</w:t>
            </w:r>
          </w:p>
        </w:tc>
      </w:tr>
      <w:tr>
        <w:tc>
          <w:tcPr>
            <w:tcW w:type="dxa" w:w="2400"/>
            <w:shd w:fill="eef2f7" w:color="auto" w:val="clear"/>
            <w:tcMar>
              <w:top w:type="dxa" w:w="50"/>
              <w:left w:type="dxa" w:w="90"/>
              <w:bottom w:type="dxa" w:w="50"/>
              <w:right w:type="dxa" w:w="90"/>
            </w:tcMar>
          </w:tcPr>
          <w:p>
            <w:r>
              <w:rPr>
                <w:color w:val="222222"/>
                <w:sz w:val="18"/>
                <w:szCs w:val="18"/>
              </w:rPr>
              <w:t xml:space="preserve">Browser</w:t>
            </w:r>
          </w:p>
        </w:tc>
        <w:tc>
          <w:tcPr>
            <w:tcW w:type="dxa" w:w="2400"/>
            <w:tcMar>
              <w:top w:type="dxa" w:w="50"/>
              <w:left w:type="dxa" w:w="90"/>
              <w:bottom w:type="dxa" w:w="50"/>
              <w:right w:type="dxa" w:w="90"/>
            </w:tcMar>
          </w:tcPr>
          <w:p>
            <w:r>
              <w:rPr>
                <w:color w:val="222222"/>
                <w:sz w:val="18"/>
                <w:szCs w:val="18"/>
              </w:rPr>
              <w:t xml:space="preserve">Netlify</w:t>
            </w:r>
          </w:p>
        </w:tc>
        <w:tc>
          <w:tcPr>
            <w:tcW w:type="dxa" w:w="4400"/>
            <w:tcMar>
              <w:top w:type="dxa" w:w="50"/>
              <w:left w:type="dxa" w:w="90"/>
              <w:bottom w:type="dxa" w:w="50"/>
              <w:right w:type="dxa" w:w="90"/>
            </w:tcMar>
          </w:tcPr>
          <w:p>
            <w:r>
              <w:rPr>
                <w:color w:val="222222"/>
                <w:sz w:val="18"/>
                <w:szCs w:val="18"/>
              </w:rPr>
              <w:t xml:space="preserve">loads the static web app (HTTPS)</w:t>
            </w:r>
          </w:p>
        </w:tc>
      </w:tr>
      <w:tr>
        <w:tc>
          <w:tcPr>
            <w:tcW w:type="dxa" w:w="2400"/>
            <w:shd w:fill="eef2f7" w:color="auto" w:val="clear"/>
            <w:tcMar>
              <w:top w:type="dxa" w:w="50"/>
              <w:left w:type="dxa" w:w="90"/>
              <w:bottom w:type="dxa" w:w="50"/>
              <w:right w:type="dxa" w:w="90"/>
            </w:tcMar>
          </w:tcPr>
          <w:p>
            <w:r>
              <w:rPr>
                <w:color w:val="222222"/>
                <w:sz w:val="18"/>
                <w:szCs w:val="18"/>
              </w:rPr>
              <w:t xml:space="preserve">Browser</w:t>
            </w:r>
          </w:p>
        </w:tc>
        <w:tc>
          <w:tcPr>
            <w:tcW w:type="dxa" w:w="2400"/>
            <w:tcMar>
              <w:top w:type="dxa" w:w="50"/>
              <w:left w:type="dxa" w:w="90"/>
              <w:bottom w:type="dxa" w:w="50"/>
              <w:right w:type="dxa" w:w="90"/>
            </w:tcMar>
          </w:tcPr>
          <w:p>
            <w:r>
              <w:rPr>
                <w:color w:val="222222"/>
                <w:sz w:val="18"/>
                <w:szCs w:val="18"/>
              </w:rPr>
              <w:t xml:space="preserve">Render API</w:t>
            </w:r>
          </w:p>
        </w:tc>
        <w:tc>
          <w:tcPr>
            <w:tcW w:type="dxa" w:w="4400"/>
            <w:tcMar>
              <w:top w:type="dxa" w:w="50"/>
              <w:left w:type="dxa" w:w="90"/>
              <w:bottom w:type="dxa" w:w="50"/>
              <w:right w:type="dxa" w:w="90"/>
            </w:tcMar>
          </w:tcPr>
          <w:p>
            <w:r>
              <w:rPr>
                <w:color w:val="222222"/>
                <w:sz w:val="18"/>
                <w:szCs w:val="18"/>
              </w:rPr>
              <w:t xml:space="preserve">queue jobs, read results (HTTPS/JSON)</w:t>
            </w:r>
          </w:p>
        </w:tc>
      </w:tr>
      <w:tr>
        <w:tc>
          <w:tcPr>
            <w:tcW w:type="dxa" w:w="2400"/>
            <w:shd w:fill="eef2f7" w:color="auto" w:val="clear"/>
            <w:tcMar>
              <w:top w:type="dxa" w:w="50"/>
              <w:left w:type="dxa" w:w="90"/>
              <w:bottom w:type="dxa" w:w="50"/>
              <w:right w:type="dxa" w:w="90"/>
            </w:tcMar>
          </w:tcPr>
          <w:p>
            <w:r>
              <w:rPr>
                <w:color w:val="222222"/>
                <w:sz w:val="18"/>
                <w:szCs w:val="18"/>
              </w:rPr>
              <w:t xml:space="preserve">Render</w:t>
            </w:r>
          </w:p>
        </w:tc>
        <w:tc>
          <w:tcPr>
            <w:tcW w:type="dxa" w:w="2400"/>
            <w:tcMar>
              <w:top w:type="dxa" w:w="50"/>
              <w:left w:type="dxa" w:w="90"/>
              <w:bottom w:type="dxa" w:w="50"/>
              <w:right w:type="dxa" w:w="90"/>
            </w:tcMar>
          </w:tcPr>
          <w:p>
            <w:r>
              <w:rPr>
                <w:color w:val="222222"/>
                <w:sz w:val="18"/>
                <w:szCs w:val="18"/>
              </w:rPr>
              <w:t xml:space="preserve">Supabase</w:t>
            </w:r>
          </w:p>
        </w:tc>
        <w:tc>
          <w:tcPr>
            <w:tcW w:type="dxa" w:w="4400"/>
            <w:tcMar>
              <w:top w:type="dxa" w:w="50"/>
              <w:left w:type="dxa" w:w="90"/>
              <w:bottom w:type="dxa" w:w="50"/>
              <w:right w:type="dxa" w:w="90"/>
            </w:tcMar>
          </w:tcPr>
          <w:p>
            <w:r>
              <w:rPr>
                <w:color w:val="222222"/>
                <w:sz w:val="18"/>
                <w:szCs w:val="18"/>
              </w:rPr>
              <w:t xml:space="preserve">read / write all tables (service_role)</w:t>
            </w:r>
          </w:p>
        </w:tc>
      </w:tr>
      <w:tr>
        <w:tc>
          <w:tcPr>
            <w:tcW w:type="dxa" w:w="2400"/>
            <w:shd w:fill="eef2f7" w:color="auto" w:val="clear"/>
            <w:tcMar>
              <w:top w:type="dxa" w:w="50"/>
              <w:left w:type="dxa" w:w="90"/>
              <w:bottom w:type="dxa" w:w="50"/>
              <w:right w:type="dxa" w:w="90"/>
            </w:tcMar>
          </w:tcPr>
          <w:p>
            <w:r>
              <w:rPr>
                <w:color w:val="222222"/>
                <w:sz w:val="18"/>
                <w:szCs w:val="18"/>
              </w:rPr>
              <w:t xml:space="preserve">Render</w:t>
            </w:r>
          </w:p>
        </w:tc>
        <w:tc>
          <w:tcPr>
            <w:tcW w:type="dxa" w:w="2400"/>
            <w:tcMar>
              <w:top w:type="dxa" w:w="50"/>
              <w:left w:type="dxa" w:w="90"/>
              <w:bottom w:type="dxa" w:w="50"/>
              <w:right w:type="dxa" w:w="90"/>
            </w:tcMar>
          </w:tcPr>
          <w:p>
            <w:r>
              <w:rPr>
                <w:color w:val="222222"/>
                <w:sz w:val="18"/>
                <w:szCs w:val="18"/>
              </w:rPr>
              <w:t xml:space="preserve">PDB / AlphaFold / Gmail</w:t>
            </w:r>
          </w:p>
        </w:tc>
        <w:tc>
          <w:tcPr>
            <w:tcW w:type="dxa" w:w="4400"/>
            <w:tcMar>
              <w:top w:type="dxa" w:w="50"/>
              <w:left w:type="dxa" w:w="90"/>
              <w:bottom w:type="dxa" w:w="50"/>
              <w:right w:type="dxa" w:w="90"/>
            </w:tcMar>
          </w:tcPr>
          <w:p>
            <w:r>
              <w:rPr>
                <w:color w:val="222222"/>
                <w:sz w:val="18"/>
                <w:szCs w:val="18"/>
              </w:rPr>
              <w:t xml:space="preserve">structure lookup · e-mail</w:t>
            </w:r>
          </w:p>
        </w:tc>
      </w:tr>
      <w:tr>
        <w:tc>
          <w:tcPr>
            <w:tcW w:type="dxa" w:w="2400"/>
            <w:shd w:fill="eef2f7" w:color="auto" w:val="clear"/>
            <w:tcMar>
              <w:top w:type="dxa" w:w="50"/>
              <w:left w:type="dxa" w:w="90"/>
              <w:bottom w:type="dxa" w:w="50"/>
              <w:right w:type="dxa" w:w="90"/>
            </w:tcMar>
          </w:tcPr>
          <w:p>
            <w:r>
              <w:rPr>
                <w:color w:val="222222"/>
                <w:sz w:val="18"/>
                <w:szCs w:val="18"/>
              </w:rPr>
              <w:t xml:space="preserve">Laguna agent</w:t>
            </w:r>
          </w:p>
        </w:tc>
        <w:tc>
          <w:tcPr>
            <w:tcW w:type="dxa" w:w="2400"/>
            <w:tcMar>
              <w:top w:type="dxa" w:w="50"/>
              <w:left w:type="dxa" w:w="90"/>
              <w:bottom w:type="dxa" w:w="50"/>
              <w:right w:type="dxa" w:w="90"/>
            </w:tcMar>
          </w:tcPr>
          <w:p>
            <w:r>
              <w:rPr>
                <w:color w:val="222222"/>
                <w:sz w:val="18"/>
                <w:szCs w:val="18"/>
              </w:rPr>
              <w:t xml:space="preserve">Render API</w:t>
            </w:r>
          </w:p>
        </w:tc>
        <w:tc>
          <w:tcPr>
            <w:tcW w:type="dxa" w:w="4400"/>
            <w:tcMar>
              <w:top w:type="dxa" w:w="50"/>
              <w:left w:type="dxa" w:w="90"/>
              <w:bottom w:type="dxa" w:w="50"/>
              <w:right w:type="dxa" w:w="90"/>
            </w:tcMar>
          </w:tcPr>
          <w:p>
            <w:r>
              <w:rPr>
                <w:color w:val="222222"/>
                <w:sz w:val="18"/>
                <w:szCs w:val="18"/>
              </w:rPr>
              <w:t xml:space="preserve">poll queue · return sealed result (outbound)</w:t>
            </w:r>
          </w:p>
        </w:tc>
      </w:tr>
      <w:tr>
        <w:tc>
          <w:tcPr>
            <w:tcW w:type="dxa" w:w="2400"/>
            <w:shd w:fill="eef2f7" w:color="auto" w:val="clear"/>
            <w:tcMar>
              <w:top w:type="dxa" w:w="50"/>
              <w:left w:type="dxa" w:w="90"/>
              <w:bottom w:type="dxa" w:w="50"/>
              <w:right w:type="dxa" w:w="90"/>
            </w:tcMar>
          </w:tcPr>
          <w:p>
            <w:r>
              <w:rPr>
                <w:color w:val="222222"/>
                <w:sz w:val="18"/>
                <w:szCs w:val="18"/>
              </w:rPr>
              <w:t xml:space="preserve">Mac QPU agent</w:t>
            </w:r>
          </w:p>
        </w:tc>
        <w:tc>
          <w:tcPr>
            <w:tcW w:type="dxa" w:w="2400"/>
            <w:tcMar>
              <w:top w:type="dxa" w:w="50"/>
              <w:left w:type="dxa" w:w="90"/>
              <w:bottom w:type="dxa" w:w="50"/>
              <w:right w:type="dxa" w:w="90"/>
            </w:tcMar>
          </w:tcPr>
          <w:p>
            <w:r>
              <w:rPr>
                <w:color w:val="222222"/>
                <w:sz w:val="18"/>
                <w:szCs w:val="18"/>
              </w:rPr>
              <w:t xml:space="preserve">Render API</w:t>
            </w:r>
          </w:p>
        </w:tc>
        <w:tc>
          <w:tcPr>
            <w:tcW w:type="dxa" w:w="4400"/>
            <w:tcMar>
              <w:top w:type="dxa" w:w="50"/>
              <w:left w:type="dxa" w:w="90"/>
              <w:bottom w:type="dxa" w:w="50"/>
              <w:right w:type="dxa" w:w="90"/>
            </w:tcMar>
          </w:tcPr>
          <w:p>
            <w:r>
              <w:rPr>
                <w:color w:val="222222"/>
                <w:sz w:val="18"/>
                <w:szCs w:val="18"/>
              </w:rPr>
              <w:t xml:space="preserve">poll queue · return sealed result (outbound)</w:t>
            </w:r>
          </w:p>
        </w:tc>
      </w:tr>
      <w:tr>
        <w:tc>
          <w:tcPr>
            <w:tcW w:type="dxa" w:w="2400"/>
            <w:shd w:fill="eef2f7" w:color="auto" w:val="clear"/>
            <w:tcMar>
              <w:top w:type="dxa" w:w="50"/>
              <w:left w:type="dxa" w:w="90"/>
              <w:bottom w:type="dxa" w:w="50"/>
              <w:right w:type="dxa" w:w="90"/>
            </w:tcMar>
          </w:tcPr>
          <w:p>
            <w:r>
              <w:rPr>
                <w:color w:val="222222"/>
                <w:sz w:val="18"/>
                <w:szCs w:val="18"/>
              </w:rPr>
              <w:t xml:space="preserve">Mac QPU agent</w:t>
            </w:r>
          </w:p>
        </w:tc>
        <w:tc>
          <w:tcPr>
            <w:tcW w:type="dxa" w:w="2400"/>
            <w:tcMar>
              <w:top w:type="dxa" w:w="50"/>
              <w:left w:type="dxa" w:w="90"/>
              <w:bottom w:type="dxa" w:w="50"/>
              <w:right w:type="dxa" w:w="90"/>
            </w:tcMar>
          </w:tcPr>
          <w:p>
            <w:r>
              <w:rPr>
                <w:color w:val="222222"/>
                <w:sz w:val="18"/>
                <w:szCs w:val="18"/>
              </w:rPr>
              <w:t xml:space="preserve">IBM Quantum</w:t>
            </w:r>
          </w:p>
        </w:tc>
        <w:tc>
          <w:tcPr>
            <w:tcW w:type="dxa" w:w="4400"/>
            <w:tcMar>
              <w:top w:type="dxa" w:w="50"/>
              <w:left w:type="dxa" w:w="90"/>
              <w:bottom w:type="dxa" w:w="50"/>
              <w:right w:type="dxa" w:w="90"/>
            </w:tcMar>
          </w:tcPr>
          <w:p>
            <w:r>
              <w:rPr>
                <w:color w:val="222222"/>
                <w:sz w:val="18"/>
                <w:szCs w:val="18"/>
              </w:rPr>
              <w:t xml:space="preserve">run circuits (Qiskit Runtime)</w:t>
            </w:r>
          </w:p>
        </w:tc>
      </w:tr>
    </w:tbl>
    <w:p>
      <w:pPr>
        <w:spacing w:before="140"/>
      </w:pPr>
      <w:r>
        <w:rPr>
          <w:i/>
          <w:iCs/>
          <w:color w:val="555555"/>
          <w:sz w:val="20"/>
          <w:szCs w:val="20"/>
        </w:rPr>
        <w:t xml:space="preserve">Note the asymmetry: the cloud never initiates a connection into Laguna or the Mac. The agents always reach out. That one rule is the entire security posture.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24d896f4ba734fca4edd208cb9150d8d005ac2.png"/><Relationship Id="rId8" Type="http://schemas.openxmlformats.org/officeDocument/2006/relationships/image" Target="media/81e1555b43d65e7f3c8a08eb1efc9b726c7601d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2026-07-27T18:30:10.729Z</dcterms:created>
  <dcterms:modified xsi:type="dcterms:W3CDTF">2026-07-27T18:30:10.740Z</dcterms:modified>
</cp:coreProperties>
</file>

<file path=docProps/custom.xml><?xml version="1.0" encoding="utf-8"?>
<Properties xmlns="http://schemas.openxmlformats.org/officeDocument/2006/custom-properties" xmlns:vt="http://schemas.openxmlformats.org/officeDocument/2006/docPropsVTypes"/>
</file>