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E3D"/>
          <w:sz w:val="36"/>
          <w:szCs w:val="36"/>
        </w:rPr>
        <w:t xml:space="preserve">SOLANGE™</w:t>
      </w:r>
    </w:p>
    <w:p>
      <w:pPr>
        <w:spacing w:after="260"/>
        <w:jc w:val="center"/>
      </w:pPr>
      <w:r>
        <w:rPr>
          <w:b/>
          <w:bCs/>
          <w:color w:val="06B6D4"/>
          <w:sz w:val="30"/>
          <w:szCs w:val="30"/>
        </w:rPr>
        <w:t xml:space="preserve">Operational Qualification (OQ) Protocol</w:t>
      </w:r>
    </w:p>
    <w:p>
      <w:pPr>
        <w:spacing w:after="60"/>
      </w:pPr>
      <w:r>
        <w:rPr>
          <w:b/>
          <w:bCs/>
          <w:sz w:val="21"/>
          <w:szCs w:val="21"/>
        </w:rPr>
        <w:t xml:space="preserve">Protocol ID: </w:t>
      </w:r>
      <w:r>
        <w:rPr>
          <w:sz w:val="21"/>
          <w:szCs w:val="21"/>
        </w:rPr>
        <w:t xml:space="preserve">OQ-2026-001</w:t>
      </w:r>
    </w:p>
    <w:p>
      <w:pPr>
        <w:spacing w:after="60"/>
      </w:pPr>
      <w:r>
        <w:rPr>
          <w:b/>
          <w:bCs/>
          <w:sz w:val="21"/>
          <w:szCs w:val="21"/>
        </w:rPr>
        <w:t xml:space="preserve">Version: </w:t>
      </w:r>
      <w:r>
        <w:rPr>
          <w:sz w:val="21"/>
          <w:szCs w:val="21"/>
        </w:rPr>
        <w:t xml:space="preserve">1.0 (first formal execution — supersedes no prior signed OQ)</w:t>
      </w:r>
    </w:p>
    <w:p>
      <w:pPr>
        <w:spacing w:after="60"/>
      </w:pPr>
      <w:r>
        <w:rPr>
          <w:b/>
          <w:bCs/>
          <w:sz w:val="21"/>
          <w:szCs w:val="21"/>
        </w:rPr>
        <w:t xml:space="preserve">System: </w:t>
      </w:r>
      <w:r>
        <w:rPr>
          <w:sz w:val="21"/>
          <w:szCs w:val="21"/>
        </w:rPr>
        <w:t xml:space="preserve">SOLANGE — 3D Quantum Simulation Platform</w:t>
      </w:r>
    </w:p>
    <w:p>
      <w:pPr>
        <w:spacing w:after="60"/>
      </w:pPr>
      <w:r>
        <w:rPr>
          <w:b/>
          <w:bCs/>
          <w:sz w:val="21"/>
          <w:szCs w:val="21"/>
        </w:rPr>
        <w:t xml:space="preserve">Related records: </w:t>
      </w:r>
      <w:r>
        <w:rPr>
          <w:sz w:val="21"/>
          <w:szCs w:val="21"/>
        </w:rPr>
        <w:t xml:space="preserve">Platform Qualification Record VP-2026-001 (Compliance tab); IQ Protocol IQ-2026-001; URS-2026-001; RTM-2026-001</w:t>
      </w:r>
    </w:p>
    <w:p>
      <w:pPr>
        <w:spacing w:after="60"/>
      </w:pPr>
      <w:r>
        <w:rPr>
          <w:b/>
          <w:bCs/>
          <w:sz w:val="21"/>
          <w:szCs w:val="21"/>
        </w:rPr>
        <w:t xml:space="preserve">Prepared by: </w:t>
      </w:r>
      <w:r>
        <w:rPr>
          <w:sz w:val="21"/>
          <w:szCs w:val="21"/>
        </w:rPr>
        <w:t xml:space="preserve">Doron Cohen, PhD/DTech Candidate, IST 697, Claremont Graduate University</w:t>
      </w:r>
    </w:p>
    <w:p>
      <w:pPr>
        <w:spacing w:after="60"/>
      </w:pPr>
      <w:r>
        <w:rPr>
          <w:b/>
          <w:bCs/>
          <w:sz w:val="21"/>
          <w:szCs w:val="21"/>
        </w:rPr>
        <w:t xml:space="preserve">Issue date: </w:t>
      </w:r>
      <w:r>
        <w:rPr>
          <w:sz w:val="21"/>
          <w:szCs w:val="21"/>
        </w:rPr>
        <w:t xml:space="preserve">____________________</w:t>
      </w:r>
    </w:p>
    <w:p>
      <w:pPr>
        <w:pStyle w:val="Heading1"/>
        <w:spacing w:after="120" w:before="280"/>
      </w:pPr>
      <w:r>
        <w:rPr>
          <w:b/>
          <w:bCs/>
          <w:color w:val="0B1E3D"/>
        </w:rPr>
        <w:t xml:space="preserve">1. Purpose</w:t>
      </w:r>
    </w:p>
    <w:p>
      <w:pPr>
        <w:spacing w:after="120"/>
      </w:pPr>
      <w:r>
        <w:rPr>
          <w:sz w:val="21"/>
          <w:szCs w:val="21"/>
        </w:rPr>
        <w:t xml:space="preserve">This protocol verifies that the SOLANGE platform operates correctly against the requirements stated in URS-2026-001, on the installation already qualified by IQ-2026-001. Where a URS requirement has no test that can yet be executed (an unimplemented feature, or a test that itself depends on infrastructure not yet built), that is recorded here as an OPEN ITEM with a stated corrective action — never marked Pass on the strength of an adjacent, unrelated check.</w:t>
      </w:r>
    </w:p>
    <w:p>
      <w:pPr>
        <w:pStyle w:val="Heading1"/>
        <w:spacing w:after="120" w:before="280"/>
      </w:pPr>
      <w:r>
        <w:rPr>
          <w:b/>
          <w:bCs/>
          <w:color w:val="0B1E3D"/>
        </w:rPr>
        <w:t xml:space="preserve">2. Scope</w:t>
      </w:r>
    </w:p>
    <w:p>
      <w:pPr>
        <w:spacing w:after="120"/>
      </w:pPr>
      <w:r>
        <w:rPr>
          <w:sz w:val="21"/>
          <w:szCs w:val="21"/>
        </w:rPr>
        <w:t xml:space="preserve">Covers the four qualification claims already surfaced in the platform's Compliance tab (Platform Qualification Record VP-2026-001): VQE convergence against an independent benchmark, quantum-hardware error mitigation, audit-log integrity, and backend failover. Does not cover scientific or clinical correctness of any target result — see URS-2026-001 §2 and §5.</w:t>
      </w:r>
    </w:p>
    <w:p>
      <w:pPr>
        <w:pStyle w:val="Heading1"/>
        <w:spacing w:after="120" w:before="280"/>
      </w:pPr>
      <w:r>
        <w:rPr>
          <w:b/>
          <w:bCs/>
          <w:color w:val="0B1E3D"/>
        </w:rPr>
        <w:t xml:space="preserve">3. References</w:t>
      </w:r>
    </w:p>
    <w:p>
      <w:pPr>
        <w:spacing w:after="120"/>
      </w:pPr>
      <w:r>
        <w:rPr>
          <w:sz w:val="21"/>
          <w:szCs w:val="21"/>
        </w:rPr>
        <w:t xml:space="preserve">• URS-2026-001 — the requirements this protocol tests against</w:t>
      </w:r>
    </w:p>
    <w:p>
      <w:pPr>
        <w:spacing w:after="120"/>
      </w:pPr>
      <w:r>
        <w:rPr>
          <w:sz w:val="21"/>
          <w:szCs w:val="21"/>
        </w:rPr>
        <w:t xml:space="preserve">• scripts/laguna/benchmarks.json, verify_benchmark.py — the N2 CAS(6,6)/cc-pVDZ reference and its reproduction check</w:t>
      </w:r>
    </w:p>
    <w:p>
      <w:pPr>
        <w:spacing w:after="120"/>
      </w:pPr>
      <w:r>
        <w:rPr>
          <w:sz w:val="21"/>
          <w:szCs w:val="21"/>
        </w:rPr>
        <w:t xml:space="preserve">• backend/routes/leon.py, backend/migrations/2026-07-10_leon_audit.sql — the notarization ledger under test in §5.3</w:t>
      </w:r>
    </w:p>
    <w:p>
      <w:pPr>
        <w:spacing w:after="120"/>
      </w:pPr>
      <w:r>
        <w:rPr>
          <w:sz w:val="21"/>
          <w:szCs w:val="21"/>
        </w:rPr>
        <w:t xml:space="preserve">• CLAUDE.md — platform identity and standing operational conventions</w:t>
      </w:r>
    </w:p>
    <w:p>
      <w:pPr>
        <w:pStyle w:val="Heading1"/>
        <w:spacing w:after="120" w:before="280"/>
      </w:pPr>
      <w:r>
        <w:rPr>
          <w:b/>
          <w:bCs/>
          <w:color w:val="0B1E3D"/>
        </w:rPr>
        <w:t xml:space="preserve">4. Roles &amp; Responsibilities</w:t>
      </w:r>
    </w:p>
    <w:p>
      <w:pPr>
        <w:spacing w:after="120"/>
      </w:pPr>
      <w:r>
        <w:rPr>
          <w:sz w:val="21"/>
          <w:szCs w:val="21"/>
        </w:rPr>
        <w:t xml:space="preserve">Performed by: the operator executing each numbered step and recording its actual result.</w:t>
      </w:r>
    </w:p>
    <w:p>
      <w:pPr>
        <w:spacing w:after="120"/>
      </w:pPr>
      <w:r>
        <w:rPr>
          <w:sz w:val="21"/>
          <w:szCs w:val="21"/>
        </w:rPr>
        <w:t xml:space="preserve">Reviewed/Approved by: a second party (or, in a single-operator context, the same individual acting in a distinct review capacity, noted as such) confirming the recorded results support the conclusion reached.</w:t>
      </w:r>
    </w:p>
    <w:p>
      <w:pPr>
        <w:pStyle w:val="Heading1"/>
        <w:spacing w:after="120" w:before="280"/>
      </w:pPr>
      <w:r>
        <w:rPr>
          <w:b/>
          <w:bCs/>
          <w:color w:val="0B1E3D"/>
        </w:rPr>
        <w:t xml:space="preserve">5. Test Procedures</w:t>
      </w:r>
    </w:p>
    <w:p>
      <w:pPr>
        <w:pStyle w:val="Heading2"/>
        <w:spacing w:after="120" w:before="280"/>
      </w:pPr>
      <w:r>
        <w:rPr>
          <w:b/>
          <w:bCs/>
          <w:color w:val="0B1E3D"/>
        </w:rPr>
        <w:t xml:space="preserve">5.1  VQE Convergence (traces to URS-050, URS-100, URS-110)</w:t>
      </w:r>
    </w:p>
    <w:p>
      <w:pPr>
        <w:spacing w:after="120"/>
      </w:pPr>
      <w:r>
        <w:rPr>
          <w:sz w:val="21"/>
          <w:szCs w:val="21"/>
        </w:rPr>
        <w:t xml:space="preserve">Objective: confirm the platform's VQE path reproduces an independently-derivable reference energy to chemical accuracy — the load-bearing claim behind every quantum-hardware result the platform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2856"/>
        <w:gridCol w:w="2856"/>
        <w:gridCol w:w="1680"/>
        <w:gridCol w:w="840"/>
        <w:gridCol w:w="1094"/>
      </w:tblGrid>
      <w:tr>
        <w:trPr>
          <w:tblHeader/>
        </w:trPr>
        <w:tc>
          <w:tcPr>
            <w:tcW w:type="dxa" w:w="42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168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84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094"/>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42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2856"/>
            <w:tcMar>
              <w:top w:type="dxa" w:w="80"/>
              <w:left w:type="dxa" w:w="100"/>
              <w:bottom w:type="dxa" w:w="80"/>
              <w:right w:type="dxa" w:w="100"/>
            </w:tcMar>
          </w:tcPr>
          <w:p>
            <w:pPr>
              <w:spacing w:after="40"/>
            </w:pPr>
            <w:r>
              <w:rPr>
                <w:sz w:val="18"/>
                <w:szCs w:val="18"/>
              </w:rPr>
              <w:t xml:space="preserve">From the deployed backend's shell,​ or an environment built from the same deployed commit,​ run:​</w:t>
            </w:r>
          </w:p>
          <w:p>
            <w:pPr>
              <w:spacing w:after="40"/>
            </w:pPr>
            <w:r>
              <w:rPr>
                <w:rFonts w:ascii="Courier New" w:cs="Courier New" w:eastAsia="Courier New" w:hAnsi="Courier New"/>
                <w:sz w:val="18"/>
                <w:szCs w:val="18"/>
              </w:rPr>
              <w:t xml:space="preserve">python scripts/​laguna/​verify_​benchmark.​py</w:t>
            </w:r>
          </w:p>
        </w:tc>
        <w:tc>
          <w:tcPr>
            <w:tcW w:type="dxa" w:w="2856"/>
            <w:tcMar>
              <w:top w:type="dxa" w:w="80"/>
              <w:left w:type="dxa" w:w="100"/>
              <w:bottom w:type="dxa" w:w="80"/>
              <w:right w:type="dxa" w:w="100"/>
            </w:tcMar>
          </w:tcPr>
          <w:p>
            <w:r>
              <w:rPr>
                <w:sz w:val="18"/>
                <w:szCs w:val="18"/>
              </w:rPr>
              <w:t xml:space="preserve">Prints "All benchmarks reproduce from their stated specifications"; the N2 CAS(6,​6)/​cc-​pVDZ classical reference (-​109.​0900257023 Ha) reproduces to 0.​00 mHa from its stated geometry/​basis/​method.​</w:t>
            </w:r>
          </w:p>
        </w:tc>
        <w:tc>
          <w:tcPr>
            <w:tcW w:type="dxa" w:w="1680"/>
            <w:tcMar>
              <w:top w:type="dxa" w:w="200"/>
              <w:left w:type="dxa" w:w="100"/>
              <w:bottom w:type="dxa" w:w="200"/>
              <w:right w:type="dxa" w:w="100"/>
            </w:tcMar>
          </w:tcPr>
          <w:p>
            <w:r>
              <w:rPr>
                <w:sz w:val="18"/>
                <w:szCs w:val="18"/>
              </w:rPr>
              <w:t xml:space="preserve"/>
            </w:r>
          </w:p>
        </w:tc>
        <w:tc>
          <w:tcPr>
            <w:tcW w:type="dxa" w:w="840"/>
            <w:tcMar>
              <w:top w:type="dxa" w:w="200"/>
              <w:left w:type="dxa" w:w="100"/>
              <w:bottom w:type="dxa" w:w="200"/>
              <w:right w:type="dxa" w:w="100"/>
            </w:tcMar>
          </w:tcPr>
          <w:p>
            <w:r>
              <w:rPr>
                <w:sz w:val="18"/>
                <w:szCs w:val="18"/>
              </w:rPr>
              <w:t xml:space="preserve"/>
            </w:r>
          </w:p>
        </w:tc>
        <w:tc>
          <w:tcPr>
            <w:tcW w:type="dxa" w:w="1094"/>
            <w:tcMar>
              <w:top w:type="dxa" w:w="200"/>
              <w:left w:type="dxa" w:w="100"/>
              <w:bottom w:type="dxa" w:w="200"/>
              <w:right w:type="dxa" w:w="100"/>
            </w:tcMar>
          </w:tcPr>
          <w:p>
            <w:r>
              <w:rPr>
                <w:sz w:val="18"/>
                <w:szCs w:val="18"/>
              </w:rPr>
              <w:t xml:space="preserve"/>
            </w:r>
          </w:p>
        </w:tc>
      </w:tr>
      <w:tr>
        <w:tc>
          <w:tcPr>
            <w:tcW w:type="dxa" w:w="42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2</w:t>
            </w:r>
          </w:p>
        </w:tc>
        <w:tc>
          <w:tcPr>
            <w:tcW w:type="dxa" w:w="2856"/>
            <w:tcMar>
              <w:top w:type="dxa" w:w="80"/>
              <w:left w:type="dxa" w:w="100"/>
              <w:bottom w:type="dxa" w:w="80"/>
              <w:right w:type="dxa" w:w="100"/>
            </w:tcMar>
          </w:tcPr>
          <w:p>
            <w:pPr>
              <w:spacing w:after="40"/>
            </w:pPr>
            <w:r>
              <w:rPr>
                <w:sz w:val="18"/>
                <w:szCs w:val="18"/>
              </w:rPr>
              <w:t xml:space="preserve">On Laguna,​ run the same benchmark through the VQE path:​</w:t>
            </w:r>
          </w:p>
          <w:p>
            <w:pPr>
              <w:spacing w:after="40"/>
            </w:pPr>
            <w:r>
              <w:rPr>
                <w:rFonts w:ascii="Courier New" w:cs="Courier New" w:eastAsia="Courier New" w:hAnsi="Courier New"/>
                <w:sz w:val="18"/>
                <w:szCs w:val="18"/>
              </w:rPr>
              <w:t xml:space="preserve">python scripts/​laguna/​solange_​hpc.​py -​-​compound n2_​benchmark -​-​basis cc-​pvdz -​-​ncas 6 -​-​nelecas 6 -​-​vqe -​-​key N2_​BENCHMARK -​-​side native -​-​out .​/​out</w:t>
            </w:r>
          </w:p>
        </w:tc>
        <w:tc>
          <w:tcPr>
            <w:tcW w:type="dxa" w:w="2856"/>
            <w:tcMar>
              <w:top w:type="dxa" w:w="80"/>
              <w:left w:type="dxa" w:w="100"/>
              <w:bottom w:type="dxa" w:w="80"/>
              <w:right w:type="dxa" w:w="100"/>
            </w:tcMar>
          </w:tcPr>
          <w:p>
            <w:r>
              <w:rPr>
                <w:sz w:val="18"/>
                <w:szCs w:val="18"/>
              </w:rPr>
              <w:t xml:space="preserve">ΔE(VQE − exact) at or below chemical accuracy (1.​6 mHa) on the 12-​qubit Jordan-​Wigner encoding; expected ≈0.​47 mHa,​ matching the value already recorded on the platform's Compliance tab.​</w:t>
            </w:r>
          </w:p>
        </w:tc>
        <w:tc>
          <w:tcPr>
            <w:tcW w:type="dxa" w:w="1680"/>
            <w:tcMar>
              <w:top w:type="dxa" w:w="200"/>
              <w:left w:type="dxa" w:w="100"/>
              <w:bottom w:type="dxa" w:w="200"/>
              <w:right w:type="dxa" w:w="100"/>
            </w:tcMar>
          </w:tcPr>
          <w:p>
            <w:r>
              <w:rPr>
                <w:sz w:val="18"/>
                <w:szCs w:val="18"/>
              </w:rPr>
              <w:t xml:space="preserve"/>
            </w:r>
          </w:p>
        </w:tc>
        <w:tc>
          <w:tcPr>
            <w:tcW w:type="dxa" w:w="840"/>
            <w:tcMar>
              <w:top w:type="dxa" w:w="200"/>
              <w:left w:type="dxa" w:w="100"/>
              <w:bottom w:type="dxa" w:w="200"/>
              <w:right w:type="dxa" w:w="100"/>
            </w:tcMar>
          </w:tcPr>
          <w:p>
            <w:r>
              <w:rPr>
                <w:sz w:val="18"/>
                <w:szCs w:val="18"/>
              </w:rPr>
              <w:t xml:space="preserve"/>
            </w:r>
          </w:p>
        </w:tc>
        <w:tc>
          <w:tcPr>
            <w:tcW w:type="dxa" w:w="1094"/>
            <w:tcMar>
              <w:top w:type="dxa" w:w="200"/>
              <w:left w:type="dxa" w:w="100"/>
              <w:bottom w:type="dxa" w:w="200"/>
              <w:right w:type="dxa" w:w="100"/>
            </w:tcMar>
          </w:tcPr>
          <w:p>
            <w:r>
              <w:rPr>
                <w:sz w:val="18"/>
                <w:szCs w:val="18"/>
              </w:rPr>
              <w:t xml:space="preserve"/>
            </w:r>
          </w:p>
        </w:tc>
      </w:tr>
    </w:tbl>
    <w:p>
      <w:pPr>
        <w:pStyle w:val="Heading2"/>
        <w:spacing w:after="120" w:before="280"/>
      </w:pPr>
      <w:r>
        <w:rPr>
          <w:b/>
          <w:bCs/>
          <w:color w:val="0B1E3D"/>
        </w:rPr>
        <w:t xml:space="preserve">5.2  Quantum-Hardware Error Mitigation (traces to URS — no corresponding URS requirement; see Acceptance Criteria)</w:t>
      </w:r>
    </w:p>
    <w:p>
      <w:pPr>
        <w:spacing w:after="120"/>
      </w:pPr>
      <w:r>
        <w:rPr>
          <w:sz w:val="21"/>
          <w:szCs w:val="21"/>
        </w:rPr>
        <w:t xml:space="preserve">Objective: confirm the platform's own claim about its error-mitigation status is accurate. This step is expected to confirm ABSENCE, not presence — the platform's Compliance tab already states ZNE is not implemented, and this step exists to keep that statement honest rather than to demonstrate a passing feature.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2856"/>
        <w:gridCol w:w="2856"/>
        <w:gridCol w:w="1680"/>
        <w:gridCol w:w="840"/>
        <w:gridCol w:w="1094"/>
      </w:tblGrid>
      <w:tr>
        <w:trPr>
          <w:tblHeader/>
        </w:trPr>
        <w:tc>
          <w:tcPr>
            <w:tcW w:type="dxa" w:w="42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168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84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094"/>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42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2856"/>
            <w:tcMar>
              <w:top w:type="dxa" w:w="80"/>
              <w:left w:type="dxa" w:w="100"/>
              <w:bottom w:type="dxa" w:w="80"/>
              <w:right w:type="dxa" w:w="100"/>
            </w:tcMar>
          </w:tcPr>
          <w:p>
            <w:pPr>
              <w:spacing w:after="40"/>
            </w:pPr>
            <w:r>
              <w:rPr>
                <w:sz w:val="18"/>
                <w:szCs w:val="18"/>
              </w:rPr>
              <w:t xml:space="preserve">Search the codebase for a zero-​noise-​extrapolation implementation:​</w:t>
            </w:r>
          </w:p>
          <w:p>
            <w:pPr>
              <w:spacing w:after="40"/>
            </w:pPr>
            <w:r>
              <w:rPr>
                <w:rFonts w:ascii="Courier New" w:cs="Courier New" w:eastAsia="Courier New" w:hAnsi="Courier New"/>
                <w:sz w:val="18"/>
                <w:szCs w:val="18"/>
              </w:rPr>
              <w:t xml:space="preserve">grep -​rn "ZNE\|​zero.​noise\|​noise.​extrapolat" scripts/​laguna/​solange_​qpu.​py backend/​</w:t>
            </w:r>
          </w:p>
        </w:tc>
        <w:tc>
          <w:tcPr>
            <w:tcW w:type="dxa" w:w="2856"/>
            <w:tcMar>
              <w:top w:type="dxa" w:w="80"/>
              <w:left w:type="dxa" w:w="100"/>
              <w:bottom w:type="dxa" w:w="80"/>
              <w:right w:type="dxa" w:w="100"/>
            </w:tcMar>
          </w:tcPr>
          <w:p>
            <w:r>
              <w:rPr>
                <w:sz w:val="18"/>
                <w:szCs w:val="18"/>
              </w:rPr>
              <w:t xml:space="preserve">OPEN ITEM,​ by design:​ no ZNE implementation found.​ A real QPU run's P6 field (p6_​note) states "hardware smoke test — no error mitigation" /​ a raw estimator,​ consistent with no match here.​ Corrective action:​ implement ZNE + Pauli twirling (Phase 3B,​ per CLAUDE.​md),​ then re-​run this step expecting a match.​</w:t>
            </w:r>
          </w:p>
        </w:tc>
        <w:tc>
          <w:tcPr>
            <w:tcW w:type="dxa" w:w="1680"/>
            <w:tcMar>
              <w:top w:type="dxa" w:w="200"/>
              <w:left w:type="dxa" w:w="100"/>
              <w:bottom w:type="dxa" w:w="200"/>
              <w:right w:type="dxa" w:w="100"/>
            </w:tcMar>
          </w:tcPr>
          <w:p>
            <w:r>
              <w:rPr>
                <w:sz w:val="18"/>
                <w:szCs w:val="18"/>
              </w:rPr>
              <w:t xml:space="preserve"/>
            </w:r>
          </w:p>
        </w:tc>
        <w:tc>
          <w:tcPr>
            <w:tcW w:type="dxa" w:w="840"/>
            <w:tcMar>
              <w:top w:type="dxa" w:w="200"/>
              <w:left w:type="dxa" w:w="100"/>
              <w:bottom w:type="dxa" w:w="200"/>
              <w:right w:type="dxa" w:w="100"/>
            </w:tcMar>
          </w:tcPr>
          <w:p>
            <w:r>
              <w:rPr>
                <w:sz w:val="18"/>
                <w:szCs w:val="18"/>
              </w:rPr>
              <w:t xml:space="preserve"/>
            </w:r>
          </w:p>
        </w:tc>
        <w:tc>
          <w:tcPr>
            <w:tcW w:type="dxa" w:w="1094"/>
            <w:tcMar>
              <w:top w:type="dxa" w:w="200"/>
              <w:left w:type="dxa" w:w="100"/>
              <w:bottom w:type="dxa" w:w="200"/>
              <w:right w:type="dxa" w:w="100"/>
            </w:tcMar>
          </w:tcPr>
          <w:p>
            <w:r>
              <w:rPr>
                <w:sz w:val="18"/>
                <w:szCs w:val="18"/>
              </w:rPr>
              <w:t xml:space="preserve"/>
            </w:r>
          </w:p>
        </w:tc>
      </w:tr>
    </w:tbl>
    <w:p>
      <w:pPr>
        <w:pStyle w:val="Heading2"/>
        <w:spacing w:after="120" w:before="280"/>
      </w:pPr>
      <w:r>
        <w:rPr>
          <w:b/>
          <w:bCs/>
          <w:color w:val="0B1E3D"/>
        </w:rPr>
        <w:t xml:space="preserve">5.3  Audit Log Integrity (traces to URS-150, URS-160, URS-170)</w:t>
      </w:r>
    </w:p>
    <w:p>
      <w:pPr>
        <w:spacing w:after="120"/>
      </w:pPr>
      <w:r>
        <w:rPr>
          <w:sz w:val="21"/>
          <w:szCs w:val="21"/>
        </w:rPr>
        <w:t xml:space="preserve">Objective: confirm a stored run's cryptographic seal is independently re-verifiable, and that the audit ledger it derives from cannot be altered after the fact — not merely that it has not been altered.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2856"/>
        <w:gridCol w:w="2856"/>
        <w:gridCol w:w="1680"/>
        <w:gridCol w:w="840"/>
        <w:gridCol w:w="1094"/>
      </w:tblGrid>
      <w:tr>
        <w:trPr>
          <w:tblHeader/>
        </w:trPr>
        <w:tc>
          <w:tcPr>
            <w:tcW w:type="dxa" w:w="42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168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84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094"/>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42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2856"/>
            <w:tcMar>
              <w:top w:type="dxa" w:w="80"/>
              <w:left w:type="dxa" w:w="100"/>
              <w:bottom w:type="dxa" w:w="80"/>
              <w:right w:type="dxa" w:w="100"/>
            </w:tcMar>
          </w:tcPr>
          <w:p>
            <w:pPr>
              <w:spacing w:after="40"/>
            </w:pPr>
            <w:r>
              <w:rPr>
                <w:sz w:val="18"/>
                <w:szCs w:val="18"/>
              </w:rPr>
              <w:t xml:space="preserve">Pick any stored run's id from the HPC or QPU ladder and re-​verify its seal (the platform's "Verify" button,​ or directly):​</w:t>
            </w:r>
          </w:p>
          <w:p>
            <w:pPr>
              <w:spacing w:after="40"/>
            </w:pPr>
            <w:r>
              <w:rPr>
                <w:rFonts w:ascii="Courier New" w:cs="Courier New" w:eastAsia="Courier New" w:hAnsi="Courier New"/>
                <w:sz w:val="18"/>
                <w:szCs w:val="18"/>
              </w:rPr>
              <w:t xml:space="preserve">curl -​s https:​/​/​qcaihpc-​simulation-​api.​onrender.​com/​api/​simulate/​runs/​&lt;​RUN_​ID&gt;​/​verify</w:t>
            </w:r>
          </w:p>
        </w:tc>
        <w:tc>
          <w:tcPr>
            <w:tcW w:type="dxa" w:w="2856"/>
            <w:tcMar>
              <w:top w:type="dxa" w:w="80"/>
              <w:left w:type="dxa" w:w="100"/>
              <w:bottom w:type="dxa" w:w="80"/>
              <w:right w:type="dxa" w:w="100"/>
            </w:tcMar>
          </w:tcPr>
          <w:p>
            <w:r>
              <w:rPr>
                <w:sz w:val="18"/>
                <w:szCs w:val="18"/>
              </w:rPr>
              <w:t xml:space="preserve">Recomputed P8 hash matches the stored p8_​hash; response reports seal_​ok=​true.​</w:t>
            </w:r>
          </w:p>
        </w:tc>
        <w:tc>
          <w:tcPr>
            <w:tcW w:type="dxa" w:w="1680"/>
            <w:tcMar>
              <w:top w:type="dxa" w:w="200"/>
              <w:left w:type="dxa" w:w="100"/>
              <w:bottom w:type="dxa" w:w="200"/>
              <w:right w:type="dxa" w:w="100"/>
            </w:tcMar>
          </w:tcPr>
          <w:p>
            <w:r>
              <w:rPr>
                <w:sz w:val="18"/>
                <w:szCs w:val="18"/>
              </w:rPr>
              <w:t xml:space="preserve"/>
            </w:r>
          </w:p>
        </w:tc>
        <w:tc>
          <w:tcPr>
            <w:tcW w:type="dxa" w:w="840"/>
            <w:tcMar>
              <w:top w:type="dxa" w:w="200"/>
              <w:left w:type="dxa" w:w="100"/>
              <w:bottom w:type="dxa" w:w="200"/>
              <w:right w:type="dxa" w:w="100"/>
            </w:tcMar>
          </w:tcPr>
          <w:p>
            <w:r>
              <w:rPr>
                <w:sz w:val="18"/>
                <w:szCs w:val="18"/>
              </w:rPr>
              <w:t xml:space="preserve"/>
            </w:r>
          </w:p>
        </w:tc>
        <w:tc>
          <w:tcPr>
            <w:tcW w:type="dxa" w:w="1094"/>
            <w:tcMar>
              <w:top w:type="dxa" w:w="200"/>
              <w:left w:type="dxa" w:w="100"/>
              <w:bottom w:type="dxa" w:w="200"/>
              <w:right w:type="dxa" w:w="100"/>
            </w:tcMar>
          </w:tcPr>
          <w:p>
            <w:r>
              <w:rPr>
                <w:sz w:val="18"/>
                <w:szCs w:val="18"/>
              </w:rPr>
              <w:t xml:space="preserve"/>
            </w:r>
          </w:p>
        </w:tc>
      </w:tr>
      <w:tr>
        <w:tc>
          <w:tcPr>
            <w:tcW w:type="dxa" w:w="42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2</w:t>
            </w:r>
          </w:p>
        </w:tc>
        <w:tc>
          <w:tcPr>
            <w:tcW w:type="dxa" w:w="2856"/>
            <w:tcMar>
              <w:top w:type="dxa" w:w="80"/>
              <w:left w:type="dxa" w:w="100"/>
              <w:bottom w:type="dxa" w:w="80"/>
              <w:right w:type="dxa" w:w="100"/>
            </w:tcMar>
          </w:tcPr>
          <w:p>
            <w:pPr>
              <w:spacing w:after="40"/>
            </w:pPr>
            <w:r>
              <w:rPr>
                <w:sz w:val="18"/>
                <w:szCs w:val="18"/>
              </w:rPr>
              <w:t xml:space="preserve">Inspect the leon_​audit table's access policy and every code path that writes to it:​</w:t>
            </w:r>
          </w:p>
          <w:p>
            <w:pPr>
              <w:spacing w:after="40"/>
            </w:pPr>
            <w:r>
              <w:rPr>
                <w:rFonts w:ascii="Courier New" w:cs="Courier New" w:eastAsia="Courier New" w:hAnsi="Courier New"/>
                <w:sz w:val="18"/>
                <w:szCs w:val="18"/>
              </w:rPr>
              <w:t xml:space="preserve">grep -​n "leon_​audit" backend/​routes/​leon.​py backend/​migrations/​2026-​07-​10_​leon_​audit.​sql</w:t>
            </w:r>
          </w:p>
        </w:tc>
        <w:tc>
          <w:tcPr>
            <w:tcW w:type="dxa" w:w="2856"/>
            <w:tcMar>
              <w:top w:type="dxa" w:w="80"/>
              <w:left w:type="dxa" w:w="100"/>
              <w:bottom w:type="dxa" w:w="80"/>
              <w:right w:type="dxa" w:w="100"/>
            </w:tcMar>
          </w:tcPr>
          <w:p>
            <w:r>
              <w:rPr>
                <w:sz w:val="18"/>
                <w:szCs w:val="18"/>
              </w:rPr>
              <w:t xml:space="preserve">Only an INSERT policy (leon_​audit_​insert) and a READ policy (leon_​audit_​read) are defined at the database level — no UPDATE or DELETE policy exists.​ leon.​py contains exactly one write to this table (.​insert()); no .​update() or .​delete() call exists anywhere in the codebase against it.​</w:t>
            </w:r>
          </w:p>
        </w:tc>
        <w:tc>
          <w:tcPr>
            <w:tcW w:type="dxa" w:w="1680"/>
            <w:tcMar>
              <w:top w:type="dxa" w:w="200"/>
              <w:left w:type="dxa" w:w="100"/>
              <w:bottom w:type="dxa" w:w="200"/>
              <w:right w:type="dxa" w:w="100"/>
            </w:tcMar>
          </w:tcPr>
          <w:p>
            <w:r>
              <w:rPr>
                <w:sz w:val="18"/>
                <w:szCs w:val="18"/>
              </w:rPr>
              <w:t xml:space="preserve"/>
            </w:r>
          </w:p>
        </w:tc>
        <w:tc>
          <w:tcPr>
            <w:tcW w:type="dxa" w:w="840"/>
            <w:tcMar>
              <w:top w:type="dxa" w:w="200"/>
              <w:left w:type="dxa" w:w="100"/>
              <w:bottom w:type="dxa" w:w="200"/>
              <w:right w:type="dxa" w:w="100"/>
            </w:tcMar>
          </w:tcPr>
          <w:p>
            <w:r>
              <w:rPr>
                <w:sz w:val="18"/>
                <w:szCs w:val="18"/>
              </w:rPr>
              <w:t xml:space="preserve"/>
            </w:r>
          </w:p>
        </w:tc>
        <w:tc>
          <w:tcPr>
            <w:tcW w:type="dxa" w:w="1094"/>
            <w:tcMar>
              <w:top w:type="dxa" w:w="200"/>
              <w:left w:type="dxa" w:w="100"/>
              <w:bottom w:type="dxa" w:w="200"/>
              <w:right w:type="dxa" w:w="100"/>
            </w:tcMar>
          </w:tcPr>
          <w:p>
            <w:r>
              <w:rPr>
                <w:sz w:val="18"/>
                <w:szCs w:val="18"/>
              </w:rPr>
              <w:t xml:space="preserve"/>
            </w:r>
          </w:p>
        </w:tc>
      </w:tr>
    </w:tbl>
    <w:p>
      <w:pPr>
        <w:pStyle w:val="Heading2"/>
        <w:spacing w:after="120" w:before="280"/>
      </w:pPr>
      <w:r>
        <w:rPr>
          <w:b/>
          <w:bCs/>
          <w:color w:val="0B1E3D"/>
        </w:rPr>
        <w:t xml:space="preserve">5.4  Backend Failover (traces to URS — no corresponding URS requirement; infrastructure not yet built)</w:t>
      </w:r>
    </w:p>
    <w:p>
      <w:pPr>
        <w:spacing w:after="120"/>
      </w:pPr>
      <w:r>
        <w:rPr>
          <w:sz w:val="21"/>
          <w:szCs w:val="21"/>
        </w:rPr>
        <w:t xml:space="preserve">Objective: confirm the platform continues to serve notarization and dispatch if the primary backend instance becomes unavailable.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2856"/>
        <w:gridCol w:w="2856"/>
        <w:gridCol w:w="1680"/>
        <w:gridCol w:w="840"/>
        <w:gridCol w:w="1094"/>
      </w:tblGrid>
      <w:tr>
        <w:trPr>
          <w:tblHeader/>
        </w:trPr>
        <w:tc>
          <w:tcPr>
            <w:tcW w:type="dxa" w:w="42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2856"/>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168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84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094"/>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42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2856"/>
            <w:tcMar>
              <w:top w:type="dxa" w:w="80"/>
              <w:left w:type="dxa" w:w="100"/>
              <w:bottom w:type="dxa" w:w="80"/>
              <w:right w:type="dxa" w:w="100"/>
            </w:tcMar>
          </w:tcPr>
          <w:p>
            <w:pPr>
              <w:spacing w:after="40"/>
            </w:pPr>
            <w:r>
              <w:rPr>
                <w:sz w:val="18"/>
                <w:szCs w:val="18"/>
              </w:rPr>
              <w:t xml:space="preserve">No test executed — the backend is deployed as a single Render Web Service today (§08 Limitations),​ with no redundant instance to fail over to.​</w:t>
            </w:r>
          </w:p>
        </w:tc>
        <w:tc>
          <w:tcPr>
            <w:tcW w:type="dxa" w:w="2856"/>
            <w:tcMar>
              <w:top w:type="dxa" w:w="80"/>
              <w:left w:type="dxa" w:w="100"/>
              <w:bottom w:type="dxa" w:w="80"/>
              <w:right w:type="dxa" w:w="100"/>
            </w:tcMar>
          </w:tcPr>
          <w:p>
            <w:r>
              <w:rPr>
                <w:sz w:val="18"/>
                <w:szCs w:val="18"/>
              </w:rPr>
              <w:t xml:space="preserve">OPEN ITEM:​ not testable in the current deployment topology.​ Corrective action:​ provision a redundant backend instance (or Render's own managed failover,​ if adopted) and define a failover test plan before this item can move from OPEN to a real Pass/​Fail.​</w:t>
            </w:r>
          </w:p>
        </w:tc>
        <w:tc>
          <w:tcPr>
            <w:tcW w:type="dxa" w:w="1680"/>
            <w:tcMar>
              <w:top w:type="dxa" w:w="200"/>
              <w:left w:type="dxa" w:w="100"/>
              <w:bottom w:type="dxa" w:w="200"/>
              <w:right w:type="dxa" w:w="100"/>
            </w:tcMar>
          </w:tcPr>
          <w:p>
            <w:r>
              <w:rPr>
                <w:sz w:val="18"/>
                <w:szCs w:val="18"/>
              </w:rPr>
              <w:t xml:space="preserve"/>
            </w:r>
          </w:p>
        </w:tc>
        <w:tc>
          <w:tcPr>
            <w:tcW w:type="dxa" w:w="840"/>
            <w:tcMar>
              <w:top w:type="dxa" w:w="200"/>
              <w:left w:type="dxa" w:w="100"/>
              <w:bottom w:type="dxa" w:w="200"/>
              <w:right w:type="dxa" w:w="100"/>
            </w:tcMar>
          </w:tcPr>
          <w:p>
            <w:r>
              <w:rPr>
                <w:sz w:val="18"/>
                <w:szCs w:val="18"/>
              </w:rPr>
              <w:t xml:space="preserve"/>
            </w:r>
          </w:p>
        </w:tc>
        <w:tc>
          <w:tcPr>
            <w:tcW w:type="dxa" w:w="1094"/>
            <w:tcMar>
              <w:top w:type="dxa" w:w="200"/>
              <w:left w:type="dxa" w:w="100"/>
              <w:bottom w:type="dxa" w:w="200"/>
              <w:right w:type="dxa" w:w="100"/>
            </w:tcMar>
          </w:tcPr>
          <w:p>
            <w:r>
              <w:rPr>
                <w:sz w:val="18"/>
                <w:szCs w:val="18"/>
              </w:rPr>
              <w:t xml:space="preserve"/>
            </w:r>
          </w:p>
        </w:tc>
      </w:tr>
    </w:tbl>
    <w:p>
      <w:pPr>
        <w:pStyle w:val="Heading1"/>
        <w:spacing w:after="120" w:before="280"/>
      </w:pPr>
      <w:r>
        <w:rPr>
          <w:b/>
          <w:bCs/>
          <w:color w:val="0B1E3D"/>
        </w:rPr>
        <w:t xml:space="preserve">6. Acceptance Criteria</w:t>
      </w:r>
    </w:p>
    <w:p>
      <w:pPr>
        <w:spacing w:after="120"/>
      </w:pPr>
      <w:r>
        <w:rPr>
          <w:sz w:val="21"/>
          <w:szCs w:val="21"/>
        </w:rPr>
        <w:t xml:space="preserve">Section 5.1 and 5.3 record Pass on every step, or a logged deviation with corrective action (Section 7). Sections 5.2 and 5.4 are OPEN ITEMS by design — this protocol is signed with them open, on the basis that they are honestly disclosed and each carries a stated corrective action, not on the basis that they have been resolved. Any unresolved deviation in §5.1 or §5.3 blocks sign-off of this protocol; PQ may not commence against an unsigned OQ.</w:t>
      </w:r>
    </w:p>
    <w:p>
      <w:pPr>
        <w:pStyle w:val="Heading1"/>
        <w:spacing w:after="120" w:before="280"/>
      </w:pPr>
      <w:r>
        <w:rPr>
          <w:b/>
          <w:bCs/>
          <w:color w:val="0B1E3D"/>
        </w:rPr>
        <w:t xml:space="preserve">7. Deviations</w:t>
      </w:r>
    </w:p>
    <w:p>
      <w:pPr>
        <w:spacing w:after="120"/>
      </w:pPr>
      <w:r>
        <w:rPr>
          <w:sz w:val="21"/>
          <w:szCs w:val="21"/>
        </w:rPr>
        <w:t xml:space="preserve">Record any step whose actual result did not match its expected result. Leave blank if none occurred.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6"/>
        <w:gridCol w:w="3374"/>
        <w:gridCol w:w="3374"/>
        <w:gridCol w:w="2342"/>
      </w:tblGrid>
      <w:tr>
        <w:tc>
          <w:tcPr>
            <w:tcW w:type="dxa" w:w="656"/>
            <w:shd w:fill="0B1E3D" w:val="clear"/>
            <w:tcMar>
              <w:top w:type="dxa" w:w="80"/>
              <w:left w:type="dxa" w:w="100"/>
              <w:bottom w:type="dxa" w:w="80"/>
              <w:right w:type="dxa" w:w="100"/>
            </w:tcMar>
            <w:vAlign w:val="center"/>
          </w:tcPr>
          <w:p>
            <w:pPr>
              <w:jc w:val="center"/>
            </w:pPr>
            <w:r>
              <w:rPr>
                <w:b/>
                <w:bCs/>
                <w:color w:val="FFFFFF"/>
                <w:sz w:val="18"/>
                <w:szCs w:val="18"/>
              </w:rPr>
              <w:t xml:space="preserve">Step #</w:t>
            </w:r>
          </w:p>
        </w:tc>
        <w:tc>
          <w:tcPr>
            <w:tcW w:type="dxa" w:w="3374"/>
            <w:shd w:fill="0B1E3D" w:val="clear"/>
            <w:tcMar>
              <w:top w:type="dxa" w:w="80"/>
              <w:left w:type="dxa" w:w="100"/>
              <w:bottom w:type="dxa" w:w="80"/>
              <w:right w:type="dxa" w:w="100"/>
            </w:tcMar>
            <w:vAlign w:val="center"/>
          </w:tcPr>
          <w:p>
            <w:pPr>
              <w:jc w:val="left"/>
            </w:pPr>
            <w:r>
              <w:rPr>
                <w:b/>
                <w:bCs/>
                <w:color w:val="FFFFFF"/>
                <w:sz w:val="18"/>
                <w:szCs w:val="18"/>
              </w:rPr>
              <w:t xml:space="preserve">Description of Deviation</w:t>
            </w:r>
          </w:p>
        </w:tc>
        <w:tc>
          <w:tcPr>
            <w:tcW w:type="dxa" w:w="3374"/>
            <w:shd w:fill="0B1E3D" w:val="clear"/>
            <w:tcMar>
              <w:top w:type="dxa" w:w="80"/>
              <w:left w:type="dxa" w:w="100"/>
              <w:bottom w:type="dxa" w:w="80"/>
              <w:right w:type="dxa" w:w="100"/>
            </w:tcMar>
            <w:vAlign w:val="center"/>
          </w:tcPr>
          <w:p>
            <w:pPr>
              <w:jc w:val="left"/>
            </w:pPr>
            <w:r>
              <w:rPr>
                <w:b/>
                <w:bCs/>
                <w:color w:val="FFFFFF"/>
                <w:sz w:val="18"/>
                <w:szCs w:val="18"/>
              </w:rPr>
              <w:t xml:space="preserve">Disposition /​ Corrective Action</w:t>
            </w:r>
          </w:p>
        </w:tc>
        <w:tc>
          <w:tcPr>
            <w:tcW w:type="dxa" w:w="2342"/>
            <w:shd w:fill="0B1E3D" w:val="clear"/>
            <w:tcMar>
              <w:top w:type="dxa" w:w="80"/>
              <w:left w:type="dxa" w:w="100"/>
              <w:bottom w:type="dxa" w:w="80"/>
              <w:right w:type="dxa" w:w="100"/>
            </w:tcMar>
            <w:vAlign w:val="center"/>
          </w:tcPr>
          <w:p>
            <w:pPr>
              <w:jc w:val="left"/>
            </w:pPr>
            <w:r>
              <w:rPr>
                <w:b/>
                <w:bCs/>
                <w:color w:val="FFFFFF"/>
                <w:sz w:val="18"/>
                <w:szCs w:val="18"/>
              </w:rPr>
              <w:t xml:space="preserve">Approved By /​ Date</w:t>
            </w:r>
          </w:p>
        </w:tc>
      </w:tr>
      <w:tr>
        <w:tc>
          <w:tcPr>
            <w:tcW w:type="dxa" w:w="656"/>
            <w:tcMar>
              <w:top w:type="dxa" w:w="200"/>
              <w:left w:type="dxa" w:w="100"/>
              <w:bottom w:type="dxa" w:w="200"/>
              <w:right w:type="dxa" w:w="100"/>
            </w:tcMar>
          </w:tcPr>
          <w:p>
            <w:r>
              <w:rPr>
                <w:sz w:val="18"/>
                <w:szCs w:val="18"/>
              </w:rPr>
              <w:t xml:space="preserve"/>
            </w:r>
          </w:p>
        </w:tc>
        <w:tc>
          <w:tcPr>
            <w:tcW w:type="dxa" w:w="3374"/>
            <w:tcMar>
              <w:top w:type="dxa" w:w="200"/>
              <w:left w:type="dxa" w:w="100"/>
              <w:bottom w:type="dxa" w:w="200"/>
              <w:right w:type="dxa" w:w="100"/>
            </w:tcMar>
          </w:tcPr>
          <w:p>
            <w:r>
              <w:rPr>
                <w:sz w:val="18"/>
                <w:szCs w:val="18"/>
              </w:rPr>
              <w:t xml:space="preserve"/>
            </w:r>
          </w:p>
        </w:tc>
        <w:tc>
          <w:tcPr>
            <w:tcW w:type="dxa" w:w="3374"/>
            <w:tcMar>
              <w:top w:type="dxa" w:w="200"/>
              <w:left w:type="dxa" w:w="100"/>
              <w:bottom w:type="dxa" w:w="200"/>
              <w:right w:type="dxa" w:w="100"/>
            </w:tcMar>
          </w:tcPr>
          <w:p>
            <w:r>
              <w:rPr>
                <w:sz w:val="18"/>
                <w:szCs w:val="18"/>
              </w:rPr>
              <w:t xml:space="preserve"/>
            </w:r>
          </w:p>
        </w:tc>
        <w:tc>
          <w:tcPr>
            <w:tcW w:type="dxa" w:w="2342"/>
            <w:tcMar>
              <w:top w:type="dxa" w:w="200"/>
              <w:left w:type="dxa" w:w="100"/>
              <w:bottom w:type="dxa" w:w="200"/>
              <w:right w:type="dxa" w:w="100"/>
            </w:tcMar>
          </w:tcPr>
          <w:p>
            <w:r>
              <w:rPr>
                <w:sz w:val="18"/>
                <w:szCs w:val="18"/>
              </w:rPr>
              <w:t xml:space="preserve"/>
            </w:r>
          </w:p>
        </w:tc>
      </w:tr>
      <w:tr>
        <w:tc>
          <w:tcPr>
            <w:tcW w:type="dxa" w:w="656"/>
            <w:tcMar>
              <w:top w:type="dxa" w:w="200"/>
              <w:left w:type="dxa" w:w="100"/>
              <w:bottom w:type="dxa" w:w="200"/>
              <w:right w:type="dxa" w:w="100"/>
            </w:tcMar>
          </w:tcPr>
          <w:p>
            <w:r>
              <w:rPr>
                <w:sz w:val="18"/>
                <w:szCs w:val="18"/>
              </w:rPr>
              <w:t xml:space="preserve"/>
            </w:r>
          </w:p>
        </w:tc>
        <w:tc>
          <w:tcPr>
            <w:tcW w:type="dxa" w:w="3374"/>
            <w:tcMar>
              <w:top w:type="dxa" w:w="200"/>
              <w:left w:type="dxa" w:w="100"/>
              <w:bottom w:type="dxa" w:w="200"/>
              <w:right w:type="dxa" w:w="100"/>
            </w:tcMar>
          </w:tcPr>
          <w:p>
            <w:r>
              <w:rPr>
                <w:sz w:val="18"/>
                <w:szCs w:val="18"/>
              </w:rPr>
              <w:t xml:space="preserve"/>
            </w:r>
          </w:p>
        </w:tc>
        <w:tc>
          <w:tcPr>
            <w:tcW w:type="dxa" w:w="3374"/>
            <w:tcMar>
              <w:top w:type="dxa" w:w="200"/>
              <w:left w:type="dxa" w:w="100"/>
              <w:bottom w:type="dxa" w:w="200"/>
              <w:right w:type="dxa" w:w="100"/>
            </w:tcMar>
          </w:tcPr>
          <w:p>
            <w:r>
              <w:rPr>
                <w:sz w:val="18"/>
                <w:szCs w:val="18"/>
              </w:rPr>
              <w:t xml:space="preserve"/>
            </w:r>
          </w:p>
        </w:tc>
        <w:tc>
          <w:tcPr>
            <w:tcW w:type="dxa" w:w="2342"/>
            <w:tcMar>
              <w:top w:type="dxa" w:w="200"/>
              <w:left w:type="dxa" w:w="100"/>
              <w:bottom w:type="dxa" w:w="200"/>
              <w:right w:type="dxa" w:w="100"/>
            </w:tcMar>
          </w:tcPr>
          <w:p>
            <w:r>
              <w:rPr>
                <w:sz w:val="18"/>
                <w:szCs w:val="18"/>
              </w:rPr>
              <w:t xml:space="preserve"/>
            </w:r>
          </w:p>
        </w:tc>
      </w:tr>
      <w:tr>
        <w:tc>
          <w:tcPr>
            <w:tcW w:type="dxa" w:w="656"/>
            <w:tcMar>
              <w:top w:type="dxa" w:w="200"/>
              <w:left w:type="dxa" w:w="100"/>
              <w:bottom w:type="dxa" w:w="200"/>
              <w:right w:type="dxa" w:w="100"/>
            </w:tcMar>
          </w:tcPr>
          <w:p>
            <w:r>
              <w:rPr>
                <w:sz w:val="18"/>
                <w:szCs w:val="18"/>
              </w:rPr>
              <w:t xml:space="preserve"/>
            </w:r>
          </w:p>
        </w:tc>
        <w:tc>
          <w:tcPr>
            <w:tcW w:type="dxa" w:w="3374"/>
            <w:tcMar>
              <w:top w:type="dxa" w:w="200"/>
              <w:left w:type="dxa" w:w="100"/>
              <w:bottom w:type="dxa" w:w="200"/>
              <w:right w:type="dxa" w:w="100"/>
            </w:tcMar>
          </w:tcPr>
          <w:p>
            <w:r>
              <w:rPr>
                <w:sz w:val="18"/>
                <w:szCs w:val="18"/>
              </w:rPr>
              <w:t xml:space="preserve"/>
            </w:r>
          </w:p>
        </w:tc>
        <w:tc>
          <w:tcPr>
            <w:tcW w:type="dxa" w:w="3374"/>
            <w:tcMar>
              <w:top w:type="dxa" w:w="200"/>
              <w:left w:type="dxa" w:w="100"/>
              <w:bottom w:type="dxa" w:w="200"/>
              <w:right w:type="dxa" w:w="100"/>
            </w:tcMar>
          </w:tcPr>
          <w:p>
            <w:r>
              <w:rPr>
                <w:sz w:val="18"/>
                <w:szCs w:val="18"/>
              </w:rPr>
              <w:t xml:space="preserve"/>
            </w:r>
          </w:p>
        </w:tc>
        <w:tc>
          <w:tcPr>
            <w:tcW w:type="dxa" w:w="2342"/>
            <w:tcMar>
              <w:top w:type="dxa" w:w="200"/>
              <w:left w:type="dxa" w:w="100"/>
              <w:bottom w:type="dxa" w:w="200"/>
              <w:right w:type="dxa" w:w="100"/>
            </w:tcMar>
          </w:tcPr>
          <w:p>
            <w:r>
              <w:rPr>
                <w:sz w:val="18"/>
                <w:szCs w:val="18"/>
              </w:rPr>
              <w:t xml:space="preserve"/>
            </w:r>
          </w:p>
        </w:tc>
      </w:tr>
    </w:tbl>
    <w:p>
      <w:pPr>
        <w:pStyle w:val="Heading1"/>
        <w:spacing w:after="120" w:before="280"/>
      </w:pPr>
      <w:r>
        <w:rPr>
          <w:b/>
          <w:bCs/>
          <w:color w:val="0B1E3D"/>
        </w:rPr>
        <w:t xml:space="preserve">8. Approval</w:t>
      </w:r>
    </w:p>
    <w:p>
      <w:pPr>
        <w:spacing w:after="120"/>
      </w:pPr>
      <w:r>
        <w:rPr>
          <w:sz w:val="21"/>
          <w:szCs w:val="21"/>
        </w:rPr>
        <w:t xml:space="preserve">Signing below attests that the steps in Section 5 were performed as written, their actual results are recorded accurately, the two OPEN ITEMS (§5.2, §5.4) are knowingly accepted as open rather than concealed, and any deviation is dispositioned in Section 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8"/>
      </w:tblGrid>
      <w:tr>
        <w:tc>
          <w:tcPr>
            <w:tcW w:type="dxa" w:w="3249"/>
            <w:shd w:fill="0B1E3D" w:val="clear"/>
            <w:tcMar>
              <w:top w:type="dxa" w:w="80"/>
              <w:left w:type="dxa" w:w="100"/>
              <w:bottom w:type="dxa" w:w="80"/>
              <w:right w:type="dxa" w:w="100"/>
            </w:tcMar>
            <w:vAlign w:val="center"/>
          </w:tcPr>
          <w:p>
            <w:pPr>
              <w:jc w:val="left"/>
            </w:pPr>
            <w:r>
              <w:rPr>
                <w:b/>
                <w:bCs/>
                <w:color w:val="FFFFFF"/>
                <w:sz w:val="18"/>
                <w:szCs w:val="18"/>
              </w:rPr>
              <w:t xml:space="preserve">Role</w:t>
            </w:r>
          </w:p>
        </w:tc>
        <w:tc>
          <w:tcPr>
            <w:tcW w:type="dxa" w:w="3249"/>
            <w:shd w:fill="0B1E3D" w:val="clear"/>
            <w:tcMar>
              <w:top w:type="dxa" w:w="80"/>
              <w:left w:type="dxa" w:w="100"/>
              <w:bottom w:type="dxa" w:w="80"/>
              <w:right w:type="dxa" w:w="100"/>
            </w:tcMar>
            <w:vAlign w:val="center"/>
          </w:tcPr>
          <w:p>
            <w:pPr>
              <w:jc w:val="left"/>
            </w:pPr>
            <w:r>
              <w:rPr>
                <w:b/>
                <w:bCs/>
                <w:color w:val="FFFFFF"/>
                <w:sz w:val="18"/>
                <w:szCs w:val="18"/>
              </w:rPr>
              <w:t xml:space="preserve">Name /​ Signature</w:t>
            </w:r>
          </w:p>
        </w:tc>
        <w:tc>
          <w:tcPr>
            <w:tcW w:type="dxa" w:w="3248"/>
            <w:shd w:fill="0B1E3D" w:val="clear"/>
            <w:tcMar>
              <w:top w:type="dxa" w:w="80"/>
              <w:left w:type="dxa" w:w="100"/>
              <w:bottom w:type="dxa" w:w="80"/>
              <w:right w:type="dxa" w:w="100"/>
            </w:tcMar>
            <w:vAlign w:val="center"/>
          </w:tcPr>
          <w:p>
            <w:pPr>
              <w:jc w:val="left"/>
            </w:pPr>
            <w:r>
              <w:rPr>
                <w:b/>
                <w:bCs/>
                <w:color w:val="FFFFFF"/>
                <w:sz w:val="18"/>
                <w:szCs w:val="18"/>
              </w:rPr>
              <w:t xml:space="preserve">Date</w:t>
            </w:r>
          </w:p>
        </w:tc>
      </w:tr>
      <w:tr>
        <w:tc>
          <w:tcPr>
            <w:tcW w:type="dxa" w:w="3249"/>
            <w:shd w:fill="F1F5F9" w:val="clear"/>
            <w:tcMar>
              <w:top w:type="dxa" w:w="80"/>
              <w:left w:type="dxa" w:w="100"/>
              <w:bottom w:type="dxa" w:w="80"/>
              <w:right w:type="dxa" w:w="100"/>
            </w:tcMar>
            <w:vAlign w:val="center"/>
          </w:tcPr>
          <w:p>
            <w:pPr>
              <w:jc w:val="left"/>
            </w:pPr>
            <w:r>
              <w:rPr>
                <w:b/>
                <w:bCs/>
                <w:color w:val="000000"/>
                <w:sz w:val="18"/>
                <w:szCs w:val="18"/>
              </w:rPr>
              <w:t xml:space="preserve">Performed by</w:t>
            </w:r>
          </w:p>
        </w:tc>
        <w:tc>
          <w:tcPr>
            <w:tcW w:type="dxa" w:w="3249"/>
            <w:tcMar>
              <w:top w:type="dxa" w:w="200"/>
              <w:left w:type="dxa" w:w="100"/>
              <w:bottom w:type="dxa" w:w="200"/>
              <w:right w:type="dxa" w:w="100"/>
            </w:tcMar>
          </w:tcPr>
          <w:p>
            <w:r>
              <w:rPr>
                <w:sz w:val="18"/>
                <w:szCs w:val="18"/>
              </w:rPr>
              <w:t xml:space="preserve"/>
            </w:r>
          </w:p>
        </w:tc>
        <w:tc>
          <w:tcPr>
            <w:tcW w:type="dxa" w:w="3248"/>
            <w:tcMar>
              <w:top w:type="dxa" w:w="200"/>
              <w:left w:type="dxa" w:w="100"/>
              <w:bottom w:type="dxa" w:w="200"/>
              <w:right w:type="dxa" w:w="100"/>
            </w:tcMar>
          </w:tcPr>
          <w:p>
            <w:r>
              <w:rPr>
                <w:sz w:val="18"/>
                <w:szCs w:val="18"/>
              </w:rPr>
              <w:t xml:space="preserve"/>
            </w:r>
          </w:p>
        </w:tc>
      </w:tr>
      <w:tr>
        <w:tc>
          <w:tcPr>
            <w:tcW w:type="dxa" w:w="3249"/>
            <w:shd w:fill="F1F5F9" w:val="clear"/>
            <w:tcMar>
              <w:top w:type="dxa" w:w="80"/>
              <w:left w:type="dxa" w:w="100"/>
              <w:bottom w:type="dxa" w:w="80"/>
              <w:right w:type="dxa" w:w="100"/>
            </w:tcMar>
            <w:vAlign w:val="center"/>
          </w:tcPr>
          <w:p>
            <w:pPr>
              <w:jc w:val="left"/>
            </w:pPr>
            <w:r>
              <w:rPr>
                <w:b/>
                <w:bCs/>
                <w:color w:val="000000"/>
                <w:sz w:val="18"/>
                <w:szCs w:val="18"/>
              </w:rPr>
              <w:t xml:space="preserve">Reviewed /​ Approved by</w:t>
            </w:r>
          </w:p>
        </w:tc>
        <w:tc>
          <w:tcPr>
            <w:tcW w:type="dxa" w:w="3249"/>
            <w:tcMar>
              <w:top w:type="dxa" w:w="200"/>
              <w:left w:type="dxa" w:w="100"/>
              <w:bottom w:type="dxa" w:w="200"/>
              <w:right w:type="dxa" w:w="100"/>
            </w:tcMar>
          </w:tcPr>
          <w:p>
            <w:r>
              <w:rPr>
                <w:sz w:val="18"/>
                <w:szCs w:val="18"/>
              </w:rPr>
              <w:t xml:space="preserve"/>
            </w:r>
          </w:p>
        </w:tc>
        <w:tc>
          <w:tcPr>
            <w:tcW w:type="dxa" w:w="3248"/>
            <w:tcMar>
              <w:top w:type="dxa" w:w="200"/>
              <w:left w:type="dxa" w:w="100"/>
              <w:bottom w:type="dxa" w:w="200"/>
              <w:right w:type="dxa" w:w="100"/>
            </w:tcMar>
          </w:tcPr>
          <w:p>
            <w:r>
              <w:rPr>
                <w:sz w:val="18"/>
                <w:szCs w:val="18"/>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2026-08-05T10:32:38.341Z</dcterms:created>
  <dcterms:modified xsi:type="dcterms:W3CDTF">2026-08-05T10:32:38.359Z</dcterms:modified>
</cp:coreProperties>
</file>

<file path=docProps/custom.xml><?xml version="1.0" encoding="utf-8"?>
<Properties xmlns="http://schemas.openxmlformats.org/officeDocument/2006/custom-properties" xmlns:vt="http://schemas.openxmlformats.org/officeDocument/2006/docPropsVTypes"/>
</file>