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B1E3D"/>
          <w:sz w:val="36"/>
          <w:szCs w:val="36"/>
        </w:rPr>
        <w:t xml:space="preserve">SOLANGE™</w:t>
      </w:r>
    </w:p>
    <w:p>
      <w:pPr>
        <w:spacing w:after="260"/>
        <w:jc w:val="center"/>
      </w:pPr>
      <w:r>
        <w:rPr>
          <w:b/>
          <w:bCs/>
          <w:color w:val="06B6D4"/>
          <w:sz w:val="30"/>
          <w:szCs w:val="30"/>
        </w:rPr>
        <w:t xml:space="preserve">Requirements Traceability Matrix (RTM)</w:t>
      </w:r>
    </w:p>
    <w:p>
      <w:pPr>
        <w:spacing w:after="50"/>
      </w:pPr>
      <w:r>
        <w:rPr>
          <w:b/>
          <w:bCs/>
          <w:sz w:val="20"/>
          <w:szCs w:val="20"/>
        </w:rPr>
        <w:t xml:space="preserve">Document ID: </w:t>
      </w:r>
      <w:r>
        <w:rPr>
          <w:sz w:val="20"/>
          <w:szCs w:val="20"/>
        </w:rPr>
        <w:t xml:space="preserve">RTM-2026-001</w:t>
      </w:r>
    </w:p>
    <w:p>
      <w:pPr>
        <w:spacing w:after="50"/>
      </w:pPr>
      <w:r>
        <w:rPr>
          <w:b/>
          <w:bCs/>
          <w:sz w:val="20"/>
          <w:szCs w:val="20"/>
        </w:rPr>
        <w:t xml:space="preserve">Version: </w:t>
      </w:r>
      <w:r>
        <w:rPr>
          <w:sz w:val="20"/>
          <w:szCs w:val="20"/>
        </w:rPr>
        <w:t xml:space="preserve">1.0</w:t>
      </w:r>
    </w:p>
    <w:p>
      <w:pPr>
        <w:spacing w:after="50"/>
      </w:pPr>
      <w:r>
        <w:rPr>
          <w:b/>
          <w:bCs/>
          <w:sz w:val="20"/>
          <w:szCs w:val="20"/>
        </w:rPr>
        <w:t xml:space="preserve">Traces to: </w:t>
      </w:r>
      <w:r>
        <w:rPr>
          <w:sz w:val="20"/>
          <w:szCs w:val="20"/>
        </w:rPr>
        <w:t xml:space="preserve">URS-2026-001 (User Requirements Specification)</w:t>
      </w:r>
    </w:p>
    <w:p>
      <w:pPr>
        <w:spacing w:after="50"/>
      </w:pPr>
      <w:r>
        <w:rPr>
          <w:b/>
          <w:bCs/>
          <w:sz w:val="20"/>
          <w:szCs w:val="20"/>
        </w:rPr>
        <w:t xml:space="preserve">Prepared by: </w:t>
      </w:r>
      <w:r>
        <w:rPr>
          <w:sz w:val="20"/>
          <w:szCs w:val="20"/>
        </w:rPr>
        <w:t xml:space="preserve">Doron Cohen, PhD/DTech Candidate, IST 697, Claremont Graduate University</w:t>
      </w:r>
    </w:p>
    <w:p>
      <w:pPr>
        <w:spacing w:after="50"/>
      </w:pPr>
      <w:r>
        <w:rPr>
          <w:b/>
          <w:bCs/>
          <w:sz w:val="20"/>
          <w:szCs w:val="20"/>
        </w:rPr>
        <w:t xml:space="preserve">Issue date: </w:t>
      </w:r>
      <w:r>
        <w:rPr>
          <w:sz w:val="20"/>
          <w:szCs w:val="20"/>
        </w:rPr>
        <w:t xml:space="preserve">____________________</w:t>
      </w:r>
    </w:p>
    <w:p>
      <w:pPr>
        <w:pStyle w:val="Heading1"/>
        <w:spacing w:after="110" w:before="260"/>
      </w:pPr>
      <w:r>
        <w:rPr>
          <w:b/>
          <w:bCs/>
          <w:color w:val="0B1E3D"/>
        </w:rPr>
        <w:t xml:space="preserve">1. Purpose</w:t>
      </w:r>
    </w:p>
    <w:p>
      <w:pPr>
        <w:spacing w:after="110"/>
      </w:pPr>
      <w:r>
        <w:rPr>
          <w:sz w:val="20"/>
          <w:szCs w:val="20"/>
        </w:rPr>
        <w:t xml:space="preserve">Links every requirement in URS-2026-001 to (a) the specific code that implements it and (b) evidence that it was actually verified — a real test, a live check, a measured result. A requirement with implementation but no verification entry is not silently assumed correct; §3 lists any such gaps explicitly. This matrix is the basis for OQ test-case selection: an OQ step exists to re-demonstrate, under a controlled protocol, what the Verification Evidence column here shows was already demonstrated informally during development.</w:t>
      </w:r>
    </w:p>
    <w:p>
      <w:pPr>
        <w:pStyle w:val="Heading1"/>
        <w:spacing w:after="110" w:before="260"/>
      </w:pPr>
      <w:r>
        <w:rPr>
          <w:b/>
          <w:bCs/>
          <w:color w:val="0B1E3D"/>
        </w:rPr>
        <w:t xml:space="preserve">2. Traceability Table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200"/>
        <w:gridCol w:w="5696"/>
      </w:tblGrid>
      <w:tr>
        <w:trPr>
          <w:tblHeader/>
        </w:trPr>
        <w:tc>
          <w:tcPr>
            <w:tcW w:type="dxa" w:w="850"/>
            <w:shd w:fill="0B1E3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3200"/>
            <w:shd w:fill="0B1E3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Implementing Component</w:t>
            </w:r>
          </w:p>
        </w:tc>
        <w:tc>
          <w:tcPr>
            <w:tcW w:type="dxa" w:w="5696"/>
            <w:shd w:fill="0B1E3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Verification Evidence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6B6D4"/>
                <w:sz w:val="15"/>
                <w:szCs w:val="15"/>
              </w:rPr>
              <w:t xml:space="preserve">URS-010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public/Assignment10_Prototype.html — handleNGSUpload(), parseNGSText()</w:t>
            </w:r>
          </w:p>
        </w:tc>
        <w:tc>
          <w:tcPr>
            <w:tcW w:type="dxa" w:w="569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Manual + demo report load exercised repeatedly this session (MI25-0349 and uploaded reports); variants correctly populate the per-mutation table.</w:t>
            </w:r>
          </w:p>
        </w:tc>
      </w:tr>
      <w:tr>
        <w:tc>
          <w:tcPr>
            <w:tcW w:type="dxa" w:w="85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6B6D4"/>
                <w:sz w:val="15"/>
                <w:szCs w:val="15"/>
              </w:rPr>
              <w:t xml:space="preserve">URS-020</w:t>
            </w:r>
          </w:p>
        </w:tc>
        <w:tc>
          <w:tcPr>
            <w:tcW w:type="dxa" w:w="320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Assignment10_Prototype.html — resolveSimId(), unsupported-row branch in the variant-building loop</w:t>
            </w:r>
          </w:p>
        </w:tc>
        <w:tc>
          <w:tcPr>
            <w:tcW w:type="dxa" w:w="5696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Confirmed live: a gene absent from GENE_MAP renders greyed-out with an explicit unsupportedReason, not omitted.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6B6D4"/>
                <w:sz w:val="15"/>
                <w:szCs w:val="15"/>
              </w:rPr>
              <w:t xml:space="preserve">URS-030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Assignment10_Prototype.html — solangeClassScope()</w:t>
            </w:r>
          </w:p>
        </w:tc>
        <w:tc>
          <w:tcPr>
            <w:tcW w:type="dxa" w:w="569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Code-reviewed against the dissertation's documented per-gene scope-transfer rules (§06.i); verify_consistency.py cross-checks the underlying class table against dissertation prose.</w:t>
            </w:r>
          </w:p>
        </w:tc>
      </w:tr>
      <w:tr>
        <w:tc>
          <w:tcPr>
            <w:tcW w:type="dxa" w:w="85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6B6D4"/>
                <w:sz w:val="15"/>
                <w:szCs w:val="15"/>
              </w:rPr>
              <w:t xml:space="preserve">URS-040</w:t>
            </w:r>
          </w:p>
        </w:tc>
        <w:tc>
          <w:tcPr>
            <w:tcW w:type="dxa" w:w="320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targets.json (single source) + scripts/laguna/sync_targets.py + scripts/laguna/verify_consistency.py</w:t>
            </w:r>
          </w:p>
        </w:tc>
        <w:tc>
          <w:tcPr>
            <w:tcW w:type="dxa" w:w="5696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verify_consistency.py run repeatedly this session: 213 comparisons, 0 contradictions (includes the pdb.py PDB-ID cross-check added when a real drift — STK11_LKB1 2QK7 vs 2WTK — was found and fixed).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6B6D4"/>
                <w:sz w:val="15"/>
                <w:szCs w:val="15"/>
              </w:rPr>
              <w:t xml:space="preserve">URS-050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backend/routes/gateway.py — recommend()</w:t>
            </w:r>
          </w:p>
        </w:tc>
        <w:tc>
          <w:tcPr>
            <w:tcW w:type="dxa" w:w="569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Wired into live dispatch: solangeFetchGatewayRecs() calls POST /api/gateway/recommend per target on NGS load; confirmed rendering real route_label/confidence/rationale in the Gateway rec. column.</w:t>
            </w:r>
          </w:p>
        </w:tc>
      </w:tr>
      <w:tr>
        <w:tc>
          <w:tcPr>
            <w:tcW w:type="dxa" w:w="85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6B6D4"/>
                <w:sz w:val="15"/>
                <w:szCs w:val="15"/>
              </w:rPr>
              <w:t xml:space="preserve">URS-060</w:t>
            </w:r>
          </w:p>
        </w:tc>
        <w:tc>
          <w:tcPr>
            <w:tcW w:type="dxa" w:w="320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gateway.py — PROVENANCE_CEILING, _cap()</w:t>
            </w:r>
          </w:p>
        </w:tc>
        <w:tc>
          <w:tcPr>
            <w:tcW w:type="dxa" w:w="5696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Code-reviewed; confidence-capping logic exercised by the module's own scoring path for every recommendation issued.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6B6D4"/>
                <w:sz w:val="15"/>
                <w:szCs w:val="15"/>
              </w:rPr>
              <w:t xml:space="preserve">URS-070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gateway.py — ROUTES[route]["spends_quantum_time"], requires_human_approval field</w:t>
            </w:r>
          </w:p>
        </w:tc>
        <w:tc>
          <w:tcPr>
            <w:tcW w:type="dxa" w:w="569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Confirmed in the rendered Gateway rec. column: QPU-route recommendations carry a 🔒 marker; no code path POSTs a recommendation to a dispatch endpoint automatically.</w:t>
            </w:r>
          </w:p>
        </w:tc>
      </w:tr>
      <w:tr>
        <w:tc>
          <w:tcPr>
            <w:tcW w:type="dxa" w:w="85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6B6D4"/>
                <w:sz w:val="15"/>
                <w:szCs w:val="15"/>
              </w:rPr>
              <w:t xml:space="preserve">URS-080</w:t>
            </w:r>
          </w:p>
        </w:tc>
        <w:tc>
          <w:tcPr>
            <w:tcW w:type="dxa" w:w="320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Assignment10_Prototype.html — solangeFetchGatewayRecs(), called from the NGS-load handler</w:t>
            </w:r>
          </w:p>
        </w:tc>
        <w:tc>
          <w:tcPr>
            <w:tcW w:type="dxa" w:w="5696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Observed live: Gateway rec. column populates within seconds of loading a report, with no per-target manual action.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6B6D4"/>
                <w:sz w:val="15"/>
                <w:szCs w:val="15"/>
              </w:rPr>
              <w:t xml:space="preserve">URS-090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scripts/laguna/solange_hpc.py --agent, run_agent(); backend hpc_dispatch queue</w:t>
            </w:r>
          </w:p>
        </w:tc>
        <w:tc>
          <w:tcPr>
            <w:tcW w:type="dxa" w:w="569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Live end-to-end run this session: AXIN2 CAS(12,12) queued from the UI, claimed and executed by an authenticated Laguna agent, result notarized.</w:t>
            </w:r>
          </w:p>
        </w:tc>
      </w:tr>
      <w:tr>
        <w:tc>
          <w:tcPr>
            <w:tcW w:type="dxa" w:w="85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6B6D4"/>
                <w:sz w:val="15"/>
                <w:szCs w:val="15"/>
              </w:rPr>
              <w:t xml:space="preserve">URS-100</w:t>
            </w:r>
          </w:p>
        </w:tc>
        <w:tc>
          <w:tcPr>
            <w:tcW w:type="dxa" w:w="320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solange_hpc.py — run_casscf(dmrg_scf=...); frontend CAS_FCI_ORB_WALL auto-selection</w:t>
            </w:r>
          </w:p>
        </w:tc>
        <w:tc>
          <w:tcPr>
            <w:tcW w:type="dxa" w:w="5696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Live: CAS(20,20) (40 qubits, past the 16-orbital wall) dispatched and completed via --dmrg-scf, 102m28.8s, converged (mc.converged=True).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6B6D4"/>
                <w:sz w:val="15"/>
                <w:szCs w:val="15"/>
              </w:rPr>
              <w:t xml:space="preserve">URS-110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scripts/laguna/dmrgscf_block2.py — validate(), Block2FCISolver.kernel() energy-reconstruction check</w:t>
            </w:r>
          </w:p>
        </w:tc>
        <w:tc>
          <w:tcPr>
            <w:tcW w:type="dxa" w:w="569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Live cross-check on Laguna's actual installed block2: CAS(4,4)/(6,6)/(8,8) random Hamiltonians, DMRG vs FCI element-wise 1-/2-RDM agreement to ~3-8e-7; separately, CAS(8,8) on the real demo compound (acetamide/6-31g) gave -208.00788192 Ha via both FCI-CASSCF and DMRG-SCF, identical to 8 decimals.</w:t>
            </w:r>
          </w:p>
        </w:tc>
      </w:tr>
      <w:tr>
        <w:tc>
          <w:tcPr>
            <w:tcW w:type="dxa" w:w="85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6B6D4"/>
                <w:sz w:val="15"/>
                <w:szCs w:val="15"/>
              </w:rPr>
              <w:t xml:space="preserve">URS-120</w:t>
            </w:r>
          </w:p>
        </w:tc>
        <w:tc>
          <w:tcPr>
            <w:tcW w:type="dxa" w:w="320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scripts/laguna/solange_dmrg.py — run_dmrg(), classify()</w:t>
            </w:r>
          </w:p>
        </w:tc>
        <w:tc>
          <w:tcPr>
            <w:tcW w:type="dxa" w:w="5696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Executed on Laguna against reference and demo compounds prior to and during this session (see dispatch-dmrg ladder: ARID2_LOF, TP53_C275F entries, Class C with stated S_max/rationale).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6B6D4"/>
                <w:sz w:val="15"/>
                <w:szCs w:val="15"/>
              </w:rPr>
              <w:t xml:space="preserve">URS-130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gateway.py — _covers_site(), SITE_COVERAGE_MIN; Assignment10_Prototype.html — solangeDmrgCoversSite()</w:t>
            </w:r>
          </w:p>
        </w:tc>
        <w:tc>
          <w:tcPr>
            <w:tcW w:type="dxa" w:w="569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Code-reviewed; this is the rule that keeps a CAS(8,8) validation run from silently reclassifying a 44-electron site — the exact failure mode found and fixed earlier in this project.</w:t>
            </w:r>
          </w:p>
        </w:tc>
      </w:tr>
      <w:tr>
        <w:tc>
          <w:tcPr>
            <w:tcW w:type="dxa" w:w="85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6B6D4"/>
                <w:sz w:val="15"/>
                <w:szCs w:val="15"/>
              </w:rPr>
              <w:t xml:space="preserve">URS-140</w:t>
            </w:r>
          </w:p>
        </w:tc>
        <w:tc>
          <w:tcPr>
            <w:tcW w:type="dxa" w:w="320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scripts/laguna/solange_qpu.py --agent; backend _require_dispatch_allowed()</w:t>
            </w:r>
          </w:p>
        </w:tc>
        <w:tc>
          <w:tcPr>
            <w:tcW w:type="dxa" w:w="5696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Live test performed by the platform operator: an authenticated executive-role JWT sent directly to POST /hpc/dispatch returned 403, logged to access_denied_log.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6B6D4"/>
                <w:sz w:val="15"/>
                <w:szCs w:val="15"/>
              </w:rPr>
              <w:t xml:space="preserve">URS-150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backend/routes/leon.py — build_p8_seal()</w:t>
            </w:r>
          </w:p>
        </w:tc>
        <w:tc>
          <w:tcPr>
            <w:tcW w:type="dxa" w:w="569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Every run in the HPC/QPU/DMRG ladders carries a P8 hash; SHA-256 over P1-P7,P9, sort_keys, verified reproducible across DB round-trips (the seal-payload-stored-verbatim fix).</w:t>
            </w:r>
          </w:p>
        </w:tc>
      </w:tr>
      <w:tr>
        <w:tc>
          <w:tcPr>
            <w:tcW w:type="dxa" w:w="85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6B6D4"/>
                <w:sz w:val="15"/>
                <w:szCs w:val="15"/>
              </w:rPr>
              <w:t xml:space="preserve">URS-160</w:t>
            </w:r>
          </w:p>
        </w:tc>
        <w:tc>
          <w:tcPr>
            <w:tcW w:type="dxa" w:w="320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leon.py — notarize(), physics-consistency check</w:t>
            </w:r>
          </w:p>
        </w:tc>
        <w:tc>
          <w:tcPr>
            <w:tcW w:type="dxa" w:w="5696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Code-reviewed: a seal or energy-consistency mismatch returns 422 and writes only an audit row, never a stored run — this is the documented behavior of the single ingestion path all three rungs share.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6B6D4"/>
                <w:sz w:val="15"/>
                <w:szCs w:val="15"/>
              </w:rPr>
              <w:t xml:space="preserve">URS-170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leon.py — reverify(); "Verify" button in dispatch tables</w:t>
            </w:r>
          </w:p>
        </w:tc>
        <w:tc>
          <w:tcPr>
            <w:tcW w:type="dxa" w:w="569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Exercised live: the Verify action on stored HPC/QPU rows recomputes and compares the seal on demand.</w:t>
            </w:r>
          </w:p>
        </w:tc>
      </w:tr>
      <w:tr>
        <w:tc>
          <w:tcPr>
            <w:tcW w:type="dxa" w:w="85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6B6D4"/>
                <w:sz w:val="15"/>
                <w:szCs w:val="15"/>
              </w:rPr>
              <w:t xml:space="preserve">URS-180</w:t>
            </w:r>
          </w:p>
        </w:tc>
        <w:tc>
          <w:tcPr>
            <w:tcW w:type="dxa" w:w="320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solange_hpc.py — build_provenance(), p1_ansatz/p7_method</w:t>
            </w:r>
          </w:p>
        </w:tc>
        <w:tc>
          <w:tcPr>
            <w:tcW w:type="dxa" w:w="5696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Found live to be WRONG on the first real DMRG-SCF submission (both fields said "exact diagonalisation"); fixed and re-verified by replaying the exact branch inputs — p1_ansatz/p7_method both resolve to "DMRG-SCF (block2, maxM=250)" for that code path.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6B6D4"/>
                <w:sz w:val="15"/>
                <w:szCs w:val="15"/>
              </w:rPr>
              <w:t xml:space="preserve">URS-190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Assignment10_Prototype.html — showPlatform(); simulate.py/admin.py — _require_dispatch_allowed(), _require_admin()</w:t>
            </w:r>
          </w:p>
        </w:tc>
        <w:tc>
          <w:tcPr>
            <w:tcW w:type="dxa" w:w="569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Full three-tier live test performed by the platform operator with real Supabase test accounts (testuser, testexec) and extracted JWTs against the deployed backend, not only the UI.</w:t>
            </w:r>
          </w:p>
        </w:tc>
      </w:tr>
      <w:tr>
        <w:tc>
          <w:tcPr>
            <w:tcW w:type="dxa" w:w="85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6B6D4"/>
                <w:sz w:val="15"/>
                <w:szCs w:val="15"/>
              </w:rPr>
              <w:t xml:space="preserve">URS-200</w:t>
            </w:r>
          </w:p>
        </w:tc>
        <w:tc>
          <w:tcPr>
            <w:tcW w:type="dxa" w:w="320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simulate.py — _require_dispatch_allowed()</w:t>
            </w:r>
          </w:p>
        </w:tc>
        <w:tc>
          <w:tcPr>
            <w:tcW w:type="dxa" w:w="5696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Live 403 confirmed via direct fetch() from an authenticated executive session's browser console against POST /hpc/dispatch.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6B6D4"/>
                <w:sz w:val="15"/>
                <w:szCs w:val="15"/>
              </w:rPr>
              <w:t xml:space="preserve">URS-210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backend/routes/security_log.py — log_denied(); access_denied_log table</w:t>
            </w:r>
          </w:p>
        </w:tc>
        <w:tc>
          <w:tcPr>
            <w:tcW w:type="dxa" w:w="569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Isolated harness test (extracted functions + fake Supabase client + logging spy): exactly 1 dispatch_denied event and 1 admin_denied event logged for the two denial paths; 0 events for an admin's allowed actions.</w:t>
            </w:r>
          </w:p>
        </w:tc>
      </w:tr>
      <w:tr>
        <w:tc>
          <w:tcPr>
            <w:tcW w:type="dxa" w:w="85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6B6D4"/>
                <w:sz w:val="15"/>
                <w:szCs w:val="15"/>
              </w:rPr>
              <w:t xml:space="preserve">URS-220</w:t>
            </w:r>
          </w:p>
        </w:tc>
        <w:tc>
          <w:tcPr>
            <w:tcW w:type="dxa" w:w="320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Supabase Auth — individual "Add user" provisioning; guest@solange.bio banned_until 2099-01-01</w:t>
            </w:r>
          </w:p>
        </w:tc>
        <w:tc>
          <w:tcPr>
            <w:tcW w:type="dxa" w:w="5696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Confirmed live: guest login attempt returns "User is banned"; a real user account (einar.gutkin@gmail.com) that should not have existed was located and deleted.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6B6D4"/>
                <w:sz w:val="15"/>
                <w:szCs w:val="15"/>
              </w:rPr>
              <w:t xml:space="preserve">URS-230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public/dissertation_revised.html §06.iv</w:t>
            </w:r>
          </w:p>
        </w:tc>
        <w:tc>
          <w:tcPr>
            <w:tcW w:type="dxa" w:w="569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Document-reviewed against the §11.10(a)-(e) text; Subpart C exclusion stated explicitly in §08 Limitations.</w:t>
            </w:r>
          </w:p>
        </w:tc>
      </w:tr>
      <w:tr>
        <w:tc>
          <w:tcPr>
            <w:tcW w:type="dxa" w:w="85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6B6D4"/>
                <w:sz w:val="15"/>
                <w:szCs w:val="15"/>
              </w:rPr>
              <w:t xml:space="preserve">URS-240</w:t>
            </w:r>
          </w:p>
        </w:tc>
        <w:tc>
          <w:tcPr>
            <w:tcW w:type="dxa" w:w="320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backend/routes/evidence.py — POC_DISCLAIMER; CSV/JSON export headers; Dashboard/Results reference-data notes</w:t>
            </w:r>
          </w:p>
        </w:tc>
        <w:tc>
          <w:tcPr>
            <w:tcW w:type="dxa" w:w="5696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Confirmed present on every export path and every BQP legend this session; rewritten twice this session per explicit review for register (academic -&gt; commercial) without weakening the underlying claim.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6B6D4"/>
                <w:sz w:val="15"/>
                <w:szCs w:val="15"/>
              </w:rPr>
              <w:t xml:space="preserve">URS-250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evidence.py — grade_evidence(), may_state_chemical_finding()</w:t>
            </w:r>
          </w:p>
        </w:tc>
        <w:tc>
          <w:tcPr>
            <w:tcW w:type="dxa" w:w="569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Code-reviewed; three-tier grade is a pure function of stated provenance fields, with no code path that assigns a grade directly.</w:t>
            </w:r>
          </w:p>
        </w:tc>
      </w:tr>
      <w:tr>
        <w:tc>
          <w:tcPr>
            <w:tcW w:type="dxa" w:w="85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6B6D4"/>
                <w:sz w:val="15"/>
                <w:szCs w:val="15"/>
              </w:rPr>
              <w:t xml:space="preserve">URS-260</w:t>
            </w:r>
          </w:p>
        </w:tc>
        <w:tc>
          <w:tcPr>
            <w:tcW w:type="dxa" w:w="320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backend/routes/admin.py — /runs, /users, /security-events</w:t>
            </w:r>
          </w:p>
        </w:tc>
        <w:tc>
          <w:tcPr>
            <w:tcW w:type="dxa" w:w="5696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Confirmed live in the Admin console: all three tables render for an admin-role account and are blocked (403, logged) for non-admin roles.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6B6D4"/>
                <w:sz w:val="15"/>
                <w:szCs w:val="15"/>
              </w:rPr>
              <w:t xml:space="preserve">URS-270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admin.py — /stats</w:t>
            </w:r>
          </w:p>
        </w:tc>
        <w:tc>
          <w:tcPr>
            <w:tcW w:type="dxa" w:w="569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Confirmed live: admin-stat-runs/-users/-mutations/-last populate from the real aggregate query.</w:t>
            </w:r>
          </w:p>
        </w:tc>
      </w:tr>
      <w:tr>
        <w:tc>
          <w:tcPr>
            <w:tcW w:type="dxa" w:w="85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6B6D4"/>
                <w:sz w:val="15"/>
                <w:szCs w:val="15"/>
              </w:rPr>
              <w:t xml:space="preserve">URS-280</w:t>
            </w:r>
          </w:p>
        </w:tc>
        <w:tc>
          <w:tcPr>
            <w:tcW w:type="dxa" w:w="320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solange_qpu.py — _billable_qpu_seconds(); Executive View exact-phase-match fix</w:t>
            </w:r>
          </w:p>
        </w:tc>
        <w:tc>
          <w:tcPr>
            <w:tcW w:type="dxa" w:w="5696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Fixed and verified this session: an earlier prefix-match bug counted free 3B-QPU-dryrun runs as billable seconds; corrected to an exact phase match, dry-runs now reported separately as excluded.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6B6D4"/>
                <w:sz w:val="15"/>
                <w:szCs w:val="15"/>
              </w:rPr>
              <w:t xml:space="preserve">URS-290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solange_hpc.py/solange_qpu.py --agent (outbound poll only); no inbound route exists anywhere in backend/routes</w:t>
            </w:r>
          </w:p>
        </w:tc>
        <w:tc>
          <w:tcPr>
            <w:tcW w:type="dxa" w:w="569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Architecture-reviewed against DP2 (§06.ii); no code path in this repository opens an inbound connection to a customer compute resource.</w:t>
            </w:r>
          </w:p>
        </w:tc>
      </w:tr>
      <w:tr>
        <w:tc>
          <w:tcPr>
            <w:tcW w:type="dxa" w:w="85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6B6D4"/>
                <w:sz w:val="15"/>
                <w:szCs w:val="15"/>
              </w:rPr>
              <w:t xml:space="preserve">URS-300</w:t>
            </w:r>
          </w:p>
        </w:tc>
        <w:tc>
          <w:tcPr>
            <w:tcW w:type="dxa" w:w="3200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scripts/laguna/verify_consistency.py</w:t>
            </w:r>
          </w:p>
        </w:tc>
        <w:tc>
          <w:tcPr>
            <w:tcW w:type="dxa" w:w="5696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Run after every target-fact change this session (multiple times), consistently completing in ~2s; deliberately induced a known drift (STK11_LKB1 PDB ID) and confirmed the checker's exit code goes non-zero (1) for it and 0 once fixed.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6B6D4"/>
                <w:sz w:val="15"/>
                <w:szCs w:val="15"/>
              </w:rPr>
              <w:t xml:space="preserve">URS-310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solange_dmrg.py — run_dmrg(max_minutes=...); scripts/laguna/run_dmrg_geometry.sbatch</w:t>
            </w:r>
          </w:p>
        </w:tc>
        <w:tc>
          <w:tcPr>
            <w:tcW w:type="dxa" w:w="569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Found NOT wired (the sbatch template never passed --max-minutes) after a real 4-hour SLURM job was hard-killed mid-sweep with nothing saved; fixed same day and re-submitted (job 89243) with the safety net connected.</w:t>
            </w:r>
          </w:p>
        </w:tc>
      </w:tr>
    </w:tbl>
    <w:p>
      <w:pPr>
        <w:pStyle w:val="Heading1"/>
        <w:spacing w:after="110" w:before="260"/>
      </w:pPr>
      <w:r>
        <w:rPr>
          <w:b/>
          <w:bCs/>
          <w:color w:val="0B1E3D"/>
        </w:rPr>
        <w:t xml:space="preserve">3. Verification Gaps</w:t>
      </w:r>
    </w:p>
    <w:p>
      <w:pPr>
        <w:spacing w:after="110"/>
      </w:pPr>
      <w:r>
        <w:rPr>
          <w:sz w:val="20"/>
          <w:szCs w:val="20"/>
        </w:rPr>
        <w:t xml:space="preserve">Every requirement above has at least informal verification evidence from development and live testing on the deployed system and the USC CARC Laguna cluster. None has been verified under a controlled, signed IQ/OQ/PQ protocol — that is the explicit purpose of the qualification documents this matrix feeds (IQ_Protocol_v1.0.docx exists; OQ and PQ protocols are reserved future work). This matrix does not claim formal qualification; it claims that the informal evidence exists and is specific, which is what makes formal qualification tractable rather than a blank rewrite.</w:t>
      </w:r>
    </w:p>
    <w:p>
      <w:pPr>
        <w:pStyle w:val="Heading1"/>
        <w:spacing w:after="110" w:before="260"/>
      </w:pPr>
      <w:r>
        <w:rPr>
          <w:b/>
          <w:bCs/>
          <w:color w:val="0B1E3D"/>
        </w:rPr>
        <w:t xml:space="preserve">4. Approval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3249"/>
        <w:gridCol w:w="3248"/>
      </w:tblGrid>
      <w:tr>
        <w:tc>
          <w:tcPr>
            <w:tcW w:type="dxa" w:w="3249"/>
            <w:shd w:fill="0B1E3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249"/>
            <w:shd w:fill="0B1E3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Name / Signature</w:t>
            </w:r>
          </w:p>
        </w:tc>
        <w:tc>
          <w:tcPr>
            <w:tcW w:type="dxa" w:w="3248"/>
            <w:shd w:fill="0B1E3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3249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Prepared by</w:t>
            </w:r>
          </w:p>
        </w:tc>
        <w:tc>
          <w:tcPr>
            <w:tcW w:type="dxa" w:w="3249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48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9"/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Reviewed / Approved by</w:t>
            </w:r>
          </w:p>
        </w:tc>
        <w:tc>
          <w:tcPr>
            <w:tcW w:type="dxa" w:w="3249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248"/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2026-08-05T08:04:48.623Z</dcterms:created>
  <dcterms:modified xsi:type="dcterms:W3CDTF">2026-08-05T08:04:48.623Z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