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1E3D"/>
          <w:sz w:val="36"/>
          <w:szCs w:val="36"/>
        </w:rPr>
        <w:t xml:space="preserve">SOLANGE™</w:t>
      </w:r>
    </w:p>
    <w:p>
      <w:pPr>
        <w:spacing w:after="260"/>
        <w:jc w:val="center"/>
      </w:pPr>
      <w:r>
        <w:rPr>
          <w:b/>
          <w:bCs/>
          <w:color w:val="06B6D4"/>
          <w:sz w:val="30"/>
          <w:szCs w:val="30"/>
        </w:rPr>
        <w:t xml:space="preserve">User Requirements Specification (URS)</w:t>
      </w:r>
    </w:p>
    <w:p>
      <w:pPr>
        <w:spacing w:after="50"/>
      </w:pPr>
      <w:r>
        <w:rPr>
          <w:b/>
          <w:bCs/>
          <w:sz w:val="20"/>
          <w:szCs w:val="20"/>
        </w:rPr>
        <w:t xml:space="preserve">Document ID: </w:t>
      </w:r>
      <w:r>
        <w:rPr>
          <w:sz w:val="20"/>
          <w:szCs w:val="20"/>
        </w:rPr>
        <w:t xml:space="preserve">URS-2026-001</w:t>
      </w:r>
    </w:p>
    <w:p>
      <w:pPr>
        <w:spacing w:after="50"/>
      </w:pPr>
      <w:r>
        <w:rPr>
          <w:b/>
          <w:bCs/>
          <w:sz w:val="20"/>
          <w:szCs w:val="20"/>
        </w:rPr>
        <w:t xml:space="preserve">Version: </w:t>
      </w:r>
      <w:r>
        <w:rPr>
          <w:sz w:val="20"/>
          <w:szCs w:val="20"/>
        </w:rPr>
        <w:t xml:space="preserve">1.0</w:t>
      </w:r>
    </w:p>
    <w:p>
      <w:pPr>
        <w:spacing w:after="50"/>
      </w:pPr>
      <w:r>
        <w:rPr>
          <w:b/>
          <w:bCs/>
          <w:sz w:val="20"/>
          <w:szCs w:val="20"/>
        </w:rPr>
        <w:t xml:space="preserve">System: </w:t>
      </w:r>
      <w:r>
        <w:rPr>
          <w:sz w:val="20"/>
          <w:szCs w:val="20"/>
        </w:rPr>
        <w:t xml:space="preserve">SOLANGE — 3D Quantum Simulation Platform</w:t>
      </w:r>
    </w:p>
    <w:p>
      <w:pPr>
        <w:spacing w:after="50"/>
      </w:pPr>
      <w:r>
        <w:rPr>
          <w:b/>
          <w:bCs/>
          <w:sz w:val="20"/>
          <w:szCs w:val="20"/>
        </w:rPr>
        <w:t xml:space="preserve">Prepared by: </w:t>
      </w:r>
      <w:r>
        <w:rPr>
          <w:sz w:val="20"/>
          <w:szCs w:val="20"/>
        </w:rPr>
        <w:t xml:space="preserve">Doron Cohen, PhD/DTech Candidate, IST 697, Claremont Graduate University</w:t>
      </w:r>
    </w:p>
    <w:p>
      <w:pPr>
        <w:spacing w:after="50"/>
      </w:pPr>
      <w:r>
        <w:rPr>
          <w:b/>
          <w:bCs/>
          <w:sz w:val="20"/>
          <w:szCs w:val="20"/>
        </w:rPr>
        <w:t xml:space="preserve">Issue date: </w:t>
      </w:r>
      <w:r>
        <w:rPr>
          <w:sz w:val="20"/>
          <w:szCs w:val="20"/>
        </w:rPr>
        <w:t xml:space="preserve">____________________</w:t>
      </w:r>
    </w:p>
    <w:p>
      <w:pPr>
        <w:pStyle w:val="Heading1"/>
        <w:spacing w:after="110" w:before="260"/>
      </w:pPr>
      <w:r>
        <w:rPr>
          <w:b/>
          <w:bCs/>
          <w:color w:val="0B1E3D"/>
        </w:rPr>
        <w:t xml:space="preserve">1. Purpose</w:t>
      </w:r>
    </w:p>
    <w:p>
      <w:pPr>
        <w:spacing w:after="110"/>
      </w:pPr>
      <w:r>
        <w:rPr>
          <w:sz w:val="20"/>
          <w:szCs w:val="20"/>
        </w:rPr>
        <w:t xml:space="preserve">This document states what the SOLANGE platform is required to do, in terms that can be tested. Every requirement below corresponds to functionality already implemented and exercised in the deployed system — this is a specification of the built system, not a proposal for one. It is the reference document against which Operational Qualification (OQ) test cases are written: an OQ step exists to demonstrate a requirement stated here, and a requirement stated here with no corresponding OQ step is a gap to be closed, not ignored.</w:t>
      </w:r>
    </w:p>
    <w:p>
      <w:pPr>
        <w:pStyle w:val="Heading1"/>
        <w:spacing w:after="110" w:before="260"/>
      </w:pPr>
      <w:r>
        <w:rPr>
          <w:b/>
          <w:bCs/>
          <w:color w:val="0B1E3D"/>
        </w:rPr>
        <w:t xml:space="preserve">2. Scope</w:t>
      </w:r>
    </w:p>
    <w:p>
      <w:pPr>
        <w:spacing w:after="110"/>
      </w:pPr>
      <w:r>
        <w:rPr>
          <w:sz w:val="20"/>
          <w:szCs w:val="20"/>
        </w:rPr>
        <w:t xml:space="preserve">Covers the deployed backend (Render), the deployed frontend (Netlify), the researcher's authenticated USC CARC Laguna session, and the IBM Quantum connection used for real hardware execution. Does not cover the scientific or clinical correctness of any computed result — SOLANGE's own evidence-grading framework (backend/routes/evidence.py) governs what may be claimed about a result's chemical standing, and no requirement in this document asserts a chemical or clinical finding.</w:t>
      </w:r>
    </w:p>
    <w:p>
      <w:pPr>
        <w:pStyle w:val="Heading1"/>
        <w:spacing w:after="110" w:before="260"/>
      </w:pPr>
      <w:r>
        <w:rPr>
          <w:b/>
          <w:bCs/>
          <w:color w:val="0B1E3D"/>
        </w:rPr>
        <w:t xml:space="preserve">3. Requirement Priority</w:t>
      </w:r>
    </w:p>
    <w:p>
      <w:pPr>
        <w:spacing w:after="110"/>
      </w:pPr>
      <w:r>
        <w:rPr>
          <w:sz w:val="20"/>
          <w:szCs w:val="20"/>
        </w:rPr>
        <w:t xml:space="preserve">Mandatory (M): required for the system to be considered fit for its stated purpose. Should (S): materially improves usability, auditability, or operational safety, but the system is not unfit for purpose without it.</w:t>
      </w:r>
    </w:p>
    <w:p>
      <w:pPr>
        <w:pStyle w:val="Heading1"/>
        <w:spacing w:after="110" w:before="260"/>
      </w:pPr>
      <w:r>
        <w:rPr>
          <w:b/>
          <w:bCs/>
          <w:color w:val="0B1E3D"/>
        </w:rPr>
        <w:t xml:space="preserve">4. Functional &amp;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6746"/>
        <w:gridCol w:w="2000"/>
      </w:tblGrid>
      <w:tr>
        <w:trPr>
          <w:tblHeader/>
        </w:trPr>
        <w:tc>
          <w:tcPr>
            <w:tcW w:type="dxa" w:w="1000"/>
            <w:shd w:fill="0B1E3D" w:val="clear"/>
            <w:tcMar>
              <w:top w:type="dxa" w:w="60"/>
              <w:left w:type="dxa" w:w="80"/>
              <w:bottom w:type="dxa" w:w="60"/>
              <w:right w:type="dxa" w:w="80"/>
            </w:tcMar>
            <w:vAlign w:val="center"/>
          </w:tcPr>
          <w:p>
            <w:pPr>
              <w:jc w:val="center"/>
            </w:pPr>
            <w:r>
              <w:rPr>
                <w:b/>
                <w:bCs/>
                <w:color w:val="FFFFFF"/>
                <w:sz w:val="16"/>
                <w:szCs w:val="16"/>
              </w:rPr>
              <w:t xml:space="preserve">ID</w:t>
            </w:r>
          </w:p>
        </w:tc>
        <w:tc>
          <w:tcPr>
            <w:tcW w:type="dxa" w:w="6746"/>
            <w:shd w:fill="0B1E3D" w:val="clear"/>
            <w:tcMar>
              <w:top w:type="dxa" w:w="60"/>
              <w:left w:type="dxa" w:w="80"/>
              <w:bottom w:type="dxa" w:w="60"/>
              <w:right w:type="dxa" w:w="80"/>
            </w:tcMar>
            <w:vAlign w:val="center"/>
          </w:tcPr>
          <w:p>
            <w:pPr>
              <w:jc w:val="left"/>
            </w:pPr>
            <w:r>
              <w:rPr>
                <w:b/>
                <w:bCs/>
                <w:color w:val="FFFFFF"/>
                <w:sz w:val="16"/>
                <w:szCs w:val="16"/>
              </w:rPr>
              <w:t xml:space="preserve">Requirement</w:t>
            </w:r>
          </w:p>
        </w:tc>
        <w:tc>
          <w:tcPr>
            <w:tcW w:type="dxa" w:w="2000"/>
            <w:shd w:fill="0B1E3D" w:val="clear"/>
            <w:tcMar>
              <w:top w:type="dxa" w:w="60"/>
              <w:left w:type="dxa" w:w="80"/>
              <w:bottom w:type="dxa" w:w="60"/>
              <w:right w:type="dxa" w:w="80"/>
            </w:tcMar>
            <w:vAlign w:val="center"/>
          </w:tcPr>
          <w:p>
            <w:pPr>
              <w:jc w:val="center"/>
            </w:pPr>
            <w:r>
              <w:rPr>
                <w:b/>
                <w:bCs/>
                <w:color w:val="FFFFFF"/>
                <w:sz w:val="16"/>
                <w:szCs w:val="16"/>
              </w:rPr>
              <w:t xml:space="preserve">Priority</w:t>
            </w:r>
          </w:p>
        </w:tc>
      </w:tr>
      <w:tr>
        <w:tc>
          <w:tcPr>
            <w:tcW w:type="dxa" w:w="9746"/>
            <w:gridSpan w:val="3"/>
            <w:shd w:fill="DCEEF5" w:val="clear"/>
            <w:tcMar>
              <w:top w:type="dxa" w:w="70"/>
              <w:left w:type="dxa" w:w="80"/>
              <w:bottom w:type="dxa" w:w="50"/>
              <w:right w:type="dxa" w:w="80"/>
            </w:tcMar>
          </w:tcPr>
          <w:p>
            <w:r>
              <w:rPr>
                <w:b/>
                <w:bCs/>
                <w:color w:val="0B1E3D"/>
                <w:sz w:val="18"/>
                <w:szCs w:val="18"/>
              </w:rPr>
              <w:t xml:space="preserve">A. Data Ingestion &amp; Target Identification</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URS-010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The system shall ingest an NGS report (upload or demo load) and extract candidate variants (gene, mutation, allele frequency).</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URS-020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Each extracted variant shall be mapped to a curated gene/mutation registry; a variant with no curated route shall be flagged unsupported and displayed, never silently dropped.</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URS-030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 target's BQP complexity class (A/B/C) shall be reported only where the class is documented as transferring to that specific mutation; otherwise the system shall report "not classified".</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URS-040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Target facts (active-electron count, qubit count, BQP class, source structure ID) shall be maintained in one authoritative file and propagated to frontend and backend by an automated sync — never hand-edited independently in more than one place.</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9746"/>
            <w:gridSpan w:val="3"/>
            <w:shd w:fill="DCEEF5" w:val="clear"/>
            <w:tcMar>
              <w:top w:type="dxa" w:w="70"/>
              <w:left w:type="dxa" w:w="80"/>
              <w:bottom w:type="dxa" w:w="50"/>
              <w:right w:type="dxa" w:w="80"/>
            </w:tcMar>
          </w:tcPr>
          <w:p>
            <w:r>
              <w:rPr>
                <w:b/>
                <w:bCs/>
                <w:color w:val="0B1E3D"/>
                <w:sz w:val="18"/>
                <w:szCs w:val="18"/>
              </w:rPr>
              <w:t xml:space="preserve">B. Evidence-Based Compute Routing</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URS-050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The system shall recommend a compute route (exact-classical / DMRG / DMRG-first / QPU) from scalar evidence only (active-electron count, measured entanglement, correlation energy) — never from structure or sequence data.</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URS-060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 routing recommendation's stated confidence shall be capped by the weakest-provenance input that decided the route.</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URS-070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Any recommended route that would spend real quantum-hardware time shall be flagged as requiring human approval and shall never be dispatched automatically by the recommendation itself.</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URS-080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 routing recommendation shall be produced automatically, per target, once an NGS report is loaded — without a separate manual request per target.</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Should</w:t>
            </w:r>
          </w:p>
        </w:tc>
      </w:tr>
      <w:tr>
        <w:tc>
          <w:tcPr>
            <w:tcW w:type="dxa" w:w="9746"/>
            <w:gridSpan w:val="3"/>
            <w:shd w:fill="DCEEF5" w:val="clear"/>
            <w:tcMar>
              <w:top w:type="dxa" w:w="70"/>
              <w:left w:type="dxa" w:w="80"/>
              <w:bottom w:type="dxa" w:w="50"/>
              <w:right w:type="dxa" w:w="80"/>
            </w:tcMar>
          </w:tcPr>
          <w:p>
            <w:r>
              <w:rPr>
                <w:b/>
                <w:bCs/>
                <w:color w:val="0B1E3D"/>
                <w:sz w:val="18"/>
                <w:szCs w:val="18"/>
              </w:rPr>
              <w:t xml:space="preserve">C. Computation Execution</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URS-090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The system shall dispatch classical computations (CASSCF, optionally VQE) to a remote HPC cluster through an outbound-only pull-agent, so no cluster credential is stored by the platform.</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URS-100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The system shall provide an alternative CASSCF orbital-optimization solver for active spaces beyond exact diagonalization's practical limit (~16 orbitals), selected automatically once the requested active space exceeds that limit.</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URS-110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Before a DMRG-based solver's result is trusted, its density-matrix output shall be validated element-wise against an independent exact solve on a reference system; a mismatch shall raise an error, not a silent wrong answer.</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URS-120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The system shall dispatch a classical DMRG classifier that measures entanglement across a bond-dimension sweep and derives an A/B/C class with a stated, inspectable rationale.</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URS-130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 DMRG measurement covering less than 90% of a target's declared active-site size shall not be treated as authoritative for that target.</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URS-140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The system shall dispatch real quantum-hardware jobs via a separate pull-agent, and shall block an executive-role account from doing so.</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9746"/>
            <w:gridSpan w:val="3"/>
            <w:shd w:fill="DCEEF5" w:val="clear"/>
            <w:tcMar>
              <w:top w:type="dxa" w:w="70"/>
              <w:left w:type="dxa" w:w="80"/>
              <w:bottom w:type="dxa" w:w="50"/>
              <w:right w:type="dxa" w:w="80"/>
            </w:tcMar>
          </w:tcPr>
          <w:p>
            <w:r>
              <w:rPr>
                <w:b/>
                <w:bCs/>
                <w:color w:val="0B1E3D"/>
                <w:sz w:val="18"/>
                <w:szCs w:val="18"/>
              </w:rPr>
              <w:t xml:space="preserve">D. Provenance &amp; Notarization</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URS-150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Every computed run shall be sealed with an independently re-computable cryptographic hash covering its scientific and provenance fields.</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URS-160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 submitted run whose recomputed seal does not match its declared seal, or whose internal energy-consistency check fails, shall be rejected at ingestion.</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URS-170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 stored run's seal shall be re-verifiable on demand, at any later time, without requiring the originating compute resource to be reachable.</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URS-180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 run's provenance record shall state the computational method actually used to produce its energy, and shall never claim a method that was not used.</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9746"/>
            <w:gridSpan w:val="3"/>
            <w:shd w:fill="DCEEF5" w:val="clear"/>
            <w:tcMar>
              <w:top w:type="dxa" w:w="70"/>
              <w:left w:type="dxa" w:w="80"/>
              <w:bottom w:type="dxa" w:w="50"/>
              <w:right w:type="dxa" w:w="80"/>
            </w:tcMar>
          </w:tcPr>
          <w:p>
            <w:r>
              <w:rPr>
                <w:b/>
                <w:bCs/>
                <w:color w:val="0B1E3D"/>
                <w:sz w:val="18"/>
                <w:szCs w:val="18"/>
              </w:rPr>
              <w:t xml:space="preserve">E. Access Control &amp; Security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URS-190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The system shall support at least three account roles (administrator, executive, full user) with different functionality, enforced server-side.</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URS-200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An executive-role account shall be blocked, server-side, from dispatching any job that spends real HPC, DMRG, or QPU compute time.</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URS-210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 denied access attempt shall be recorded in an append-only log distinct from the record of successful runs.</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URS-220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No shared or publicly-known credential shall exist; every account shall be individually provisioned.</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9746"/>
            <w:gridSpan w:val="3"/>
            <w:shd w:fill="DCEEF5" w:val="clear"/>
            <w:tcMar>
              <w:top w:type="dxa" w:w="70"/>
              <w:left w:type="dxa" w:w="80"/>
              <w:bottom w:type="dxa" w:w="50"/>
              <w:right w:type="dxa" w:w="80"/>
            </w:tcMar>
          </w:tcPr>
          <w:p>
            <w:r>
              <w:rPr>
                <w:b/>
                <w:bCs/>
                <w:color w:val="0B1E3D"/>
                <w:sz w:val="18"/>
                <w:szCs w:val="18"/>
              </w:rPr>
              <w:t xml:space="preserve">F. Regulatory &amp; Compliance Reporting</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URS-230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The system shall map its provenance mechanism to the applicable requirements of 21 CFR Part 11 §11.10(a)-(e) and explicitly state which Part 11 requirements are out of scope.</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URS-240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Data from a reference/proxy computation shall be labeled as such everywhere displayed or exported, never presented as a target-specific chemical finding.</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URS-250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An evidence-standing grade shall be computed from the actual provenance of its inputs and never manually asserted.</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9746"/>
            <w:gridSpan w:val="3"/>
            <w:shd w:fill="DCEEF5" w:val="clear"/>
            <w:tcMar>
              <w:top w:type="dxa" w:w="70"/>
              <w:left w:type="dxa" w:w="80"/>
              <w:bottom w:type="dxa" w:w="50"/>
              <w:right w:type="dxa" w:w="80"/>
            </w:tcMar>
          </w:tcPr>
          <w:p>
            <w:r>
              <w:rPr>
                <w:b/>
                <w:bCs/>
                <w:color w:val="0B1E3D"/>
                <w:sz w:val="18"/>
                <w:szCs w:val="18"/>
              </w:rPr>
              <w:t xml:space="preserve">G. Administration &amp; Oversight</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URS-260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An administrator shall view all simulation runs, all user profiles, and all recorded denied-access events from a single console.</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URS-270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The system shall report aggregate platform usage (total runs, total users, runs per mutation, last-run time) to an administrator.</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Should</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URS-280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An executive-role view shall report real quantum-hardware consumption in vendor-neutral units (seconds actually billed), leaving unit pricing to the customer's own commercial terms.</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9746"/>
            <w:gridSpan w:val="3"/>
            <w:shd w:fill="DCEEF5" w:val="clear"/>
            <w:tcMar>
              <w:top w:type="dxa" w:w="70"/>
              <w:left w:type="dxa" w:w="80"/>
              <w:bottom w:type="dxa" w:w="50"/>
              <w:right w:type="dxa" w:w="80"/>
            </w:tcMar>
          </w:tcPr>
          <w:p>
            <w:r>
              <w:rPr>
                <w:b/>
                <w:bCs/>
                <w:color w:val="0B1E3D"/>
                <w:sz w:val="18"/>
                <w:szCs w:val="18"/>
              </w:rPr>
              <w:t xml:space="preserve">H. Non-Functional</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URS-290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No credential for an external compute resource shall be stored by the platform; such resources shall be reached only via an agent-initiated outbound connection from an already-authenticated session.</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Mandatory</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URS-300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 target-fact inconsistency across the frontend, backend, dissertation text, and structure-ID registry shall be detectable by an automated, non-interactive check completing in a few seconds.</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Should</w:t>
            </w:r>
          </w:p>
        </w:tc>
      </w:tr>
      <w:tr>
        <w:tc>
          <w:tcPr>
            <w:tcW w:type="dxa" w:w="1000"/>
            <w:shd w:fill="F1F5F9" w:val="clear"/>
            <w:tcMar>
              <w:top w:type="dxa" w:w="60"/>
              <w:left w:type="dxa" w:w="80"/>
              <w:bottom w:type="dxa" w:w="60"/>
              <w:right w:type="dxa" w:w="80"/>
            </w:tcMar>
            <w:vAlign w:val="center"/>
          </w:tcPr>
          <w:p>
            <w:pPr>
              <w:jc w:val="center"/>
            </w:pPr>
            <w:r>
              <w:rPr>
                <w:b/>
                <w:bCs/>
                <w:color w:val="06B6D4"/>
                <w:sz w:val="16"/>
                <w:szCs w:val="16"/>
              </w:rPr>
              <w:t xml:space="preserve">URS-310</w:t>
            </w:r>
          </w:p>
        </w:tc>
        <w:tc>
          <w:tcPr>
            <w:tcW w:type="dxa" w:w="6746"/>
            <w:tcMar>
              <w:top w:type="dxa" w:w="60"/>
              <w:left w:type="dxa" w:w="80"/>
              <w:bottom w:type="dxa" w:w="60"/>
              <w:right w:type="dxa" w:w="80"/>
            </w:tcMar>
            <w:vAlign w:val="center"/>
          </w:tcPr>
          <w:p>
            <w:pPr>
              <w:jc w:val="left"/>
            </w:pPr>
            <w:r>
              <w:rPr>
                <w:b w:val="false"/>
                <w:bCs w:val="false"/>
                <w:color w:val="000000"/>
                <w:sz w:val="16"/>
                <w:szCs w:val="16"/>
              </w:rPr>
              <w:t xml:space="preserve">A batch computation submitted to the HPC cluster shall be able to stop gracefully before its wall-clock budget is exhausted and save a provisional result, rather than losing all progress to a hard process kill.</w:t>
            </w:r>
          </w:p>
        </w:tc>
        <w:tc>
          <w:tcPr>
            <w:tcW w:type="dxa" w:w="2000"/>
            <w:tcMar>
              <w:top w:type="dxa" w:w="60"/>
              <w:left w:type="dxa" w:w="80"/>
              <w:bottom w:type="dxa" w:w="60"/>
              <w:right w:type="dxa" w:w="80"/>
            </w:tcMar>
            <w:vAlign w:val="center"/>
          </w:tcPr>
          <w:p>
            <w:pPr>
              <w:jc w:val="center"/>
            </w:pPr>
            <w:r>
              <w:rPr>
                <w:b w:val="false"/>
                <w:bCs w:val="false"/>
                <w:color w:val="000000"/>
                <w:sz w:val="16"/>
                <w:szCs w:val="16"/>
              </w:rPr>
              <w:t xml:space="preserve">Should</w:t>
            </w:r>
          </w:p>
        </w:tc>
      </w:tr>
    </w:tbl>
    <w:p>
      <w:pPr>
        <w:pStyle w:val="Heading1"/>
        <w:spacing w:after="110" w:before="260"/>
      </w:pPr>
      <w:r>
        <w:rPr>
          <w:b/>
          <w:bCs/>
          <w:color w:val="0B1E3D"/>
        </w:rPr>
        <w:t xml:space="preserve">5. Explicitly Out of Scope</w:t>
      </w:r>
    </w:p>
    <w:p>
      <w:pPr>
        <w:spacing w:after="110"/>
      </w:pPr>
      <w:r>
        <w:rPr>
          <w:sz w:val="20"/>
          <w:szCs w:val="20"/>
        </w:rPr>
        <w:t xml:space="preserve">The following are deliberately not required of the system, and no requirement above should be read as implying them:</w:t>
      </w:r>
    </w:p>
    <w:p>
      <w:pPr>
        <w:spacing w:after="110"/>
      </w:pPr>
      <w:r>
        <w:rPr>
          <w:sz w:val="20"/>
          <w:szCs w:val="20"/>
        </w:rPr>
        <w:t xml:space="preserve">• Any claim that a computed energy is chemically or clinically validated for a real patient decision.</w:t>
      </w:r>
    </w:p>
    <w:p>
      <w:pPr>
        <w:spacing w:after="110"/>
      </w:pPr>
      <w:r>
        <w:rPr>
          <w:sz w:val="20"/>
          <w:szCs w:val="20"/>
        </w:rPr>
        <w:t xml:space="preserve">• IND-submission-grade regulatory support (Part 312) — only the records controls of 21 CFR Part 11 §11.10(a)-(e) are addressed; Subpart C electronic-signature controls are out of scope pending a future revision.</w:t>
      </w:r>
    </w:p>
    <w:p>
      <w:pPr>
        <w:spacing w:after="110"/>
      </w:pPr>
      <w:r>
        <w:rPr>
          <w:sz w:val="20"/>
          <w:szCs w:val="20"/>
        </w:rPr>
        <w:t xml:space="preserve">• Cost estimation for quantum-hardware time — pricing is the customer's own commercial term with their compute vendor and cannot be stated by this platform.</w:t>
      </w:r>
    </w:p>
    <w:p>
      <w:pPr>
        <w:spacing w:after="110"/>
      </w:pPr>
      <w:r>
        <w:rPr>
          <w:sz w:val="20"/>
          <w:szCs w:val="20"/>
        </w:rPr>
        <w:t xml:space="preserve">• Automatic remote start of a compute agent inside a customer's cluster — the security boundary this system is built on (DP2) specifically forecloses any inbound channel that would make this possible.</w:t>
      </w:r>
    </w:p>
    <w:p>
      <w:pPr>
        <w:pStyle w:val="Heading1"/>
        <w:spacing w:after="110" w:before="260"/>
      </w:pPr>
      <w:r>
        <w:rPr>
          <w:b/>
          <w:bCs/>
          <w:color w:val="0B1E3D"/>
        </w:rPr>
        <w:t xml:space="preserve">6. Approval</w:t>
      </w:r>
    </w:p>
    <w:p>
      <w:pPr>
        <w:spacing w:after="110"/>
      </w:pPr>
      <w:r>
        <w:rPr>
          <w:sz w:val="20"/>
          <w:szCs w:val="20"/>
        </w:rPr>
        <w:t xml:space="preserve">Approval of this URS establishes it as the reference baseline for OQ test-case authorship (see the companion Requirements Traceability Matrix, RTM-2026-001).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8"/>
      </w:tblGrid>
      <w:tr>
        <w:tc>
          <w:tcPr>
            <w:tcW w:type="dxa" w:w="3249"/>
            <w:shd w:fill="0B1E3D" w:val="clear"/>
            <w:tcMar>
              <w:top w:type="dxa" w:w="60"/>
              <w:left w:type="dxa" w:w="80"/>
              <w:bottom w:type="dxa" w:w="60"/>
              <w:right w:type="dxa" w:w="80"/>
            </w:tcMar>
            <w:vAlign w:val="center"/>
          </w:tcPr>
          <w:p>
            <w:pPr>
              <w:jc w:val="left"/>
            </w:pPr>
            <w:r>
              <w:rPr>
                <w:b/>
                <w:bCs/>
                <w:color w:val="FFFFFF"/>
                <w:sz w:val="16"/>
                <w:szCs w:val="16"/>
              </w:rPr>
              <w:t xml:space="preserve">Role</w:t>
            </w:r>
          </w:p>
        </w:tc>
        <w:tc>
          <w:tcPr>
            <w:tcW w:type="dxa" w:w="3249"/>
            <w:shd w:fill="0B1E3D" w:val="clear"/>
            <w:tcMar>
              <w:top w:type="dxa" w:w="60"/>
              <w:left w:type="dxa" w:w="80"/>
              <w:bottom w:type="dxa" w:w="60"/>
              <w:right w:type="dxa" w:w="80"/>
            </w:tcMar>
            <w:vAlign w:val="center"/>
          </w:tcPr>
          <w:p>
            <w:pPr>
              <w:jc w:val="left"/>
            </w:pPr>
            <w:r>
              <w:rPr>
                <w:b/>
                <w:bCs/>
                <w:color w:val="FFFFFF"/>
                <w:sz w:val="16"/>
                <w:szCs w:val="16"/>
              </w:rPr>
              <w:t xml:space="preserve">Name / Signature</w:t>
            </w:r>
          </w:p>
        </w:tc>
        <w:tc>
          <w:tcPr>
            <w:tcW w:type="dxa" w:w="3248"/>
            <w:shd w:fill="0B1E3D" w:val="clear"/>
            <w:tcMar>
              <w:top w:type="dxa" w:w="60"/>
              <w:left w:type="dxa" w:w="80"/>
              <w:bottom w:type="dxa" w:w="60"/>
              <w:right w:type="dxa" w:w="80"/>
            </w:tcMar>
            <w:vAlign w:val="center"/>
          </w:tcPr>
          <w:p>
            <w:pPr>
              <w:jc w:val="left"/>
            </w:pPr>
            <w:r>
              <w:rPr>
                <w:b/>
                <w:bCs/>
                <w:color w:val="FFFFFF"/>
                <w:sz w:val="16"/>
                <w:szCs w:val="16"/>
              </w:rPr>
              <w:t xml:space="preserve">Date</w:t>
            </w:r>
          </w:p>
        </w:tc>
      </w:tr>
      <w:tr>
        <w:tc>
          <w:tcPr>
            <w:tcW w:type="dxa" w:w="3249"/>
            <w:shd w:fill="F1F5F9" w:val="clear"/>
            <w:tcMar>
              <w:top w:type="dxa" w:w="60"/>
              <w:left w:type="dxa" w:w="80"/>
              <w:bottom w:type="dxa" w:w="60"/>
              <w:right w:type="dxa" w:w="80"/>
            </w:tcMar>
            <w:vAlign w:val="center"/>
          </w:tcPr>
          <w:p>
            <w:pPr>
              <w:jc w:val="left"/>
            </w:pPr>
            <w:r>
              <w:rPr>
                <w:b/>
                <w:bCs/>
                <w:color w:val="000000"/>
                <w:sz w:val="16"/>
                <w:szCs w:val="16"/>
              </w:rPr>
              <w:t xml:space="preserve">Prepared by</w:t>
            </w:r>
          </w:p>
        </w:tc>
        <w:tc>
          <w:tcPr>
            <w:tcW w:type="dxa" w:w="3249"/>
            <w:tcMar>
              <w:top w:type="dxa" w:w="200"/>
              <w:left w:type="dxa" w:w="80"/>
              <w:bottom w:type="dxa" w:w="200"/>
              <w:right w:type="dxa" w:w="80"/>
            </w:tcMar>
          </w:tcPr>
          <w:p>
            <w:r>
              <w:rPr>
                <w:sz w:val="18"/>
                <w:szCs w:val="18"/>
              </w:rPr>
              <w:t xml:space="preserve"/>
            </w:r>
          </w:p>
        </w:tc>
        <w:tc>
          <w:tcPr>
            <w:tcW w:type="dxa" w:w="3248"/>
            <w:tcMar>
              <w:top w:type="dxa" w:w="200"/>
              <w:left w:type="dxa" w:w="80"/>
              <w:bottom w:type="dxa" w:w="200"/>
              <w:right w:type="dxa" w:w="80"/>
            </w:tcMar>
          </w:tcPr>
          <w:p>
            <w:r>
              <w:rPr>
                <w:sz w:val="18"/>
                <w:szCs w:val="18"/>
              </w:rPr>
              <w:t xml:space="preserve"/>
            </w:r>
          </w:p>
        </w:tc>
      </w:tr>
      <w:tr>
        <w:tc>
          <w:tcPr>
            <w:tcW w:type="dxa" w:w="3249"/>
            <w:shd w:fill="F1F5F9" w:val="clear"/>
            <w:tcMar>
              <w:top w:type="dxa" w:w="60"/>
              <w:left w:type="dxa" w:w="80"/>
              <w:bottom w:type="dxa" w:w="60"/>
              <w:right w:type="dxa" w:w="80"/>
            </w:tcMar>
            <w:vAlign w:val="center"/>
          </w:tcPr>
          <w:p>
            <w:pPr>
              <w:jc w:val="left"/>
            </w:pPr>
            <w:r>
              <w:rPr>
                <w:b/>
                <w:bCs/>
                <w:color w:val="000000"/>
                <w:sz w:val="16"/>
                <w:szCs w:val="16"/>
              </w:rPr>
              <w:t xml:space="preserve">Reviewed / Approved by</w:t>
            </w:r>
          </w:p>
        </w:tc>
        <w:tc>
          <w:tcPr>
            <w:tcW w:type="dxa" w:w="3249"/>
            <w:tcMar>
              <w:top w:type="dxa" w:w="200"/>
              <w:left w:type="dxa" w:w="80"/>
              <w:bottom w:type="dxa" w:w="200"/>
              <w:right w:type="dxa" w:w="80"/>
            </w:tcMar>
          </w:tcPr>
          <w:p>
            <w:r>
              <w:rPr>
                <w:sz w:val="18"/>
                <w:szCs w:val="18"/>
              </w:rPr>
              <w:t xml:space="preserve"/>
            </w:r>
          </w:p>
        </w:tc>
        <w:tc>
          <w:tcPr>
            <w:tcW w:type="dxa" w:w="3248"/>
            <w:tcMar>
              <w:top w:type="dxa" w:w="200"/>
              <w:left w:type="dxa" w:w="80"/>
              <w:bottom w:type="dxa" w:w="200"/>
              <w:right w:type="dxa" w:w="80"/>
            </w:tcMar>
          </w:tcPr>
          <w:p>
            <w:r>
              <w:rPr>
                <w:sz w:val="18"/>
                <w:szCs w:val="18"/>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2026-08-05T08:04:48.576Z</dcterms:created>
  <dcterms:modified xsi:type="dcterms:W3CDTF">2026-08-05T08:04:48.576Z</dcterms:modified>
</cp:coreProperties>
</file>

<file path=docProps/custom.xml><?xml version="1.0" encoding="utf-8"?>
<Properties xmlns="http://schemas.openxmlformats.org/officeDocument/2006/custom-properties" xmlns:vt="http://schemas.openxmlformats.org/officeDocument/2006/docPropsVTypes"/>
</file>