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01DBB">
      <w:pPr>
        <w:spacing w:after="40"/>
        <w:jc w:val="center"/>
        <w:rPr>
          <w:color w:val="auto"/>
        </w:rPr>
      </w:pPr>
      <w:bookmarkStart w:id="0" w:name="_GoBack"/>
      <w:r>
        <w:rPr>
          <w:b/>
          <w:bCs/>
          <w:color w:val="auto"/>
          <w:sz w:val="40"/>
          <w:szCs w:val="40"/>
        </w:rPr>
        <w:t>HealthConnect Clinic Experience Lab</w:t>
      </w:r>
    </w:p>
    <w:p w14:paraId="6B8E5896">
      <w:pPr>
        <w:spacing w:after="40"/>
        <w:jc w:val="center"/>
        <w:rPr>
          <w:color w:val="auto"/>
        </w:rPr>
      </w:pPr>
      <w:r>
        <w:rPr>
          <w:b/>
          <w:bCs/>
          <w:color w:val="auto"/>
          <w:sz w:val="26"/>
          <w:szCs w:val="26"/>
        </w:rPr>
        <w:t>Week 8: Final Analytics &amp; Decision Support Package Data Analytics Track</w:t>
      </w:r>
    </w:p>
    <w:p w14:paraId="77E545B2">
      <w:pPr>
        <w:spacing w:after="400"/>
        <w:jc w:val="center"/>
        <w:rPr>
          <w:color w:val="auto"/>
        </w:rPr>
      </w:pPr>
      <w:r>
        <w:rPr>
          <w:color w:val="auto"/>
          <w:sz w:val="20"/>
          <w:szCs w:val="20"/>
        </w:rPr>
        <w:t xml:space="preserve">Prepared by </w:t>
      </w:r>
      <w:r>
        <w:rPr>
          <w:rFonts w:hint="default"/>
          <w:color w:val="auto"/>
          <w:sz w:val="20"/>
          <w:szCs w:val="20"/>
          <w:lang w:val="en-US"/>
        </w:rPr>
        <w:t xml:space="preserve"> Ekenga </w:t>
      </w:r>
      <w:r>
        <w:rPr>
          <w:color w:val="auto"/>
          <w:sz w:val="20"/>
          <w:szCs w:val="20"/>
        </w:rPr>
        <w:t>Dorothy</w:t>
      </w:r>
    </w:p>
    <w:p w14:paraId="0FF65766">
      <w:pPr>
        <w:pStyle w:val="2"/>
        <w:spacing w:before="300" w:after="150"/>
        <w:rPr>
          <w:color w:val="auto"/>
        </w:rPr>
      </w:pPr>
      <w:r>
        <w:rPr>
          <w:color w:val="auto"/>
        </w:rPr>
        <w:t>Executive Summary</w:t>
      </w:r>
    </w:p>
    <w:p w14:paraId="37F46864">
      <w:pPr>
        <w:spacing w:after="150"/>
        <w:rPr>
          <w:color w:val="auto"/>
        </w:rPr>
      </w:pPr>
      <w:r>
        <w:rPr>
          <w:color w:val="auto"/>
        </w:rPr>
        <w:t>HealthConnect Clinic's patient no-show rate is driven by identifiable, targetable factors  not random chance. Patients with a history of missed appointments and those booking far in advance are the strongest predictors of a future no-show; when combined with living far from the clinic, risk reaches 80%. These findings were independently confirmed by the Data Science track's predictive model, giving HealthConnect two methodologically distinct sources of evidence pointing to the same conclusions. Six specific recommendations follow, led by SMS-based outreach to high-risk patients  a low-cost, high-confidence action ready for immediate implementation, alongside a longer-term option (telehealth/transport support) for the small but severely at-risk distance-outlier group.</w:t>
      </w:r>
    </w:p>
    <w:p w14:paraId="1FAD350B">
      <w:pPr>
        <w:pStyle w:val="2"/>
        <w:spacing w:before="300" w:after="150"/>
        <w:rPr>
          <w:color w:val="auto"/>
        </w:rPr>
      </w:pPr>
      <w:r>
        <w:rPr>
          <w:color w:val="auto"/>
        </w:rPr>
        <w:t>1. Final Integration Readiness</w:t>
      </w:r>
    </w:p>
    <w:tbl>
      <w:tblPr>
        <w:tblStyle w:val="9"/>
        <w:tblW w:w="9400" w:type="dxa"/>
        <w:tblInd w:w="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autofit"/>
        <w:tblCellMar>
          <w:top w:w="0" w:type="dxa"/>
          <w:left w:w="10" w:type="dxa"/>
          <w:bottom w:w="0" w:type="dxa"/>
          <w:right w:w="10" w:type="dxa"/>
        </w:tblCellMar>
      </w:tblPr>
      <w:tblGrid>
        <w:gridCol w:w="2900"/>
        <w:gridCol w:w="6500"/>
      </w:tblGrid>
      <w:tr w14:paraId="53123FB7">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shd w:val="clear" w:color="auto" w:fill="1F4E79"/>
            <w:tcMar>
              <w:top w:w="70" w:type="dxa"/>
              <w:left w:w="90" w:type="dxa"/>
              <w:bottom w:w="70" w:type="dxa"/>
              <w:right w:w="90" w:type="dxa"/>
            </w:tcMar>
          </w:tcPr>
          <w:p w14:paraId="6B55ED92">
            <w:pPr>
              <w:rPr>
                <w:color w:val="auto"/>
              </w:rPr>
            </w:pPr>
            <w:r>
              <w:rPr>
                <w:b/>
                <w:bCs/>
                <w:color w:val="auto"/>
                <w:sz w:val="19"/>
                <w:szCs w:val="19"/>
              </w:rPr>
              <w:t>Requirement</w:t>
            </w:r>
          </w:p>
        </w:tc>
        <w:tc>
          <w:tcPr>
            <w:tcW w:w="6500" w:type="dxa"/>
            <w:shd w:val="clear" w:color="auto" w:fill="1F4E79"/>
            <w:tcMar>
              <w:top w:w="70" w:type="dxa"/>
              <w:left w:w="90" w:type="dxa"/>
              <w:bottom w:w="70" w:type="dxa"/>
              <w:right w:w="90" w:type="dxa"/>
            </w:tcMar>
          </w:tcPr>
          <w:p w14:paraId="334D65B6">
            <w:pPr>
              <w:rPr>
                <w:color w:val="auto"/>
              </w:rPr>
            </w:pPr>
            <w:r>
              <w:rPr>
                <w:b/>
                <w:bCs/>
                <w:color w:val="auto"/>
                <w:sz w:val="19"/>
                <w:szCs w:val="19"/>
              </w:rPr>
              <w:t>Response</w:t>
            </w:r>
          </w:p>
        </w:tc>
      </w:tr>
      <w:tr w14:paraId="17C5CA2B">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5C9F08BB">
            <w:pPr>
              <w:rPr>
                <w:color w:val="auto"/>
              </w:rPr>
            </w:pPr>
            <w:r>
              <w:rPr>
                <w:b w:val="0"/>
                <w:bCs w:val="0"/>
                <w:color w:val="auto"/>
                <w:sz w:val="19"/>
                <w:szCs w:val="19"/>
              </w:rPr>
              <w:t>Final component</w:t>
            </w:r>
          </w:p>
        </w:tc>
        <w:tc>
          <w:tcPr>
            <w:tcW w:w="6500" w:type="dxa"/>
            <w:tcMar>
              <w:top w:w="70" w:type="dxa"/>
              <w:left w:w="90" w:type="dxa"/>
              <w:bottom w:w="70" w:type="dxa"/>
              <w:right w:w="90" w:type="dxa"/>
            </w:tcMar>
          </w:tcPr>
          <w:p w14:paraId="1F0815FD">
            <w:pPr>
              <w:rPr>
                <w:color w:val="auto"/>
              </w:rPr>
            </w:pPr>
            <w:r>
              <w:rPr>
                <w:b w:val="0"/>
                <w:bCs w:val="0"/>
                <w:color w:val="auto"/>
                <w:sz w:val="19"/>
                <w:szCs w:val="19"/>
              </w:rPr>
              <w:t>The HealthConnect Final Analytics &amp; Decision Support Package — statistically validated KPIs, an 8-visual Power BI dashboard, and a confidence-rated action list addressing patient no-show behaviour.</w:t>
            </w:r>
          </w:p>
        </w:tc>
      </w:tr>
      <w:tr w14:paraId="229189B4">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4401F49E">
            <w:pPr>
              <w:rPr>
                <w:color w:val="auto"/>
              </w:rPr>
            </w:pPr>
            <w:r>
              <w:rPr>
                <w:b w:val="0"/>
                <w:bCs w:val="0"/>
                <w:color w:val="auto"/>
                <w:sz w:val="19"/>
                <w:szCs w:val="19"/>
              </w:rPr>
              <w:t>Problem addressed</w:t>
            </w:r>
          </w:p>
        </w:tc>
        <w:tc>
          <w:tcPr>
            <w:tcW w:w="6500" w:type="dxa"/>
            <w:tcMar>
              <w:top w:w="70" w:type="dxa"/>
              <w:left w:w="90" w:type="dxa"/>
              <w:bottom w:w="70" w:type="dxa"/>
              <w:right w:w="90" w:type="dxa"/>
            </w:tcMar>
          </w:tcPr>
          <w:p w14:paraId="66EACF4D">
            <w:pPr>
              <w:rPr>
                <w:color w:val="auto"/>
              </w:rPr>
            </w:pPr>
            <w:r>
              <w:rPr>
                <w:b w:val="0"/>
                <w:bCs w:val="0"/>
                <w:color w:val="auto"/>
                <w:sz w:val="19"/>
                <w:szCs w:val="19"/>
              </w:rPr>
              <w:t>Identifying which factors genuinely predict missed appointments (not just apparent patterns) and translating that into specific, evidence-based interventions HealthConnect can act on.</w:t>
            </w:r>
          </w:p>
        </w:tc>
      </w:tr>
      <w:tr w14:paraId="4AB5085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0A313252">
            <w:pPr>
              <w:rPr>
                <w:color w:val="auto"/>
              </w:rPr>
            </w:pPr>
            <w:r>
              <w:rPr>
                <w:b w:val="0"/>
                <w:bCs w:val="0"/>
                <w:color w:val="auto"/>
                <w:sz w:val="19"/>
                <w:szCs w:val="19"/>
              </w:rPr>
              <w:t>Current status</w:t>
            </w:r>
          </w:p>
        </w:tc>
        <w:tc>
          <w:tcPr>
            <w:tcW w:w="6500" w:type="dxa"/>
            <w:tcMar>
              <w:top w:w="70" w:type="dxa"/>
              <w:left w:w="90" w:type="dxa"/>
              <w:bottom w:w="70" w:type="dxa"/>
              <w:right w:w="90" w:type="dxa"/>
            </w:tcMar>
          </w:tcPr>
          <w:p w14:paraId="4CF046FF">
            <w:pPr>
              <w:rPr>
                <w:color w:val="auto"/>
              </w:rPr>
            </w:pPr>
            <w:r>
              <w:rPr>
                <w:b w:val="0"/>
                <w:bCs w:val="0"/>
                <w:color w:val="auto"/>
                <w:sz w:val="19"/>
                <w:szCs w:val="19"/>
              </w:rPr>
              <w:t>Substantially complete and tested  validated internally via statistical testing (chi-square) and independently corroborated by the Data Science track's model feature importance.</w:t>
            </w:r>
          </w:p>
        </w:tc>
      </w:tr>
      <w:tr w14:paraId="2A105328">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6E70B621">
            <w:pPr>
              <w:rPr>
                <w:color w:val="auto"/>
              </w:rPr>
            </w:pPr>
            <w:r>
              <w:rPr>
                <w:b w:val="0"/>
                <w:bCs w:val="0"/>
                <w:color w:val="auto"/>
                <w:sz w:val="19"/>
                <w:szCs w:val="19"/>
              </w:rPr>
              <w:t>Improved during Week 7</w:t>
            </w:r>
          </w:p>
        </w:tc>
        <w:tc>
          <w:tcPr>
            <w:tcW w:w="6500" w:type="dxa"/>
            <w:tcMar>
              <w:top w:w="70" w:type="dxa"/>
              <w:left w:w="90" w:type="dxa"/>
              <w:bottom w:w="70" w:type="dxa"/>
              <w:right w:w="90" w:type="dxa"/>
            </w:tcMar>
          </w:tcPr>
          <w:p w14:paraId="628F6F0F">
            <w:pPr>
              <w:rPr>
                <w:color w:val="auto"/>
              </w:rPr>
            </w:pPr>
            <w:r>
              <w:rPr>
                <w:b w:val="0"/>
                <w:bCs w:val="0"/>
                <w:color w:val="auto"/>
                <w:sz w:val="19"/>
                <w:szCs w:val="19"/>
              </w:rPr>
              <w:t>Fixed two dashboard construction errors, rigorously re-tested every major finding (confirming two, downgrading one), removed a redundant visual, and completed a genuine two-way cross-track exchange with a Data Science partner.</w:t>
            </w:r>
          </w:p>
        </w:tc>
      </w:tr>
      <w:tr w14:paraId="00C6B42B">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57084B1D">
            <w:pPr>
              <w:rPr>
                <w:color w:val="auto"/>
              </w:rPr>
            </w:pPr>
            <w:r>
              <w:rPr>
                <w:b w:val="0"/>
                <w:bCs w:val="0"/>
                <w:color w:val="auto"/>
                <w:sz w:val="19"/>
                <w:szCs w:val="19"/>
              </w:rPr>
              <w:t>Depends on</w:t>
            </w:r>
          </w:p>
        </w:tc>
        <w:tc>
          <w:tcPr>
            <w:tcW w:w="6500" w:type="dxa"/>
            <w:tcMar>
              <w:top w:w="70" w:type="dxa"/>
              <w:left w:w="90" w:type="dxa"/>
              <w:bottom w:w="70" w:type="dxa"/>
              <w:right w:w="90" w:type="dxa"/>
            </w:tcMar>
          </w:tcPr>
          <w:p w14:paraId="748BA4B5">
            <w:pPr>
              <w:rPr>
                <w:color w:val="auto"/>
              </w:rPr>
            </w:pPr>
            <w:r>
              <w:rPr>
                <w:b w:val="0"/>
                <w:bCs w:val="0"/>
                <w:color w:val="auto"/>
                <w:sz w:val="19"/>
                <w:szCs w:val="19"/>
              </w:rPr>
              <w:t>Data Science, for confirming whether findings translate into actual model feature relevance (confirmed).</w:t>
            </w:r>
          </w:p>
        </w:tc>
      </w:tr>
      <w:tr w14:paraId="7F095989">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49B87250">
            <w:pPr>
              <w:rPr>
                <w:color w:val="auto"/>
              </w:rPr>
            </w:pPr>
            <w:r>
              <w:rPr>
                <w:b w:val="0"/>
                <w:bCs w:val="0"/>
                <w:color w:val="auto"/>
                <w:sz w:val="19"/>
                <w:szCs w:val="19"/>
              </w:rPr>
              <w:t>Depended on by</w:t>
            </w:r>
          </w:p>
        </w:tc>
        <w:tc>
          <w:tcPr>
            <w:tcW w:w="6500" w:type="dxa"/>
            <w:tcMar>
              <w:top w:w="70" w:type="dxa"/>
              <w:left w:w="90" w:type="dxa"/>
              <w:bottom w:w="70" w:type="dxa"/>
              <w:right w:w="90" w:type="dxa"/>
            </w:tcMar>
          </w:tcPr>
          <w:p w14:paraId="00263837">
            <w:pPr>
              <w:rPr>
                <w:color w:val="auto"/>
              </w:rPr>
            </w:pPr>
            <w:r>
              <w:rPr>
                <w:b w:val="0"/>
                <w:bCs w:val="0"/>
                <w:color w:val="auto"/>
                <w:sz w:val="19"/>
                <w:szCs w:val="19"/>
              </w:rPr>
              <w:t>Data Science (feature selection, leakage caution) and Project Management (final recommendations informing project decisions).</w:t>
            </w:r>
          </w:p>
        </w:tc>
      </w:tr>
      <w:tr w14:paraId="69AC31B0">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0E1B3F57">
            <w:pPr>
              <w:rPr>
                <w:color w:val="auto"/>
              </w:rPr>
            </w:pPr>
            <w:r>
              <w:rPr>
                <w:b w:val="0"/>
                <w:bCs w:val="0"/>
                <w:color w:val="auto"/>
                <w:sz w:val="19"/>
                <w:szCs w:val="19"/>
              </w:rPr>
              <w:t>Output provided</w:t>
            </w:r>
          </w:p>
        </w:tc>
        <w:tc>
          <w:tcPr>
            <w:tcW w:w="6500" w:type="dxa"/>
            <w:tcMar>
              <w:top w:w="70" w:type="dxa"/>
              <w:left w:w="90" w:type="dxa"/>
              <w:bottom w:w="70" w:type="dxa"/>
              <w:right w:w="90" w:type="dxa"/>
            </w:tcMar>
          </w:tcPr>
          <w:p w14:paraId="5BA099D4">
            <w:pPr>
              <w:rPr>
                <w:color w:val="auto"/>
              </w:rPr>
            </w:pPr>
            <w:r>
              <w:rPr>
                <w:b w:val="0"/>
                <w:bCs w:val="0"/>
                <w:color w:val="auto"/>
                <w:sz w:val="19"/>
                <w:szCs w:val="19"/>
              </w:rPr>
              <w:t>Final validated KPI set, the compound risk-segment finding, the leakage caution, the confidence-rated action list, and the finalised dashboard.</w:t>
            </w:r>
          </w:p>
        </w:tc>
      </w:tr>
      <w:tr w14:paraId="3F9A7CE3">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36039D8C">
            <w:pPr>
              <w:rPr>
                <w:color w:val="auto"/>
              </w:rPr>
            </w:pPr>
            <w:r>
              <w:rPr>
                <w:b w:val="0"/>
                <w:bCs w:val="0"/>
                <w:color w:val="auto"/>
                <w:sz w:val="19"/>
                <w:szCs w:val="19"/>
              </w:rPr>
              <w:t>Output needed</w:t>
            </w:r>
          </w:p>
        </w:tc>
        <w:tc>
          <w:tcPr>
            <w:tcW w:w="6500" w:type="dxa"/>
            <w:tcMar>
              <w:top w:w="70" w:type="dxa"/>
              <w:left w:w="90" w:type="dxa"/>
              <w:bottom w:w="70" w:type="dxa"/>
              <w:right w:w="90" w:type="dxa"/>
            </w:tcMar>
          </w:tcPr>
          <w:p w14:paraId="203FE191">
            <w:pPr>
              <w:rPr>
                <w:color w:val="auto"/>
              </w:rPr>
            </w:pPr>
            <w:r>
              <w:rPr>
                <w:b w:val="0"/>
                <w:bCs w:val="0"/>
                <w:color w:val="auto"/>
                <w:sz w:val="19"/>
                <w:szCs w:val="19"/>
              </w:rPr>
              <w:t>Confirmation from Data Science on whether the proposed prior-no-shows × distance interaction feature improves model recall — proposed, retest still pending.</w:t>
            </w:r>
          </w:p>
        </w:tc>
      </w:tr>
      <w:tr w14:paraId="5F03A8DA">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47F2CDEE">
            <w:pPr>
              <w:rPr>
                <w:color w:val="auto"/>
              </w:rPr>
            </w:pPr>
            <w:r>
              <w:rPr>
                <w:b w:val="0"/>
                <w:bCs w:val="0"/>
                <w:color w:val="auto"/>
                <w:sz w:val="19"/>
                <w:szCs w:val="19"/>
              </w:rPr>
              <w:t>Evidence of readiness</w:t>
            </w:r>
          </w:p>
        </w:tc>
        <w:tc>
          <w:tcPr>
            <w:tcW w:w="6500" w:type="dxa"/>
            <w:tcMar>
              <w:top w:w="70" w:type="dxa"/>
              <w:left w:w="90" w:type="dxa"/>
              <w:bottom w:w="70" w:type="dxa"/>
              <w:right w:w="90" w:type="dxa"/>
            </w:tcMar>
          </w:tcPr>
          <w:p w14:paraId="11F690D4">
            <w:pPr>
              <w:rPr>
                <w:color w:val="auto"/>
              </w:rPr>
            </w:pPr>
            <w:r>
              <w:rPr>
                <w:b w:val="0"/>
                <w:bCs w:val="0"/>
                <w:color w:val="auto"/>
                <w:sz w:val="19"/>
                <w:szCs w:val="19"/>
              </w:rPr>
              <w:t>The Statistical Validation table (4 chi-square tests), the Week 7 before/after testing record, the finalised dashboard, and the documented cross-track exchange.</w:t>
            </w:r>
          </w:p>
        </w:tc>
      </w:tr>
      <w:tr w14:paraId="3B3B5A50">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900" w:type="dxa"/>
            <w:tcMar>
              <w:top w:w="70" w:type="dxa"/>
              <w:left w:w="90" w:type="dxa"/>
              <w:bottom w:w="70" w:type="dxa"/>
              <w:right w:w="90" w:type="dxa"/>
            </w:tcMar>
          </w:tcPr>
          <w:p w14:paraId="25FD31FF">
            <w:pPr>
              <w:rPr>
                <w:color w:val="auto"/>
              </w:rPr>
            </w:pPr>
            <w:r>
              <w:rPr>
                <w:b w:val="0"/>
                <w:bCs w:val="0"/>
                <w:color w:val="auto"/>
                <w:sz w:val="19"/>
                <w:szCs w:val="19"/>
              </w:rPr>
              <w:t>Remaining limitations</w:t>
            </w:r>
          </w:p>
        </w:tc>
        <w:tc>
          <w:tcPr>
            <w:tcW w:w="6500" w:type="dxa"/>
            <w:tcMar>
              <w:top w:w="70" w:type="dxa"/>
              <w:left w:w="90" w:type="dxa"/>
              <w:bottom w:w="70" w:type="dxa"/>
              <w:right w:w="90" w:type="dxa"/>
            </w:tcMar>
          </w:tcPr>
          <w:p w14:paraId="4116553E">
            <w:pPr>
              <w:rPr>
                <w:color w:val="auto"/>
              </w:rPr>
            </w:pPr>
            <w:r>
              <w:rPr>
                <w:b w:val="0"/>
                <w:bCs w:val="0"/>
                <w:color w:val="auto"/>
                <w:sz w:val="19"/>
                <w:szCs w:val="19"/>
              </w:rPr>
              <w:t>Small sample in the extreme compound segment (n=20); findings remain correlational; the synthetic dataset's inflated no-show rate limits generalisation of exact percentages; the Data Science retest is still outstanding.</w:t>
            </w:r>
          </w:p>
        </w:tc>
      </w:tr>
    </w:tbl>
    <w:p w14:paraId="0975411D">
      <w:pPr>
        <w:spacing w:after="200"/>
        <w:rPr>
          <w:color w:val="auto"/>
        </w:rPr>
      </w:pPr>
    </w:p>
    <w:p w14:paraId="240A379B">
      <w:pPr>
        <w:pStyle w:val="2"/>
        <w:spacing w:before="300" w:after="150"/>
        <w:rPr>
          <w:color w:val="auto"/>
        </w:rPr>
      </w:pPr>
      <w:r>
        <w:rPr>
          <w:color w:val="auto"/>
        </w:rPr>
        <w:t>2. Final KPIs</w:t>
      </w:r>
    </w:p>
    <w:p w14:paraId="15FFD12C">
      <w:pPr>
        <w:spacing w:after="150"/>
        <w:rPr>
          <w:color w:val="auto"/>
        </w:rPr>
      </w:pPr>
      <w:r>
        <w:rPr>
          <w:color w:val="auto"/>
        </w:rPr>
        <w:t>All five KPIs proposed in Week 4, plus the Week 6 compound finding, were validated through statistical testing (chi-square) and re-confirmed via an independent final validation pass against the raw dataset ahead of this package.</w:t>
      </w:r>
    </w:p>
    <w:tbl>
      <w:tblPr>
        <w:tblStyle w:val="9"/>
        <w:tblW w:w="8400" w:type="dxa"/>
        <w:tblInd w:w="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autofit"/>
        <w:tblCellMar>
          <w:top w:w="0" w:type="dxa"/>
          <w:left w:w="10" w:type="dxa"/>
          <w:bottom w:w="0" w:type="dxa"/>
          <w:right w:w="10" w:type="dxa"/>
        </w:tblCellMar>
      </w:tblPr>
      <w:tblGrid>
        <w:gridCol w:w="2600"/>
        <w:gridCol w:w="4600"/>
        <w:gridCol w:w="1200"/>
      </w:tblGrid>
      <w:tr w14:paraId="2ADE716D">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shd w:val="clear" w:color="auto" w:fill="1F4E79"/>
            <w:tcMar>
              <w:top w:w="70" w:type="dxa"/>
              <w:left w:w="90" w:type="dxa"/>
              <w:bottom w:w="70" w:type="dxa"/>
              <w:right w:w="90" w:type="dxa"/>
            </w:tcMar>
          </w:tcPr>
          <w:p w14:paraId="38ADD8F2">
            <w:pPr>
              <w:rPr>
                <w:color w:val="auto"/>
              </w:rPr>
            </w:pPr>
            <w:r>
              <w:rPr>
                <w:b/>
                <w:bCs/>
                <w:color w:val="auto"/>
                <w:sz w:val="19"/>
                <w:szCs w:val="19"/>
              </w:rPr>
              <w:t>KPI</w:t>
            </w:r>
          </w:p>
        </w:tc>
        <w:tc>
          <w:tcPr>
            <w:tcW w:w="4600" w:type="dxa"/>
            <w:shd w:val="clear" w:color="auto" w:fill="1F4E79"/>
            <w:tcMar>
              <w:top w:w="70" w:type="dxa"/>
              <w:left w:w="90" w:type="dxa"/>
              <w:bottom w:w="70" w:type="dxa"/>
              <w:right w:w="90" w:type="dxa"/>
            </w:tcMar>
          </w:tcPr>
          <w:p w14:paraId="53426648">
            <w:pPr>
              <w:rPr>
                <w:color w:val="auto"/>
              </w:rPr>
            </w:pPr>
            <w:r>
              <w:rPr>
                <w:b/>
                <w:bCs/>
                <w:color w:val="auto"/>
                <w:sz w:val="19"/>
                <w:szCs w:val="19"/>
              </w:rPr>
              <w:t>Final Result</w:t>
            </w:r>
          </w:p>
        </w:tc>
        <w:tc>
          <w:tcPr>
            <w:tcW w:w="1200" w:type="dxa"/>
            <w:shd w:val="clear" w:color="auto" w:fill="1F4E79"/>
            <w:tcMar>
              <w:top w:w="70" w:type="dxa"/>
              <w:left w:w="90" w:type="dxa"/>
              <w:bottom w:w="70" w:type="dxa"/>
              <w:right w:w="90" w:type="dxa"/>
            </w:tcMar>
          </w:tcPr>
          <w:p w14:paraId="3A87C1C7">
            <w:pPr>
              <w:rPr>
                <w:color w:val="auto"/>
              </w:rPr>
            </w:pPr>
            <w:r>
              <w:rPr>
                <w:b/>
                <w:bCs/>
                <w:color w:val="auto"/>
                <w:sz w:val="19"/>
                <w:szCs w:val="19"/>
              </w:rPr>
              <w:t>n</w:t>
            </w:r>
          </w:p>
        </w:tc>
      </w:tr>
      <w:tr w14:paraId="1BD5B298">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70" w:type="dxa"/>
              <w:left w:w="90" w:type="dxa"/>
              <w:bottom w:w="70" w:type="dxa"/>
              <w:right w:w="90" w:type="dxa"/>
            </w:tcMar>
          </w:tcPr>
          <w:p w14:paraId="7F9C078D">
            <w:pPr>
              <w:rPr>
                <w:color w:val="auto"/>
              </w:rPr>
            </w:pPr>
            <w:r>
              <w:rPr>
                <w:b w:val="0"/>
                <w:bCs w:val="0"/>
                <w:color w:val="auto"/>
                <w:sz w:val="19"/>
                <w:szCs w:val="19"/>
              </w:rPr>
              <w:t>Distance band</w:t>
            </w:r>
          </w:p>
        </w:tc>
        <w:tc>
          <w:tcPr>
            <w:tcW w:w="4600" w:type="dxa"/>
            <w:tcMar>
              <w:top w:w="70" w:type="dxa"/>
              <w:left w:w="90" w:type="dxa"/>
              <w:bottom w:w="70" w:type="dxa"/>
              <w:right w:w="90" w:type="dxa"/>
            </w:tcMar>
          </w:tcPr>
          <w:p w14:paraId="51571765">
            <w:pPr>
              <w:rPr>
                <w:color w:val="auto"/>
              </w:rPr>
            </w:pPr>
            <w:r>
              <w:rPr>
                <w:b w:val="0"/>
                <w:bCs w:val="0"/>
                <w:color w:val="auto"/>
                <w:sz w:val="19"/>
                <w:szCs w:val="19"/>
              </w:rPr>
              <w:t>46.5% → 47.3% → 52.8% → 61.0%</w:t>
            </w:r>
          </w:p>
        </w:tc>
        <w:tc>
          <w:tcPr>
            <w:tcW w:w="1200" w:type="dxa"/>
            <w:tcMar>
              <w:top w:w="70" w:type="dxa"/>
              <w:left w:w="90" w:type="dxa"/>
              <w:bottom w:w="70" w:type="dxa"/>
              <w:right w:w="90" w:type="dxa"/>
            </w:tcMar>
          </w:tcPr>
          <w:p w14:paraId="76C8B619">
            <w:pPr>
              <w:rPr>
                <w:color w:val="auto"/>
              </w:rPr>
            </w:pPr>
            <w:r>
              <w:rPr>
                <w:b w:val="0"/>
                <w:bCs w:val="0"/>
                <w:color w:val="auto"/>
                <w:sz w:val="19"/>
                <w:szCs w:val="19"/>
              </w:rPr>
              <w:t>4,910</w:t>
            </w:r>
          </w:p>
        </w:tc>
      </w:tr>
      <w:tr w14:paraId="32245A88">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70" w:type="dxa"/>
              <w:left w:w="90" w:type="dxa"/>
              <w:bottom w:w="70" w:type="dxa"/>
              <w:right w:w="90" w:type="dxa"/>
            </w:tcMar>
          </w:tcPr>
          <w:p w14:paraId="795E2B25">
            <w:pPr>
              <w:rPr>
                <w:color w:val="auto"/>
              </w:rPr>
            </w:pPr>
            <w:r>
              <w:rPr>
                <w:b w:val="0"/>
                <w:bCs w:val="0"/>
                <w:color w:val="auto"/>
                <w:sz w:val="19"/>
                <w:szCs w:val="19"/>
              </w:rPr>
              <w:t>Prior no-shows</w:t>
            </w:r>
          </w:p>
        </w:tc>
        <w:tc>
          <w:tcPr>
            <w:tcW w:w="4600" w:type="dxa"/>
            <w:tcMar>
              <w:top w:w="70" w:type="dxa"/>
              <w:left w:w="90" w:type="dxa"/>
              <w:bottom w:w="70" w:type="dxa"/>
              <w:right w:w="90" w:type="dxa"/>
            </w:tcMar>
          </w:tcPr>
          <w:p w14:paraId="764091FD">
            <w:pPr>
              <w:rPr>
                <w:color w:val="auto"/>
              </w:rPr>
            </w:pPr>
            <w:r>
              <w:rPr>
                <w:b w:val="0"/>
                <w:bCs w:val="0"/>
                <w:color w:val="auto"/>
                <w:sz w:val="19"/>
                <w:szCs w:val="19"/>
              </w:rPr>
              <w:t>43.5% → 53.5% → 61.0%</w:t>
            </w:r>
          </w:p>
        </w:tc>
        <w:tc>
          <w:tcPr>
            <w:tcW w:w="1200" w:type="dxa"/>
            <w:tcMar>
              <w:top w:w="70" w:type="dxa"/>
              <w:left w:w="90" w:type="dxa"/>
              <w:bottom w:w="70" w:type="dxa"/>
              <w:right w:w="90" w:type="dxa"/>
            </w:tcMar>
          </w:tcPr>
          <w:p w14:paraId="2CCDDFBF">
            <w:pPr>
              <w:rPr>
                <w:color w:val="auto"/>
              </w:rPr>
            </w:pPr>
            <w:r>
              <w:rPr>
                <w:b w:val="0"/>
                <w:bCs w:val="0"/>
                <w:color w:val="auto"/>
                <w:sz w:val="19"/>
                <w:szCs w:val="19"/>
              </w:rPr>
              <w:t>5,000</w:t>
            </w:r>
          </w:p>
        </w:tc>
      </w:tr>
      <w:tr w14:paraId="0B825F8A">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70" w:type="dxa"/>
              <w:left w:w="90" w:type="dxa"/>
              <w:bottom w:w="70" w:type="dxa"/>
              <w:right w:w="90" w:type="dxa"/>
            </w:tcMar>
          </w:tcPr>
          <w:p w14:paraId="2E8E02E5">
            <w:pPr>
              <w:rPr>
                <w:color w:val="auto"/>
              </w:rPr>
            </w:pPr>
            <w:r>
              <w:rPr>
                <w:b w:val="0"/>
                <w:bCs w:val="0"/>
                <w:color w:val="auto"/>
                <w:sz w:val="19"/>
                <w:szCs w:val="19"/>
              </w:rPr>
              <w:t>Reminder channel</w:t>
            </w:r>
          </w:p>
        </w:tc>
        <w:tc>
          <w:tcPr>
            <w:tcW w:w="4600" w:type="dxa"/>
            <w:tcMar>
              <w:top w:w="70" w:type="dxa"/>
              <w:left w:w="90" w:type="dxa"/>
              <w:bottom w:w="70" w:type="dxa"/>
              <w:right w:w="90" w:type="dxa"/>
            </w:tcMar>
          </w:tcPr>
          <w:p w14:paraId="5A870E02">
            <w:pPr>
              <w:rPr>
                <w:color w:val="auto"/>
              </w:rPr>
            </w:pPr>
            <w:r>
              <w:rPr>
                <w:b w:val="0"/>
                <w:bCs w:val="0"/>
                <w:color w:val="auto"/>
                <w:sz w:val="19"/>
                <w:szCs w:val="19"/>
              </w:rPr>
              <w:t>SMS 45.8% &lt; Email 48.4% &lt; WhatsApp 49.8% &lt; None 51.4%</w:t>
            </w:r>
          </w:p>
        </w:tc>
        <w:tc>
          <w:tcPr>
            <w:tcW w:w="1200" w:type="dxa"/>
            <w:tcMar>
              <w:top w:w="70" w:type="dxa"/>
              <w:left w:w="90" w:type="dxa"/>
              <w:bottom w:w="70" w:type="dxa"/>
              <w:right w:w="90" w:type="dxa"/>
            </w:tcMar>
          </w:tcPr>
          <w:p w14:paraId="5C267926">
            <w:pPr>
              <w:rPr>
                <w:color w:val="auto"/>
              </w:rPr>
            </w:pPr>
            <w:r>
              <w:rPr>
                <w:b w:val="0"/>
                <w:bCs w:val="0"/>
                <w:color w:val="auto"/>
                <w:sz w:val="19"/>
                <w:szCs w:val="19"/>
              </w:rPr>
              <w:t>5,000</w:t>
            </w:r>
          </w:p>
        </w:tc>
      </w:tr>
      <w:tr w14:paraId="05C7390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70" w:type="dxa"/>
              <w:left w:w="90" w:type="dxa"/>
              <w:bottom w:w="70" w:type="dxa"/>
              <w:right w:w="90" w:type="dxa"/>
            </w:tcMar>
          </w:tcPr>
          <w:p w14:paraId="36073E53">
            <w:pPr>
              <w:rPr>
                <w:color w:val="auto"/>
              </w:rPr>
            </w:pPr>
            <w:r>
              <w:rPr>
                <w:b w:val="0"/>
                <w:bCs w:val="0"/>
                <w:color w:val="auto"/>
                <w:sz w:val="19"/>
                <w:szCs w:val="19"/>
              </w:rPr>
              <w:t>Booking lead time</w:t>
            </w:r>
          </w:p>
        </w:tc>
        <w:tc>
          <w:tcPr>
            <w:tcW w:w="4600" w:type="dxa"/>
            <w:tcMar>
              <w:top w:w="70" w:type="dxa"/>
              <w:left w:w="90" w:type="dxa"/>
              <w:bottom w:w="70" w:type="dxa"/>
              <w:right w:w="90" w:type="dxa"/>
            </w:tcMar>
          </w:tcPr>
          <w:p w14:paraId="4243C7CD">
            <w:pPr>
              <w:rPr>
                <w:color w:val="auto"/>
              </w:rPr>
            </w:pPr>
            <w:r>
              <w:rPr>
                <w:b w:val="0"/>
                <w:bCs w:val="0"/>
                <w:color w:val="auto"/>
                <w:sz w:val="19"/>
                <w:szCs w:val="19"/>
              </w:rPr>
              <w:t>27.8% → 39.7% → 59.6%</w:t>
            </w:r>
          </w:p>
        </w:tc>
        <w:tc>
          <w:tcPr>
            <w:tcW w:w="1200" w:type="dxa"/>
            <w:tcMar>
              <w:top w:w="70" w:type="dxa"/>
              <w:left w:w="90" w:type="dxa"/>
              <w:bottom w:w="70" w:type="dxa"/>
              <w:right w:w="90" w:type="dxa"/>
            </w:tcMar>
          </w:tcPr>
          <w:p w14:paraId="01927DEC">
            <w:pPr>
              <w:rPr>
                <w:color w:val="auto"/>
              </w:rPr>
            </w:pPr>
            <w:r>
              <w:rPr>
                <w:b w:val="0"/>
                <w:bCs w:val="0"/>
                <w:color w:val="auto"/>
                <w:sz w:val="19"/>
                <w:szCs w:val="19"/>
              </w:rPr>
              <w:t>5,000</w:t>
            </w:r>
          </w:p>
        </w:tc>
      </w:tr>
      <w:tr w14:paraId="1EF45B2F">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2600" w:type="dxa"/>
            <w:tcMar>
              <w:top w:w="70" w:type="dxa"/>
              <w:left w:w="90" w:type="dxa"/>
              <w:bottom w:w="70" w:type="dxa"/>
              <w:right w:w="90" w:type="dxa"/>
            </w:tcMar>
          </w:tcPr>
          <w:p w14:paraId="4B943956">
            <w:pPr>
              <w:rPr>
                <w:color w:val="auto"/>
              </w:rPr>
            </w:pPr>
            <w:r>
              <w:rPr>
                <w:b w:val="0"/>
                <w:bCs w:val="0"/>
                <w:color w:val="auto"/>
                <w:sz w:val="19"/>
                <w:szCs w:val="19"/>
              </w:rPr>
              <w:t>Compound (2+ prior, 25.8km+)</w:t>
            </w:r>
          </w:p>
        </w:tc>
        <w:tc>
          <w:tcPr>
            <w:tcW w:w="4600" w:type="dxa"/>
            <w:tcMar>
              <w:top w:w="70" w:type="dxa"/>
              <w:left w:w="90" w:type="dxa"/>
              <w:bottom w:w="70" w:type="dxa"/>
              <w:right w:w="90" w:type="dxa"/>
            </w:tcMar>
          </w:tcPr>
          <w:p w14:paraId="69528DD0">
            <w:pPr>
              <w:rPr>
                <w:color w:val="auto"/>
              </w:rPr>
            </w:pPr>
            <w:r>
              <w:rPr>
                <w:b w:val="0"/>
                <w:bCs w:val="0"/>
                <w:color w:val="auto"/>
                <w:sz w:val="19"/>
                <w:szCs w:val="19"/>
              </w:rPr>
              <w:t>80.0%</w:t>
            </w:r>
          </w:p>
        </w:tc>
        <w:tc>
          <w:tcPr>
            <w:tcW w:w="1200" w:type="dxa"/>
            <w:tcMar>
              <w:top w:w="70" w:type="dxa"/>
              <w:left w:w="90" w:type="dxa"/>
              <w:bottom w:w="70" w:type="dxa"/>
              <w:right w:w="90" w:type="dxa"/>
            </w:tcMar>
          </w:tcPr>
          <w:p w14:paraId="138FB1E6">
            <w:pPr>
              <w:rPr>
                <w:color w:val="auto"/>
              </w:rPr>
            </w:pPr>
            <w:r>
              <w:rPr>
                <w:b w:val="0"/>
                <w:bCs w:val="0"/>
                <w:color w:val="auto"/>
                <w:sz w:val="19"/>
                <w:szCs w:val="19"/>
              </w:rPr>
              <w:t>20</w:t>
            </w:r>
          </w:p>
        </w:tc>
      </w:tr>
    </w:tbl>
    <w:p w14:paraId="2C0F11C5">
      <w:pPr>
        <w:spacing w:after="200"/>
        <w:rPr>
          <w:color w:val="auto"/>
        </w:rPr>
      </w:pPr>
    </w:p>
    <w:p w14:paraId="37E40788">
      <w:pPr>
        <w:pStyle w:val="2"/>
        <w:spacing w:before="300" w:after="150"/>
        <w:rPr>
          <w:color w:val="auto"/>
        </w:rPr>
      </w:pPr>
      <w:r>
        <w:rPr>
          <w:color w:val="auto"/>
        </w:rPr>
        <w:t>3. Most Important Attendance/No-Show Patterns</w:t>
      </w:r>
    </w:p>
    <w:p w14:paraId="7266A7E6">
      <w:pPr>
        <w:pStyle w:val="16"/>
        <w:numPr>
          <w:ilvl w:val="0"/>
          <w:numId w:val="1"/>
        </w:numPr>
        <w:spacing w:after="110"/>
        <w:rPr>
          <w:color w:val="auto"/>
        </w:rPr>
      </w:pPr>
      <w:r>
        <w:rPr>
          <w:color w:val="auto"/>
        </w:rPr>
        <w:t>Patient history is destiny  until it compounds with distance. No-show risk climbs steadily with prior no-shows (43.5% → 61.0%), and combined with living far from the clinic, reaches 80.0% — the single highest-risk pattern in the dataset.</w:t>
      </w:r>
    </w:p>
    <w:p w14:paraId="3ACF9719">
      <w:pPr>
        <w:pStyle w:val="16"/>
        <w:numPr>
          <w:ilvl w:val="0"/>
          <w:numId w:val="1"/>
        </w:numPr>
        <w:spacing w:after="110"/>
        <w:rPr>
          <w:color w:val="auto"/>
        </w:rPr>
      </w:pPr>
      <w:r>
        <w:rPr>
          <w:color w:val="auto"/>
        </w:rPr>
        <w:t>Booking too far in advance is almost as strong a signal  risk more than doubles from 27.8% (booked within a week) to 59.6% (booked a month or more out).</w:t>
      </w:r>
    </w:p>
    <w:p w14:paraId="2FBAF52A">
      <w:pPr>
        <w:pStyle w:val="16"/>
        <w:numPr>
          <w:ilvl w:val="0"/>
          <w:numId w:val="1"/>
        </w:numPr>
        <w:spacing w:after="110"/>
        <w:rPr>
          <w:color w:val="auto"/>
        </w:rPr>
      </w:pPr>
      <w:r>
        <w:rPr>
          <w:color w:val="auto"/>
        </w:rPr>
        <w:t>Distance alone barely matters  except at the extreme. A small 25.8km+ group (3% of patients) is a real, distinct high-risk pocket.</w:t>
      </w:r>
    </w:p>
    <w:p w14:paraId="0955D3BA">
      <w:pPr>
        <w:pStyle w:val="16"/>
        <w:numPr>
          <w:ilvl w:val="0"/>
          <w:numId w:val="1"/>
        </w:numPr>
        <w:spacing w:after="110"/>
        <w:rPr>
          <w:color w:val="auto"/>
        </w:rPr>
      </w:pPr>
      <w:r>
        <w:rPr>
          <w:color w:val="auto"/>
        </w:rPr>
        <w:t>Reminders work, and channel choice matters especially for at-risk patients  SMS's effect is more than double as large within the high-risk group as in the general population.</w:t>
      </w:r>
    </w:p>
    <w:p w14:paraId="4A7907CB">
      <w:pPr>
        <w:pStyle w:val="16"/>
        <w:numPr>
          <w:ilvl w:val="0"/>
          <w:numId w:val="1"/>
        </w:numPr>
        <w:spacing w:after="110"/>
        <w:rPr>
          <w:color w:val="auto"/>
        </w:rPr>
      </w:pPr>
      <w:r>
        <w:rPr>
          <w:color w:val="auto"/>
        </w:rPr>
        <w:t>Not every apparent pattern is real  age combined with appointment type looked meaningful at first glance but did not survive rigorous full-matrix testing, and is reported as such rather than overstated.</w:t>
      </w:r>
    </w:p>
    <w:p w14:paraId="6B51238D">
      <w:pPr>
        <w:pStyle w:val="2"/>
        <w:spacing w:before="300" w:after="150"/>
        <w:rPr>
          <w:color w:val="auto"/>
        </w:rPr>
      </w:pPr>
      <w:r>
        <w:rPr>
          <w:color w:val="auto"/>
        </w:rPr>
        <w:t>4. Key Visualizations  Final Dashboard</w:t>
      </w:r>
    </w:p>
    <w:p w14:paraId="40922DAB">
      <w:pPr>
        <w:spacing w:before="120" w:after="120"/>
        <w:jc w:val="center"/>
        <w:rPr>
          <w:color w:val="auto"/>
        </w:rPr>
      </w:pPr>
      <w:r>
        <w:rPr>
          <w:color w:val="auto"/>
        </w:rPr>
        <w:drawing>
          <wp:inline distT="0" distB="0" distL="0" distR="0">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3324225"/>
                    </a:xfrm>
                    <a:prstGeom prst="rect">
                      <a:avLst/>
                    </a:prstGeom>
                  </pic:spPr>
                </pic:pic>
              </a:graphicData>
            </a:graphic>
          </wp:inline>
        </w:drawing>
      </w:r>
    </w:p>
    <w:p w14:paraId="2D792B8D">
      <w:pPr>
        <w:spacing w:after="150"/>
        <w:rPr>
          <w:color w:val="auto"/>
        </w:rPr>
      </w:pPr>
      <w:r>
        <w:rPr>
          <w:i/>
          <w:iCs/>
          <w:color w:val="auto"/>
        </w:rPr>
        <w:t>Figure 1: Final HealthConnect analytics dashboard (Power BI) — summary cards, 4 single-variable KPI visuals, 2 compound matrices, and a Statistical Validation table. All figures independently re-verified against the raw dataset for this final package.</w:t>
      </w:r>
    </w:p>
    <w:p w14:paraId="00A357D1">
      <w:pPr>
        <w:pStyle w:val="2"/>
        <w:spacing w:before="300" w:after="150"/>
        <w:rPr>
          <w:color w:val="auto"/>
        </w:rPr>
      </w:pPr>
      <w:r>
        <w:rPr>
          <w:color w:val="auto"/>
        </w:rPr>
        <w:t>5. Business Insights</w:t>
      </w:r>
    </w:p>
    <w:p w14:paraId="1657CD79">
      <w:pPr>
        <w:pStyle w:val="16"/>
        <w:numPr>
          <w:ilvl w:val="0"/>
          <w:numId w:val="2"/>
        </w:numPr>
        <w:spacing w:after="90"/>
        <w:rPr>
          <w:color w:val="auto"/>
        </w:rPr>
      </w:pPr>
      <w:r>
        <w:rPr>
          <w:color w:val="auto"/>
        </w:rPr>
        <w:t>HealthConnect's no-show problem is not uniform  it is concentrated in identifiable, targetable segments, not spread evenly across all patients.</w:t>
      </w:r>
    </w:p>
    <w:p w14:paraId="3042C258">
      <w:pPr>
        <w:pStyle w:val="16"/>
        <w:numPr>
          <w:ilvl w:val="0"/>
          <w:numId w:val="2"/>
        </w:numPr>
        <w:spacing w:after="90"/>
        <w:rPr>
          <w:color w:val="auto"/>
        </w:rPr>
      </w:pPr>
      <w:r>
        <w:rPr>
          <w:color w:val="auto"/>
        </w:rPr>
        <w:t>The two strongest levers (patient history, booking timing) are things the clinic can act on before an appointment happens a prevention opportunity, not just a measurement one.</w:t>
      </w:r>
    </w:p>
    <w:p w14:paraId="2CB9ED7A">
      <w:pPr>
        <w:pStyle w:val="16"/>
        <w:numPr>
          <w:ilvl w:val="0"/>
          <w:numId w:val="2"/>
        </w:numPr>
        <w:spacing w:after="90"/>
        <w:rPr>
          <w:color w:val="auto"/>
        </w:rPr>
      </w:pPr>
      <w:r>
        <w:rPr>
          <w:color w:val="auto"/>
        </w:rPr>
        <w:t>The evidence base is cross-validated, not resting on one method: the Data Science model's feature importance independently confirmed the same top predictors found through statistical testing.</w:t>
      </w:r>
    </w:p>
    <w:p w14:paraId="5E007CE2">
      <w:pPr>
        <w:pStyle w:val="16"/>
        <w:numPr>
          <w:ilvl w:val="0"/>
          <w:numId w:val="2"/>
        </w:numPr>
        <w:spacing w:after="90"/>
        <w:rPr>
          <w:color w:val="auto"/>
        </w:rPr>
      </w:pPr>
      <w:r>
        <w:rPr>
          <w:color w:val="auto"/>
        </w:rPr>
        <w:t>A specific, small (20-patient) segment carries disproportionate risk (80%) a candidate for a manual, high-touch process rather than an automated one, given the small numbers involved.</w:t>
      </w:r>
    </w:p>
    <w:p w14:paraId="36A02D4F">
      <w:pPr>
        <w:pStyle w:val="2"/>
        <w:spacing w:before="300" w:after="150"/>
        <w:rPr>
          <w:color w:val="auto"/>
        </w:rPr>
      </w:pPr>
      <w:r>
        <w:rPr>
          <w:color w:val="auto"/>
        </w:rPr>
        <w:t>6. Recommendations</w:t>
      </w:r>
    </w:p>
    <w:tbl>
      <w:tblPr>
        <w:tblStyle w:val="9"/>
        <w:tblW w:w="9100" w:type="dxa"/>
        <w:tblInd w:w="0"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autofit"/>
        <w:tblCellMar>
          <w:top w:w="0" w:type="dxa"/>
          <w:left w:w="10" w:type="dxa"/>
          <w:bottom w:w="0" w:type="dxa"/>
          <w:right w:w="10" w:type="dxa"/>
        </w:tblCellMar>
      </w:tblPr>
      <w:tblGrid>
        <w:gridCol w:w="3600"/>
        <w:gridCol w:w="3000"/>
        <w:gridCol w:w="2500"/>
      </w:tblGrid>
      <w:tr w14:paraId="3A11F75D">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shd w:val="clear" w:color="auto" w:fill="1F4E79"/>
            <w:tcMar>
              <w:top w:w="70" w:type="dxa"/>
              <w:left w:w="90" w:type="dxa"/>
              <w:bottom w:w="70" w:type="dxa"/>
              <w:right w:w="90" w:type="dxa"/>
            </w:tcMar>
          </w:tcPr>
          <w:p w14:paraId="250CA76F">
            <w:pPr>
              <w:rPr>
                <w:color w:val="auto"/>
              </w:rPr>
            </w:pPr>
            <w:r>
              <w:rPr>
                <w:b/>
                <w:bCs/>
                <w:color w:val="auto"/>
                <w:sz w:val="19"/>
                <w:szCs w:val="19"/>
              </w:rPr>
              <w:t>Recommendation</w:t>
            </w:r>
          </w:p>
        </w:tc>
        <w:tc>
          <w:tcPr>
            <w:tcW w:w="3000" w:type="dxa"/>
            <w:shd w:val="clear" w:color="auto" w:fill="1F4E79"/>
            <w:tcMar>
              <w:top w:w="70" w:type="dxa"/>
              <w:left w:w="90" w:type="dxa"/>
              <w:bottom w:w="70" w:type="dxa"/>
              <w:right w:w="90" w:type="dxa"/>
            </w:tcMar>
          </w:tcPr>
          <w:p w14:paraId="2066CD78">
            <w:pPr>
              <w:rPr>
                <w:color w:val="auto"/>
              </w:rPr>
            </w:pPr>
            <w:r>
              <w:rPr>
                <w:b/>
                <w:bCs/>
                <w:color w:val="auto"/>
                <w:sz w:val="19"/>
                <w:szCs w:val="19"/>
              </w:rPr>
              <w:t>Confidence</w:t>
            </w:r>
          </w:p>
        </w:tc>
        <w:tc>
          <w:tcPr>
            <w:tcW w:w="2500" w:type="dxa"/>
            <w:shd w:val="clear" w:color="auto" w:fill="1F4E79"/>
            <w:tcMar>
              <w:top w:w="70" w:type="dxa"/>
              <w:left w:w="90" w:type="dxa"/>
              <w:bottom w:w="70" w:type="dxa"/>
              <w:right w:w="90" w:type="dxa"/>
            </w:tcMar>
          </w:tcPr>
          <w:p w14:paraId="2B88AE5A">
            <w:pPr>
              <w:rPr>
                <w:color w:val="auto"/>
              </w:rPr>
            </w:pPr>
            <w:r>
              <w:rPr>
                <w:b/>
                <w:bCs/>
                <w:color w:val="auto"/>
                <w:sz w:val="19"/>
                <w:szCs w:val="19"/>
              </w:rPr>
              <w:t>Cross-track status</w:t>
            </w:r>
          </w:p>
        </w:tc>
      </w:tr>
      <w:tr w14:paraId="657B68C5">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70" w:type="dxa"/>
              <w:left w:w="90" w:type="dxa"/>
              <w:bottom w:w="70" w:type="dxa"/>
              <w:right w:w="90" w:type="dxa"/>
            </w:tcMar>
          </w:tcPr>
          <w:p w14:paraId="4167B919">
            <w:pPr>
              <w:rPr>
                <w:color w:val="auto"/>
              </w:rPr>
            </w:pPr>
            <w:r>
              <w:rPr>
                <w:b w:val="0"/>
                <w:bCs w:val="0"/>
                <w:color w:val="auto"/>
                <w:sz w:val="19"/>
                <w:szCs w:val="19"/>
              </w:rPr>
              <w:t>1. Flag patients with 2+ prior no-shows for SMS + phone confirmation</w:t>
            </w:r>
          </w:p>
        </w:tc>
        <w:tc>
          <w:tcPr>
            <w:tcW w:w="3000" w:type="dxa"/>
            <w:tcMar>
              <w:top w:w="70" w:type="dxa"/>
              <w:left w:w="90" w:type="dxa"/>
              <w:bottom w:w="70" w:type="dxa"/>
              <w:right w:w="90" w:type="dxa"/>
            </w:tcMar>
          </w:tcPr>
          <w:p w14:paraId="2FAE5013">
            <w:pPr>
              <w:rPr>
                <w:color w:val="auto"/>
              </w:rPr>
            </w:pPr>
            <w:r>
              <w:rPr>
                <w:b w:val="0"/>
                <w:bCs w:val="0"/>
                <w:color w:val="auto"/>
                <w:sz w:val="19"/>
                <w:szCs w:val="19"/>
              </w:rPr>
              <w:t>High</w:t>
            </w:r>
          </w:p>
        </w:tc>
        <w:tc>
          <w:tcPr>
            <w:tcW w:w="2500" w:type="dxa"/>
            <w:tcMar>
              <w:top w:w="70" w:type="dxa"/>
              <w:left w:w="90" w:type="dxa"/>
              <w:bottom w:w="70" w:type="dxa"/>
              <w:right w:w="90" w:type="dxa"/>
            </w:tcMar>
          </w:tcPr>
          <w:p w14:paraId="34EBFC7A">
            <w:pPr>
              <w:rPr>
                <w:color w:val="auto"/>
              </w:rPr>
            </w:pPr>
            <w:r>
              <w:rPr>
                <w:b w:val="0"/>
                <w:bCs w:val="0"/>
                <w:color w:val="auto"/>
                <w:sz w:val="19"/>
                <w:szCs w:val="19"/>
              </w:rPr>
              <w:t>Independently confirmed by Data Science's feature importance</w:t>
            </w:r>
          </w:p>
        </w:tc>
      </w:tr>
      <w:tr w14:paraId="77B393B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70" w:type="dxa"/>
              <w:left w:w="90" w:type="dxa"/>
              <w:bottom w:w="70" w:type="dxa"/>
              <w:right w:w="90" w:type="dxa"/>
            </w:tcMar>
          </w:tcPr>
          <w:p w14:paraId="379AFE96">
            <w:pPr>
              <w:rPr>
                <w:color w:val="auto"/>
              </w:rPr>
            </w:pPr>
            <w:r>
              <w:rPr>
                <w:b w:val="0"/>
                <w:bCs w:val="0"/>
                <w:color w:val="auto"/>
                <w:sz w:val="19"/>
                <w:szCs w:val="19"/>
              </w:rPr>
              <w:t>2. Make SMS the default reminder channel</w:t>
            </w:r>
          </w:p>
        </w:tc>
        <w:tc>
          <w:tcPr>
            <w:tcW w:w="3000" w:type="dxa"/>
            <w:tcMar>
              <w:top w:w="70" w:type="dxa"/>
              <w:left w:w="90" w:type="dxa"/>
              <w:bottom w:w="70" w:type="dxa"/>
              <w:right w:w="90" w:type="dxa"/>
            </w:tcMar>
          </w:tcPr>
          <w:p w14:paraId="5CC23708">
            <w:pPr>
              <w:rPr>
                <w:color w:val="auto"/>
              </w:rPr>
            </w:pPr>
            <w:r>
              <w:rPr>
                <w:b w:val="0"/>
                <w:bCs w:val="0"/>
                <w:color w:val="auto"/>
                <w:sz w:val="19"/>
                <w:szCs w:val="19"/>
              </w:rPr>
              <w:t>High</w:t>
            </w:r>
          </w:p>
        </w:tc>
        <w:tc>
          <w:tcPr>
            <w:tcW w:w="2500" w:type="dxa"/>
            <w:tcMar>
              <w:top w:w="70" w:type="dxa"/>
              <w:left w:w="90" w:type="dxa"/>
              <w:bottom w:w="70" w:type="dxa"/>
              <w:right w:w="90" w:type="dxa"/>
            </w:tcMar>
          </w:tcPr>
          <w:p w14:paraId="288EBD74">
            <w:pPr>
              <w:rPr>
                <w:color w:val="auto"/>
              </w:rPr>
            </w:pPr>
            <w:r>
              <w:rPr>
                <w:b w:val="0"/>
                <w:bCs w:val="0"/>
                <w:color w:val="auto"/>
                <w:sz w:val="19"/>
                <w:szCs w:val="19"/>
              </w:rPr>
              <w:t>Confirmed strongest channel; effect is 2x larger in the high-risk group</w:t>
            </w:r>
          </w:p>
        </w:tc>
      </w:tr>
      <w:tr w14:paraId="7DF1E0B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70" w:type="dxa"/>
              <w:left w:w="90" w:type="dxa"/>
              <w:bottom w:w="70" w:type="dxa"/>
              <w:right w:w="90" w:type="dxa"/>
            </w:tcMar>
          </w:tcPr>
          <w:p w14:paraId="1A160AC6">
            <w:pPr>
              <w:rPr>
                <w:color w:val="auto"/>
              </w:rPr>
            </w:pPr>
            <w:r>
              <w:rPr>
                <w:b w:val="0"/>
                <w:bCs w:val="0"/>
                <w:color w:val="auto"/>
                <w:sz w:val="19"/>
                <w:szCs w:val="19"/>
              </w:rPr>
              <w:t>3. Give the compound high-risk group a phone call, not just SMS</w:t>
            </w:r>
          </w:p>
        </w:tc>
        <w:tc>
          <w:tcPr>
            <w:tcW w:w="3000" w:type="dxa"/>
            <w:tcMar>
              <w:top w:w="70" w:type="dxa"/>
              <w:left w:w="90" w:type="dxa"/>
              <w:bottom w:w="70" w:type="dxa"/>
              <w:right w:w="90" w:type="dxa"/>
            </w:tcMar>
          </w:tcPr>
          <w:p w14:paraId="0EE11ED5">
            <w:pPr>
              <w:rPr>
                <w:color w:val="auto"/>
              </w:rPr>
            </w:pPr>
            <w:r>
              <w:rPr>
                <w:b w:val="0"/>
                <w:bCs w:val="0"/>
                <w:color w:val="auto"/>
                <w:sz w:val="19"/>
                <w:szCs w:val="19"/>
              </w:rPr>
              <w:t xml:space="preserve">Medium </w:t>
            </w:r>
            <w:r>
              <w:rPr>
                <w:rFonts w:hint="default"/>
                <w:b w:val="0"/>
                <w:bCs w:val="0"/>
                <w:color w:val="auto"/>
                <w:sz w:val="19"/>
                <w:szCs w:val="19"/>
                <w:lang w:val="en-US"/>
              </w:rPr>
              <w:t>,</w:t>
            </w:r>
            <w:r>
              <w:rPr>
                <w:b w:val="0"/>
                <w:bCs w:val="0"/>
                <w:color w:val="auto"/>
                <w:sz w:val="19"/>
                <w:szCs w:val="19"/>
              </w:rPr>
              <w:t xml:space="preserve"> small sample (n=20)</w:t>
            </w:r>
          </w:p>
        </w:tc>
        <w:tc>
          <w:tcPr>
            <w:tcW w:w="2500" w:type="dxa"/>
            <w:tcMar>
              <w:top w:w="70" w:type="dxa"/>
              <w:left w:w="90" w:type="dxa"/>
              <w:bottom w:w="70" w:type="dxa"/>
              <w:right w:w="90" w:type="dxa"/>
            </w:tcMar>
          </w:tcPr>
          <w:p w14:paraId="11BC6DD7">
            <w:pPr>
              <w:rPr>
                <w:color w:val="auto"/>
              </w:rPr>
            </w:pPr>
            <w:r>
              <w:rPr>
                <w:b w:val="0"/>
                <w:bCs w:val="0"/>
                <w:color w:val="auto"/>
                <w:sz w:val="19"/>
                <w:szCs w:val="19"/>
              </w:rPr>
              <w:t>Proposed to Data Science as a candidate model feature; retest pending</w:t>
            </w:r>
          </w:p>
        </w:tc>
      </w:tr>
      <w:tr w14:paraId="40157352">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70" w:type="dxa"/>
              <w:left w:w="90" w:type="dxa"/>
              <w:bottom w:w="70" w:type="dxa"/>
              <w:right w:w="90" w:type="dxa"/>
            </w:tcMar>
          </w:tcPr>
          <w:p w14:paraId="7A1BC857">
            <w:pPr>
              <w:rPr>
                <w:color w:val="auto"/>
              </w:rPr>
            </w:pPr>
            <w:r>
              <w:rPr>
                <w:b w:val="0"/>
                <w:bCs w:val="0"/>
                <w:color w:val="auto"/>
                <w:sz w:val="19"/>
                <w:szCs w:val="19"/>
              </w:rPr>
              <w:t>4. Offer telehealth/transport support for the 25.8km+ distance group</w:t>
            </w:r>
          </w:p>
        </w:tc>
        <w:tc>
          <w:tcPr>
            <w:tcW w:w="3000" w:type="dxa"/>
            <w:tcMar>
              <w:top w:w="70" w:type="dxa"/>
              <w:left w:w="90" w:type="dxa"/>
              <w:bottom w:w="70" w:type="dxa"/>
              <w:right w:w="90" w:type="dxa"/>
            </w:tcMar>
          </w:tcPr>
          <w:p w14:paraId="3B8FF593">
            <w:pPr>
              <w:rPr>
                <w:color w:val="auto"/>
              </w:rPr>
            </w:pPr>
            <w:r>
              <w:rPr>
                <w:b w:val="0"/>
                <w:bCs w:val="0"/>
                <w:color w:val="auto"/>
                <w:sz w:val="19"/>
                <w:szCs w:val="19"/>
              </w:rPr>
              <w:t>High</w:t>
            </w:r>
          </w:p>
        </w:tc>
        <w:tc>
          <w:tcPr>
            <w:tcW w:w="2500" w:type="dxa"/>
            <w:tcMar>
              <w:top w:w="70" w:type="dxa"/>
              <w:left w:w="90" w:type="dxa"/>
              <w:bottom w:w="70" w:type="dxa"/>
              <w:right w:w="90" w:type="dxa"/>
            </w:tcMar>
          </w:tcPr>
          <w:p w14:paraId="685E00EC">
            <w:pPr>
              <w:rPr>
                <w:color w:val="auto"/>
              </w:rPr>
            </w:pPr>
          </w:p>
        </w:tc>
      </w:tr>
      <w:tr w14:paraId="39EAE75E">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70" w:type="dxa"/>
              <w:left w:w="90" w:type="dxa"/>
              <w:bottom w:w="70" w:type="dxa"/>
              <w:right w:w="90" w:type="dxa"/>
            </w:tcMar>
          </w:tcPr>
          <w:p w14:paraId="246C59F3">
            <w:pPr>
              <w:rPr>
                <w:color w:val="auto"/>
              </w:rPr>
            </w:pPr>
            <w:r>
              <w:rPr>
                <w:b w:val="0"/>
                <w:bCs w:val="0"/>
                <w:color w:val="auto"/>
                <w:sz w:val="19"/>
                <w:szCs w:val="19"/>
              </w:rPr>
              <w:t>5. Add a mid-wait check-in for bookings made 1+ month out</w:t>
            </w:r>
          </w:p>
        </w:tc>
        <w:tc>
          <w:tcPr>
            <w:tcW w:w="3000" w:type="dxa"/>
            <w:tcMar>
              <w:top w:w="70" w:type="dxa"/>
              <w:left w:w="90" w:type="dxa"/>
              <w:bottom w:w="70" w:type="dxa"/>
              <w:right w:w="90" w:type="dxa"/>
            </w:tcMar>
          </w:tcPr>
          <w:p w14:paraId="482A4BB6">
            <w:pPr>
              <w:rPr>
                <w:color w:val="auto"/>
              </w:rPr>
            </w:pPr>
            <w:r>
              <w:rPr>
                <w:b w:val="0"/>
                <w:bCs w:val="0"/>
                <w:color w:val="auto"/>
                <w:sz w:val="19"/>
                <w:szCs w:val="19"/>
              </w:rPr>
              <w:t>High</w:t>
            </w:r>
          </w:p>
        </w:tc>
        <w:tc>
          <w:tcPr>
            <w:tcW w:w="2500" w:type="dxa"/>
            <w:tcMar>
              <w:top w:w="70" w:type="dxa"/>
              <w:left w:w="90" w:type="dxa"/>
              <w:bottom w:w="70" w:type="dxa"/>
              <w:right w:w="90" w:type="dxa"/>
            </w:tcMar>
          </w:tcPr>
          <w:p w14:paraId="51E311DC">
            <w:pPr>
              <w:rPr>
                <w:color w:val="auto"/>
              </w:rPr>
            </w:pPr>
            <w:r>
              <w:rPr>
                <w:b w:val="0"/>
                <w:bCs w:val="0"/>
                <w:color w:val="auto"/>
                <w:sz w:val="19"/>
                <w:szCs w:val="19"/>
              </w:rPr>
              <w:t>—</w:t>
            </w:r>
          </w:p>
        </w:tc>
      </w:tr>
      <w:tr w14:paraId="5869973B">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10" w:type="dxa"/>
            <w:bottom w:w="0" w:type="dxa"/>
            <w:right w:w="10" w:type="dxa"/>
          </w:tblCellMar>
        </w:tblPrEx>
        <w:tc>
          <w:tcPr>
            <w:tcW w:w="3600" w:type="dxa"/>
            <w:tcMar>
              <w:top w:w="70" w:type="dxa"/>
              <w:left w:w="90" w:type="dxa"/>
              <w:bottom w:w="70" w:type="dxa"/>
              <w:right w:w="90" w:type="dxa"/>
            </w:tcMar>
          </w:tcPr>
          <w:p w14:paraId="33C98237">
            <w:pPr>
              <w:rPr>
                <w:color w:val="auto"/>
              </w:rPr>
            </w:pPr>
            <w:r>
              <w:rPr>
                <w:b w:val="0"/>
                <w:bCs w:val="0"/>
                <w:color w:val="auto"/>
                <w:sz w:val="19"/>
                <w:szCs w:val="19"/>
              </w:rPr>
              <w:t>6. Do NOT build a targeted intervention around age × appointment type</w:t>
            </w:r>
          </w:p>
        </w:tc>
        <w:tc>
          <w:tcPr>
            <w:tcW w:w="3000" w:type="dxa"/>
            <w:tcMar>
              <w:top w:w="70" w:type="dxa"/>
              <w:left w:w="90" w:type="dxa"/>
              <w:bottom w:w="70" w:type="dxa"/>
              <w:right w:w="90" w:type="dxa"/>
            </w:tcMar>
          </w:tcPr>
          <w:p w14:paraId="6164BAF9">
            <w:pPr>
              <w:rPr>
                <w:color w:val="auto"/>
              </w:rPr>
            </w:pPr>
            <w:r>
              <w:rPr>
                <w:b w:val="0"/>
                <w:bCs w:val="0"/>
                <w:color w:val="auto"/>
                <w:sz w:val="19"/>
                <w:szCs w:val="19"/>
              </w:rPr>
              <w:t>Low confidence in original pattern</w:t>
            </w:r>
          </w:p>
        </w:tc>
        <w:tc>
          <w:tcPr>
            <w:tcW w:w="2500" w:type="dxa"/>
            <w:tcMar>
              <w:top w:w="70" w:type="dxa"/>
              <w:left w:w="90" w:type="dxa"/>
              <w:bottom w:w="70" w:type="dxa"/>
              <w:right w:w="90" w:type="dxa"/>
            </w:tcMar>
          </w:tcPr>
          <w:p w14:paraId="4C3E398C">
            <w:pPr>
              <w:rPr>
                <w:color w:val="auto"/>
              </w:rPr>
            </w:pPr>
            <w:r>
              <w:rPr>
                <w:b w:val="0"/>
                <w:bCs w:val="0"/>
                <w:color w:val="auto"/>
                <w:sz w:val="19"/>
                <w:szCs w:val="19"/>
              </w:rPr>
              <w:t>Independently confirmed</w:t>
            </w:r>
            <w:r>
              <w:rPr>
                <w:rFonts w:hint="default"/>
                <w:b w:val="0"/>
                <w:bCs w:val="0"/>
                <w:color w:val="auto"/>
                <w:sz w:val="19"/>
                <w:szCs w:val="19"/>
                <w:lang w:val="en-US"/>
              </w:rPr>
              <w:t xml:space="preserve"> </w:t>
            </w:r>
            <w:r>
              <w:rPr>
                <w:b w:val="0"/>
                <w:bCs w:val="0"/>
                <w:color w:val="auto"/>
                <w:sz w:val="19"/>
                <w:szCs w:val="19"/>
              </w:rPr>
              <w:t>Data Science doesn't use it as a feature either</w:t>
            </w:r>
          </w:p>
        </w:tc>
      </w:tr>
    </w:tbl>
    <w:p w14:paraId="74CA1B09">
      <w:pPr>
        <w:spacing w:after="200"/>
        <w:rPr>
          <w:color w:val="auto"/>
        </w:rPr>
      </w:pPr>
    </w:p>
    <w:p w14:paraId="2F40BB21">
      <w:pPr>
        <w:pStyle w:val="2"/>
        <w:spacing w:before="300" w:after="150"/>
        <w:rPr>
          <w:color w:val="auto"/>
        </w:rPr>
      </w:pPr>
      <w:r>
        <w:rPr>
          <w:color w:val="auto"/>
        </w:rPr>
        <w:t>7. How These Findings Support HealthConnect Decisions</w:t>
      </w:r>
    </w:p>
    <w:p w14:paraId="40F0B597">
      <w:pPr>
        <w:spacing w:after="110"/>
        <w:rPr>
          <w:color w:val="auto"/>
        </w:rPr>
      </w:pPr>
      <w:r>
        <w:rPr>
          <w:b/>
          <w:bCs/>
          <w:color w:val="auto"/>
        </w:rPr>
        <w:t xml:space="preserve">Resourcing decision: </w:t>
      </w:r>
      <w:r>
        <w:rPr>
          <w:color w:val="auto"/>
        </w:rPr>
        <w:t>Confirmed drivers let HealthConnect direct a limited outreach budget at the patients driving disproportionate no-show risk, instead of spending equally across all patients.</w:t>
      </w:r>
    </w:p>
    <w:p w14:paraId="0696927E">
      <w:pPr>
        <w:spacing w:after="110"/>
        <w:rPr>
          <w:color w:val="auto"/>
        </w:rPr>
      </w:pPr>
      <w:r>
        <w:rPr>
          <w:b/>
          <w:bCs/>
          <w:color w:val="auto"/>
        </w:rPr>
        <w:t xml:space="preserve">Process decision: </w:t>
      </w:r>
      <w:r>
        <w:rPr>
          <w:color w:val="auto"/>
        </w:rPr>
        <w:t>Switching the default reminder channel to SMS is a same-week, zero-cost operational change with the strongest evidence behind it.</w:t>
      </w:r>
    </w:p>
    <w:p w14:paraId="2150F499">
      <w:pPr>
        <w:spacing w:after="110"/>
        <w:rPr>
          <w:color w:val="auto"/>
        </w:rPr>
      </w:pPr>
      <w:r>
        <w:rPr>
          <w:b/>
          <w:bCs/>
          <w:color w:val="auto"/>
        </w:rPr>
        <w:t xml:space="preserve">Investment decision: </w:t>
      </w:r>
      <w:r>
        <w:rPr>
          <w:color w:val="auto"/>
        </w:rPr>
        <w:t>The 25.8km+ distance group justifies evaluating a telehealth option  the data specifies which patients would benefit, not just that some might.</w:t>
      </w:r>
    </w:p>
    <w:p w14:paraId="32F1E3D2">
      <w:pPr>
        <w:spacing w:after="110"/>
        <w:rPr>
          <w:color w:val="auto"/>
        </w:rPr>
      </w:pPr>
      <w:r>
        <w:rPr>
          <w:b/>
          <w:bCs/>
          <w:color w:val="auto"/>
        </w:rPr>
        <w:t xml:space="preserve">Governance decision: </w:t>
      </w:r>
      <w:r>
        <w:rPr>
          <w:color w:val="auto"/>
        </w:rPr>
        <w:t>The age × appointment-type non-finding tells HealthConnect not to build a policy around it  preventing wasted effort is a decision too, and one the data explicitly supports.</w:t>
      </w:r>
    </w:p>
    <w:p w14:paraId="6473A055">
      <w:pPr>
        <w:pStyle w:val="2"/>
        <w:spacing w:before="300" w:after="150"/>
        <w:rPr>
          <w:color w:val="auto"/>
        </w:rPr>
      </w:pPr>
      <w:r>
        <w:rPr>
          <w:color w:val="auto"/>
        </w:rPr>
        <w:t>8. Cross-Track Contribution — Final Findings Provided</w:t>
      </w:r>
    </w:p>
    <w:p w14:paraId="6B097E54">
      <w:pPr>
        <w:spacing w:after="110"/>
        <w:rPr>
          <w:color w:val="auto"/>
        </w:rPr>
      </w:pPr>
      <w:r>
        <w:rPr>
          <w:b/>
          <w:bCs/>
          <w:color w:val="auto"/>
        </w:rPr>
        <w:t xml:space="preserve">To Data Science: </w:t>
      </w:r>
      <w:r>
        <w:rPr>
          <w:color w:val="auto"/>
        </w:rPr>
        <w:t>Final confirmed feature set (prior no-shows, distance, booking lead time), the waiting_time_minutes leakage caution, and the proposed compound interaction feature  exchanged directly and independently corroborated.</w:t>
      </w:r>
    </w:p>
    <w:p w14:paraId="6C7FEB21">
      <w:pPr>
        <w:spacing w:after="110"/>
        <w:rPr>
          <w:color w:val="auto"/>
        </w:rPr>
      </w:pPr>
      <w:r>
        <w:rPr>
          <w:b/>
          <w:bCs/>
          <w:color w:val="auto"/>
        </w:rPr>
        <w:t xml:space="preserve">To Project Management: </w:t>
      </w:r>
      <w:r>
        <w:rPr>
          <w:color w:val="auto"/>
        </w:rPr>
        <w:t>The final 6-item recommendation list with confidence ratings, for their final integration record and project decision log  including the equity-review flag on targeted outreach before any real-world rollout.</w:t>
      </w:r>
    </w:p>
    <w:p w14:paraId="4FBCD260">
      <w:pPr>
        <w:spacing w:after="110"/>
        <w:rPr>
          <w:color w:val="auto"/>
        </w:rPr>
      </w:pPr>
      <w:r>
        <w:rPr>
          <w:b/>
          <w:bCs/>
          <w:color w:val="auto"/>
        </w:rPr>
        <w:t xml:space="preserve">To Generative AI (where relevant): </w:t>
      </w:r>
      <w:r>
        <w:rPr>
          <w:color w:val="auto"/>
        </w:rPr>
        <w:t>The finding that SMS reminders are most effective could inform any future assistant capability involving patient outreach or reminder scheduling.</w:t>
      </w:r>
    </w:p>
    <w:p w14:paraId="4BC068C3">
      <w:pPr>
        <w:pStyle w:val="2"/>
        <w:spacing w:before="300" w:after="150"/>
        <w:rPr>
          <w:color w:val="auto"/>
        </w:rPr>
      </w:pPr>
      <w:r>
        <w:rPr>
          <w:color w:val="auto"/>
        </w:rPr>
        <w:t>9. Analytical Limitations</w:t>
      </w:r>
    </w:p>
    <w:p w14:paraId="1F271669">
      <w:pPr>
        <w:pStyle w:val="16"/>
        <w:numPr>
          <w:ilvl w:val="0"/>
          <w:numId w:val="2"/>
        </w:numPr>
        <w:spacing w:after="90"/>
        <w:rPr>
          <w:color w:val="auto"/>
        </w:rPr>
      </w:pPr>
      <w:r>
        <w:rPr>
          <w:color w:val="auto"/>
        </w:rPr>
        <w:t>Correlational, not causal no “reason for missed appointment” field exists in the dataset.</w:t>
      </w:r>
    </w:p>
    <w:p w14:paraId="34C0A117">
      <w:pPr>
        <w:pStyle w:val="16"/>
        <w:numPr>
          <w:ilvl w:val="0"/>
          <w:numId w:val="2"/>
        </w:numPr>
        <w:spacing w:after="90"/>
        <w:rPr>
          <w:color w:val="auto"/>
        </w:rPr>
      </w:pPr>
      <w:r>
        <w:rPr>
          <w:color w:val="auto"/>
        </w:rPr>
        <w:t>Synthetic dataset's 48.5% no-show rate is well above real-world norms  patterns are transferable, exact percentages are not.</w:t>
      </w:r>
    </w:p>
    <w:p w14:paraId="76E34CA8">
      <w:pPr>
        <w:pStyle w:val="16"/>
        <w:numPr>
          <w:ilvl w:val="0"/>
          <w:numId w:val="2"/>
        </w:numPr>
        <w:spacing w:after="90"/>
        <w:rPr>
          <w:color w:val="auto"/>
        </w:rPr>
      </w:pPr>
      <w:r>
        <w:rPr>
          <w:color w:val="auto"/>
        </w:rPr>
        <w:t>The compound high-risk segment (n=20) is too small for further sub-analysis without more accumulated data.</w:t>
      </w:r>
    </w:p>
    <w:p w14:paraId="77F9D053">
      <w:pPr>
        <w:pStyle w:val="16"/>
        <w:numPr>
          <w:ilvl w:val="0"/>
          <w:numId w:val="2"/>
        </w:numPr>
        <w:spacing w:after="90"/>
        <w:rPr>
          <w:color w:val="auto"/>
        </w:rPr>
      </w:pPr>
      <w:r>
        <w:rPr>
          <w:color w:val="auto"/>
        </w:rPr>
        <w:t>Small (~1-2%) missing-data gaps in distance and waiting time, and a structural null in reminder_channel all handled, none materially affecting conclusions.</w:t>
      </w:r>
    </w:p>
    <w:p w14:paraId="69852D2D">
      <w:pPr>
        <w:pStyle w:val="16"/>
        <w:numPr>
          <w:ilvl w:val="0"/>
          <w:numId w:val="2"/>
        </w:numPr>
        <w:spacing w:after="90"/>
        <w:rPr>
          <w:color w:val="auto"/>
        </w:rPr>
      </w:pPr>
      <w:r>
        <w:rPr>
          <w:color w:val="auto"/>
        </w:rPr>
        <w:t>Data Science's retest of the proposed interaction feature remains outstanding as of this package.</w:t>
      </w:r>
    </w:p>
    <w:p w14:paraId="6B8A6501">
      <w:pPr>
        <w:pStyle w:val="2"/>
        <w:spacing w:before="300" w:after="150"/>
        <w:rPr>
          <w:color w:val="auto"/>
        </w:rPr>
      </w:pPr>
      <w:r>
        <w:rPr>
          <w:color w:val="auto"/>
        </w:rPr>
        <w:t>10. Analytics Section  Presentation Talking Points</w:t>
      </w:r>
    </w:p>
    <w:p w14:paraId="3C9814AB">
      <w:pPr>
        <w:pStyle w:val="16"/>
        <w:numPr>
          <w:ilvl w:val="0"/>
          <w:numId w:val="1"/>
        </w:numPr>
        <w:spacing w:after="110"/>
        <w:rPr>
          <w:color w:val="auto"/>
        </w:rPr>
      </w:pPr>
      <w:r>
        <w:rPr>
          <w:color w:val="auto"/>
        </w:rPr>
        <w:t>We set out to answer one question: which patients are actually at risk of missing appointments, and why?</w:t>
      </w:r>
    </w:p>
    <w:p w14:paraId="7FCF1EC6">
      <w:pPr>
        <w:pStyle w:val="16"/>
        <w:numPr>
          <w:ilvl w:val="0"/>
          <w:numId w:val="1"/>
        </w:numPr>
        <w:spacing w:after="110"/>
        <w:rPr>
          <w:color w:val="auto"/>
        </w:rPr>
      </w:pPr>
      <w:r>
        <w:rPr>
          <w:color w:val="auto"/>
        </w:rPr>
        <w:t>Two factors mattered most: a patient's own history, and how far ahead they booked both climb steadily and predictably.</w:t>
      </w:r>
    </w:p>
    <w:p w14:paraId="62C77BAE">
      <w:pPr>
        <w:pStyle w:val="16"/>
        <w:numPr>
          <w:ilvl w:val="0"/>
          <w:numId w:val="1"/>
        </w:numPr>
        <w:spacing w:after="110"/>
        <w:rPr>
          <w:color w:val="auto"/>
        </w:rPr>
      </w:pPr>
      <w:r>
        <w:rPr>
          <w:color w:val="auto"/>
        </w:rPr>
        <w:t>When those two combine with distance, risk peaks at 80%  the highest-risk segment we found.</w:t>
      </w:r>
    </w:p>
    <w:p w14:paraId="257B0B1D">
      <w:pPr>
        <w:pStyle w:val="16"/>
        <w:numPr>
          <w:ilvl w:val="0"/>
          <w:numId w:val="1"/>
        </w:numPr>
        <w:spacing w:after="110"/>
        <w:rPr>
          <w:color w:val="auto"/>
        </w:rPr>
      </w:pPr>
      <w:r>
        <w:rPr>
          <w:color w:val="auto"/>
        </w:rPr>
        <w:t>We didn't just find patterns  we tested them. One promising-looking pattern didn't survive scrutiny, and we said so rather than overselling it.</w:t>
      </w:r>
    </w:p>
    <w:p w14:paraId="18E61300">
      <w:pPr>
        <w:pStyle w:val="16"/>
        <w:numPr>
          <w:ilvl w:val="0"/>
          <w:numId w:val="1"/>
        </w:numPr>
        <w:spacing w:after="110"/>
        <w:rPr>
          <w:color w:val="auto"/>
        </w:rPr>
      </w:pPr>
      <w:r>
        <w:rPr>
          <w:color w:val="auto"/>
        </w:rPr>
        <w:t>We confirmed this independently with the Data Science team  two different methods, same answer.</w:t>
      </w:r>
    </w:p>
    <w:p w14:paraId="2F5D58CB">
      <w:pPr>
        <w:pStyle w:val="16"/>
        <w:numPr>
          <w:ilvl w:val="0"/>
          <w:numId w:val="1"/>
        </w:numPr>
        <w:spacing w:after="110"/>
        <w:rPr>
          <w:color w:val="auto"/>
        </w:rPr>
      </w:pPr>
      <w:r>
        <w:rPr>
          <w:color w:val="auto"/>
        </w:rPr>
        <w:t>That gives HealthConnect six specific, confidence-rated actions  not just a dashboard to admire.</w:t>
      </w:r>
    </w:p>
    <w:bookmarkEnd w:id="0"/>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04" w:hanging="360"/>
      </w:pPr>
    </w:lvl>
  </w:abstractNum>
  <w:abstractNum w:abstractNumId="1">
    <w:nsid w:val="59ADCABA"/>
    <w:multiLevelType w:val="singleLevel"/>
    <w:tmpl w:val="59ADCABA"/>
    <w:lvl w:ilvl="0" w:tentative="0">
      <w:start w:val="1"/>
      <w:numFmt w:val="bullet"/>
      <w:lvlText w:val="•"/>
      <w:lvlJc w:val="left"/>
      <w:pPr>
        <w:ind w:left="431" w:hanging="259"/>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00227A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1295</Words>
  <Characters>7671</Characters>
  <TotalTime>4</TotalTime>
  <ScaleCrop>false</ScaleCrop>
  <LinksUpToDate>false</LinksUpToDate>
  <CharactersWithSpaces>8860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2026-09-25T07:51:00Z</dcterms:created>
  <dc:creator>Un-named</dc:creator>
  <cp:lastModifiedBy>Ekenga Dorothy</cp:lastModifiedBy>
  <dcterms:modified xsi:type="dcterms:W3CDTF">2026-09-27T22:25:14Z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eyJoZGlkIjoiZTk4MDcwZjBmYjRkNGRhNzhkMzRmZWMyZTIyMDA4ZDMiLCJ1c2VySWQiOiIyNzY2Mjk3NTY4MTg4In0=</vt:lpwstr>
  </property>
  <property fmtid="{D5CDD505-2E9C-101B-9397-08002B2CF9AE}" pid="3" name="KSOProductBuildVer">
    <vt:lpwstr>1033-12.1.0.28485</vt:lpwstr>
  </property>
  <property fmtid="{D5CDD505-2E9C-101B-9397-08002B2CF9AE}" pid="4" name="ICV">
    <vt:lpwstr>E7D61113E3C8441AA69EEFEB0B055C55_12</vt:lpwstr>
  </property>
</Properties>
</file>