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76DB30">
      <w:pPr>
        <w:spacing w:after="40"/>
        <w:jc w:val="both"/>
        <w:rPr>
          <w:color w:val="auto"/>
        </w:rPr>
      </w:pPr>
      <w:bookmarkStart w:id="0" w:name="_GoBack"/>
      <w:r>
        <w:rPr>
          <w:b/>
          <w:bCs/>
          <w:color w:val="auto"/>
          <w:sz w:val="40"/>
          <w:szCs w:val="40"/>
        </w:rPr>
        <w:t>HealthConnect Clinic Experience Lab</w:t>
      </w:r>
    </w:p>
    <w:p w14:paraId="78540FDD">
      <w:pPr>
        <w:spacing w:after="40"/>
        <w:jc w:val="both"/>
        <w:rPr>
          <w:color w:val="auto"/>
        </w:rPr>
      </w:pPr>
      <w:r>
        <w:rPr>
          <w:b/>
          <w:bCs/>
          <w:color w:val="auto"/>
          <w:sz w:val="26"/>
          <w:szCs w:val="26"/>
        </w:rPr>
        <w:t>Week 8: Mandatory HC-POD Final Integration Record</w:t>
      </w:r>
    </w:p>
    <w:p w14:paraId="24265DAD">
      <w:pPr>
        <w:spacing w:after="400"/>
        <w:jc w:val="both"/>
        <w:rPr>
          <w:color w:val="auto"/>
        </w:rPr>
      </w:pPr>
      <w:r>
        <w:rPr>
          <w:color w:val="auto"/>
          <w:sz w:val="20"/>
          <w:szCs w:val="20"/>
        </w:rPr>
        <w:t>Data Analytics Track  Prepared</w:t>
      </w:r>
      <w:r>
        <w:rPr>
          <w:rFonts w:hint="default"/>
          <w:color w:val="auto"/>
          <w:sz w:val="20"/>
          <w:szCs w:val="20"/>
          <w:lang w:val="en-US"/>
        </w:rPr>
        <w:t xml:space="preserve"> </w:t>
      </w:r>
      <w:r>
        <w:rPr>
          <w:color w:val="auto"/>
          <w:sz w:val="20"/>
          <w:szCs w:val="20"/>
        </w:rPr>
        <w:t xml:space="preserve"> by </w:t>
      </w:r>
      <w:r>
        <w:rPr>
          <w:rFonts w:hint="default"/>
          <w:color w:val="auto"/>
          <w:sz w:val="20"/>
          <w:szCs w:val="20"/>
          <w:lang w:val="en-US"/>
        </w:rPr>
        <w:t xml:space="preserve">Ekenga </w:t>
      </w:r>
      <w:r>
        <w:rPr>
          <w:color w:val="auto"/>
          <w:sz w:val="20"/>
          <w:szCs w:val="20"/>
        </w:rPr>
        <w:t>Dorothy</w:t>
      </w:r>
    </w:p>
    <w:p w14:paraId="698ABC8D">
      <w:pPr>
        <w:pStyle w:val="2"/>
        <w:spacing w:before="240" w:after="110"/>
        <w:jc w:val="both"/>
        <w:rPr>
          <w:color w:val="auto"/>
        </w:rPr>
      </w:pPr>
      <w:r>
        <w:rPr>
          <w:color w:val="auto"/>
        </w:rPr>
        <w:t>1. Track Collaborated With</w:t>
      </w:r>
    </w:p>
    <w:p w14:paraId="57B513FB">
      <w:pPr>
        <w:spacing w:after="160"/>
        <w:jc w:val="both"/>
        <w:rPr>
          <w:color w:val="auto"/>
        </w:rPr>
      </w:pPr>
      <w:r>
        <w:rPr>
          <w:color w:val="auto"/>
        </w:rPr>
        <w:t>Data Science  a specific track partner, reached through direct cold outreach after earlier cohort-wide messages went unanswered.</w:t>
      </w:r>
    </w:p>
    <w:p w14:paraId="3595B341">
      <w:pPr>
        <w:pStyle w:val="2"/>
        <w:spacing w:before="240" w:after="110"/>
        <w:jc w:val="both"/>
        <w:rPr>
          <w:color w:val="auto"/>
        </w:rPr>
      </w:pPr>
      <w:r>
        <w:rPr>
          <w:color w:val="auto"/>
        </w:rPr>
        <w:t>2. Dependency</w:t>
      </w:r>
    </w:p>
    <w:p w14:paraId="3EAE2573">
      <w:pPr>
        <w:spacing w:after="160"/>
        <w:jc w:val="both"/>
        <w:rPr>
          <w:color w:val="auto"/>
        </w:rPr>
      </w:pPr>
      <w:r>
        <w:rPr>
          <w:color w:val="auto"/>
        </w:rPr>
        <w:t>Whether Data Analytics' validated no-show predictors and data-quality cautions align with, and actually inform, the Data Science model's feature set and decisions; and, reciprocally, whether two of the Data Science model's underperforming segments (Specialist Consultation recall, Sunday precision) reflect a real pattern in the underlying appointment data that Data Analytics could help diagnose.</w:t>
      </w:r>
    </w:p>
    <w:p w14:paraId="3CA36015">
      <w:pPr>
        <w:pStyle w:val="2"/>
        <w:spacing w:before="240" w:after="110"/>
        <w:jc w:val="both"/>
        <w:rPr>
          <w:color w:val="auto"/>
        </w:rPr>
      </w:pPr>
      <w:r>
        <w:rPr>
          <w:color w:val="auto"/>
        </w:rPr>
        <w:t>3. Output Received</w:t>
      </w:r>
    </w:p>
    <w:p w14:paraId="71D595F3">
      <w:pPr>
        <w:spacing w:after="160"/>
        <w:jc w:val="both"/>
        <w:rPr>
          <w:color w:val="auto"/>
        </w:rPr>
      </w:pPr>
      <w:r>
        <w:rPr>
          <w:color w:val="auto"/>
        </w:rPr>
        <w:t>The partner's Week 6 Data Science Integration &amp; Progress Questionnaire (baseline model, feature list, evaluation metrics, limitations); direct confirmation that previous_no_shows, booking_lead_days, and distance_to_clinic_km are used as model features — with booking lead time and distance ranking as the top 2 features by importance; independent confirmation of the waiting_time_minutes leakage exclusion and the binary (Attended vs. No-Show) target framing; and a reciprocal question about the two underperforming model segments.</w:t>
      </w:r>
    </w:p>
    <w:p w14:paraId="3E18AF02">
      <w:pPr>
        <w:pStyle w:val="2"/>
        <w:spacing w:before="240" w:after="110"/>
        <w:jc w:val="both"/>
        <w:rPr>
          <w:color w:val="auto"/>
        </w:rPr>
      </w:pPr>
      <w:r>
        <w:rPr>
          <w:color w:val="auto"/>
        </w:rPr>
        <w:t>4. Output Provided</w:t>
      </w:r>
    </w:p>
    <w:p w14:paraId="6508BD5A">
      <w:pPr>
        <w:spacing w:after="160"/>
        <w:jc w:val="both"/>
        <w:rPr>
          <w:color w:val="auto"/>
        </w:rPr>
      </w:pPr>
      <w:r>
        <w:rPr>
          <w:color w:val="auto"/>
        </w:rPr>
        <w:t>Final validated KPI findings (prior no-shows, distance, booking lead time), the waiting_time_minutes leakage caution, the age × appointment-type non-finding, a proposed prior-no-shows × distance interaction feature, and a direct statistical answer to the partner's reciprocal question — neither flagged segment shows a statistically real elevated no-show rate (Specialist Consultation p=0.50; Sunday p=0.24).</w:t>
      </w:r>
    </w:p>
    <w:p w14:paraId="18046158">
      <w:pPr>
        <w:pStyle w:val="2"/>
        <w:spacing w:before="240" w:after="110"/>
        <w:jc w:val="both"/>
        <w:rPr>
          <w:color w:val="auto"/>
        </w:rPr>
      </w:pPr>
      <w:r>
        <w:rPr>
          <w:color w:val="auto"/>
        </w:rPr>
        <w:t>5. Final Integration Activity</w:t>
      </w:r>
    </w:p>
    <w:p w14:paraId="26EB013E">
      <w:pPr>
        <w:spacing w:after="160"/>
        <w:jc w:val="both"/>
        <w:rPr>
          <w:color w:val="auto"/>
        </w:rPr>
      </w:pPr>
      <w:r>
        <w:rPr>
          <w:color w:val="auto"/>
        </w:rPr>
        <w:t>A complete, two-way exchange: independent verification of feature relevance in both directions (statistical testing vs. model feature importance, arriving at the same top predictors); a specific reciprocal test performed on the partner's behalf using Data Analytics' own dataset and chi-square methodology; and a specific, mutually agreed, individually owned follow-up (the interaction-feature test) rather than an open-ended conversation. The partner explicitly confirmed the exchange as closed on their end for Week 7/8 documentation purposes.</w:t>
      </w:r>
    </w:p>
    <w:p w14:paraId="58D0BEC8">
      <w:pPr>
        <w:pStyle w:val="2"/>
        <w:spacing w:before="240" w:after="110"/>
        <w:jc w:val="both"/>
        <w:rPr>
          <w:color w:val="auto"/>
        </w:rPr>
      </w:pPr>
      <w:r>
        <w:rPr>
          <w:color w:val="auto"/>
        </w:rPr>
        <w:t>6. What Changed</w:t>
      </w:r>
    </w:p>
    <w:p w14:paraId="696A9D8E">
      <w:pPr>
        <w:spacing w:after="160"/>
        <w:jc w:val="both"/>
        <w:rPr>
          <w:color w:val="auto"/>
        </w:rPr>
      </w:pPr>
      <w:r>
        <w:rPr>
          <w:color w:val="auto"/>
        </w:rPr>
        <w:t>On the Data Science side: the partner verified and updated their own project documentation, formally reclassifying the Specialist Consultation/Sunday segments from an open question to a resolved finding based on Data Analytics' statistical check, and redirected their planned “next investigation” slot toward the interaction feature instead. On the Data Analytics side: confidence in the two strongest findings (prior no-shows, distance) increased, since they are now confirmed by a completely independent method  model feature importance  rather than resting on chi-square testing alone.</w:t>
      </w:r>
    </w:p>
    <w:p w14:paraId="1498CD97">
      <w:pPr>
        <w:pStyle w:val="2"/>
        <w:spacing w:before="240" w:after="110"/>
        <w:jc w:val="both"/>
        <w:rPr>
          <w:color w:val="auto"/>
        </w:rPr>
      </w:pPr>
      <w:r>
        <w:rPr>
          <w:color w:val="auto"/>
        </w:rPr>
        <w:t>7. How the Change Improved the Solution</w:t>
      </w:r>
    </w:p>
    <w:p w14:paraId="556F6630">
      <w:pPr>
        <w:spacing w:after="160"/>
        <w:jc w:val="both"/>
        <w:rPr>
          <w:color w:val="auto"/>
        </w:rPr>
      </w:pPr>
      <w:r>
        <w:rPr>
          <w:color w:val="auto"/>
        </w:rPr>
        <w:t>This prevents the Data Science track from spending refinement time engineering features around statistical noise, redirecting that effort toward a specific, higher-value test that could improve the model's ability to catch HealthConnect's single highest-risk patient segment (the 80.0% no-show compound group identified in Week 6). It also means the project's central recommendation SMS-based outreach targeted at high-risk patients  now rests on two independently-derived, mutually corroborating sources of evidence rather than one track's analysis alone, a materially stronger basis for a decision HealthConnect will actually act on.</w:t>
      </w:r>
    </w:p>
    <w:p w14:paraId="597D5B9E">
      <w:pPr>
        <w:pStyle w:val="2"/>
        <w:spacing w:before="240" w:after="110"/>
        <w:jc w:val="both"/>
        <w:rPr>
          <w:color w:val="auto"/>
        </w:rPr>
      </w:pPr>
      <w:r>
        <w:rPr>
          <w:color w:val="auto"/>
        </w:rPr>
        <w:t>8. Evidence</w:t>
      </w:r>
    </w:p>
    <w:p w14:paraId="31049F23">
      <w:pPr>
        <w:spacing w:after="160"/>
        <w:jc w:val="both"/>
        <w:rPr>
          <w:color w:val="auto"/>
        </w:rPr>
      </w:pPr>
      <w:r>
        <w:rPr>
          <w:color w:val="auto"/>
        </w:rPr>
        <w:t>The full message exchange (initial cold outreach, the partner's detailed reply, and their final confirmation reply)</w:t>
      </w:r>
      <w:r>
        <w:rPr>
          <w:rFonts w:hint="default"/>
          <w:color w:val="auto"/>
          <w:lang w:val="en-US"/>
        </w:rPr>
        <w:t>,</w:t>
      </w:r>
      <w:r>
        <w:rPr>
          <w:color w:val="auto"/>
        </w:rPr>
        <w:t xml:space="preserve"> the partner's Week 6 Data Science Integration &amp; Progress Questionnaire; the chi-square test outputs for both reciprocal segment checks; and the partner's own written confirmation that they updated their documentation and redirected their investigation priority as a direct, verified result of this exchange.</w:t>
      </w:r>
    </w:p>
    <w:p w14:paraId="0E674A5F">
      <w:pPr>
        <w:pStyle w:val="2"/>
        <w:spacing w:before="240" w:after="110"/>
        <w:jc w:val="both"/>
        <w:rPr>
          <w:color w:val="auto"/>
        </w:rPr>
      </w:pPr>
      <w:r>
        <w:rPr>
          <w:color w:val="auto"/>
        </w:rPr>
        <w:t>9. Contribution to the Final Presentation</w:t>
      </w:r>
    </w:p>
    <w:p w14:paraId="7DC5FACC">
      <w:pPr>
        <w:spacing w:after="160"/>
        <w:jc w:val="both"/>
        <w:rPr>
          <w:color w:val="auto"/>
        </w:rPr>
      </w:pPr>
      <w:r>
        <w:rPr>
          <w:color w:val="auto"/>
        </w:rPr>
        <w:t>This exchange is the centerpiece of the Data Analytics track's cross-track story: a genuine, verified, two-way collaboration that produced a documented, confirmed change in another track's actual work not just a shared message that went unanswered or unconfirmed. It demonstrates the HC-POD functioning as an actual multidisciplinary team, and will anchor the “cross-track collaboration” section of the final video presentation with real, specific evidence rather than a general description of intent.</w:t>
      </w:r>
    </w:p>
    <w:bookmarkEnd w:id="0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4A44B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626</Words>
  <Characters>3952</Characters>
  <TotalTime>3</TotalTime>
  <ScaleCrop>false</ScaleCrop>
  <LinksUpToDate>false</LinksUpToDate>
  <CharactersWithSpaces>4556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2026-09-26T07:08:00Z</dcterms:created>
  <dc:creator>Un-named</dc:creator>
  <cp:lastModifiedBy>Ekenga Dorothy</cp:lastModifiedBy>
  <dcterms:modified xsi:type="dcterms:W3CDTF">2026-09-27T22:20:11Z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eyJoZGlkIjoiZTk4MDcwZjBmYjRkNGRhNzhkMzRmZWMyZTIyMDA4ZDMiLCJ1c2VySWQiOiIyNzY2Mjk3NTY4MTg4In0=</vt:lpwstr>
  </property>
  <property fmtid="{D5CDD505-2E9C-101B-9397-08002B2CF9AE}" pid="3" name="KSOProductBuildVer">
    <vt:lpwstr>1033-12.1.0.28485</vt:lpwstr>
  </property>
  <property fmtid="{D5CDD505-2E9C-101B-9397-08002B2CF9AE}" pid="4" name="ICV">
    <vt:lpwstr>B28040A91B28490B9802B4AA0FF006C5_12</vt:lpwstr>
  </property>
</Properties>
</file>