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DF3910">
      <w:pPr>
        <w:spacing w:after="40"/>
        <w:ind w:left="500" w:leftChars="0" w:firstLine="500" w:firstLineChars="0"/>
        <w:jc w:val="both"/>
      </w:pPr>
      <w:r>
        <w:rPr>
          <w:b/>
          <w:bCs/>
          <w:color w:val="1F4E79"/>
          <w:sz w:val="40"/>
          <w:szCs w:val="40"/>
        </w:rPr>
        <w:t>Heal</w:t>
      </w:r>
      <w:r>
        <w:rPr>
          <w:rFonts w:hint="default"/>
          <w:b/>
          <w:bCs/>
          <w:color w:val="1F4E79"/>
          <w:sz w:val="40"/>
          <w:szCs w:val="40"/>
          <w:lang w:val="en-US"/>
        </w:rPr>
        <w:t>t</w:t>
      </w:r>
      <w:r>
        <w:rPr>
          <w:b/>
          <w:bCs/>
          <w:color w:val="1F4E79"/>
          <w:sz w:val="40"/>
          <w:szCs w:val="40"/>
        </w:rPr>
        <w:t>hConnect Clinic Experience Lab</w:t>
      </w:r>
    </w:p>
    <w:p w14:paraId="172D0D75">
      <w:pPr>
        <w:spacing w:after="40"/>
        <w:jc w:val="center"/>
      </w:pPr>
      <w:r>
        <w:rPr>
          <w:b/>
          <w:bCs/>
          <w:sz w:val="26"/>
          <w:szCs w:val="26"/>
        </w:rPr>
        <w:t>Week 4: Initial Analysis Document — Data Analytics Track</w:t>
      </w:r>
    </w:p>
    <w:p w14:paraId="1EE9A4F3">
      <w:pPr>
        <w:spacing w:after="400"/>
        <w:jc w:val="center"/>
      </w:pPr>
      <w:r>
        <w:rPr>
          <w:color w:val="666666"/>
          <w:sz w:val="20"/>
          <w:szCs w:val="20"/>
        </w:rPr>
        <w:t xml:space="preserve">Prepared by </w:t>
      </w:r>
      <w:r>
        <w:rPr>
          <w:rFonts w:hint="default"/>
          <w:color w:val="666666"/>
          <w:sz w:val="20"/>
          <w:szCs w:val="20"/>
          <w:lang w:val="en-US"/>
        </w:rPr>
        <w:t xml:space="preserve">Ekenga </w:t>
      </w:r>
      <w:r>
        <w:rPr>
          <w:color w:val="666666"/>
          <w:sz w:val="20"/>
          <w:szCs w:val="20"/>
        </w:rPr>
        <w:t>Dorothy</w:t>
      </w:r>
    </w:p>
    <w:p w14:paraId="4D025730">
      <w:pPr>
        <w:pStyle w:val="2"/>
        <w:spacing w:before="320" w:after="160"/>
      </w:pPr>
      <w:r>
        <w:t>1. Business Problem</w:t>
      </w:r>
    </w:p>
    <w:p w14:paraId="238D15B4">
      <w:pPr>
        <w:spacing w:after="160"/>
        <w:jc w:val="both"/>
      </w:pPr>
      <w:r>
        <w:t>HealthConnect Clinic is experiencing patients missing scheduled appointments, wasted appointment slots, repetitive patient enquiries, and a need for better patient engagement and administrative support. The central project question guiding all internship tracks is:</w:t>
      </w:r>
    </w:p>
    <w:p w14:paraId="4D094C71">
      <w:pPr>
        <w:spacing w:after="160"/>
        <w:jc w:val="both"/>
      </w:pPr>
      <w:r>
        <w:rPr>
          <w:i/>
          <w:iCs/>
        </w:rPr>
        <w:t>“How can HealthConnect Clinic use data and AI to reduce missed appointments and improve the patient support experience?”</w:t>
      </w:r>
    </w:p>
    <w:p w14:paraId="60F008C4">
      <w:pPr>
        <w:pStyle w:val="2"/>
        <w:spacing w:before="320" w:after="160"/>
      </w:pPr>
      <w:r>
        <w:t>2. Track-Specific Role &amp; Objective</w:t>
      </w:r>
    </w:p>
    <w:p w14:paraId="13B81300">
      <w:pPr>
        <w:spacing w:after="160"/>
        <w:jc w:val="both"/>
      </w:pPr>
      <w:r>
        <w:t>As the Data Analytics track representative, my objective is to understand the appointment data well enough to identify the patterns behind no-shows, and to translate those patterns into business questions and KPIs that can guide HealthConnect's decision-making. This is distinct from the Data Science track (building a predictive model) and the Generative AI track (building a patient-facing assistant) — this document focuses on descriptive, decision-support analysis, not prediction or automation.</w:t>
      </w:r>
    </w:p>
    <w:p w14:paraId="6148EB8C">
      <w:pPr>
        <w:pStyle w:val="2"/>
        <w:spacing w:before="320" w:after="160"/>
        <w:jc w:val="left"/>
      </w:pPr>
      <w:r>
        <w:t>3. Resources Reviewed</w:t>
      </w:r>
    </w:p>
    <w:p w14:paraId="6C67965A">
      <w:pPr>
        <w:pStyle w:val="16"/>
        <w:numPr>
          <w:ilvl w:val="0"/>
          <w:numId w:val="1"/>
        </w:numPr>
        <w:spacing w:after="100"/>
        <w:jc w:val="left"/>
      </w:pPr>
      <w:r>
        <w:t>HealthConnect_Appointment_Data.csv — 5,000 fictional, anonymized appointment records.</w:t>
      </w:r>
    </w:p>
    <w:p w14:paraId="7D9DF7D1">
      <w:pPr>
        <w:pStyle w:val="16"/>
        <w:numPr>
          <w:ilvl w:val="0"/>
          <w:numId w:val="1"/>
        </w:numPr>
        <w:spacing w:after="100"/>
        <w:jc w:val="left"/>
      </w:pPr>
      <w:r>
        <w:t>HealthConnect_Data_Dictionary.xlsx — variable definitions for the appointment dataset.</w:t>
      </w:r>
    </w:p>
    <w:p w14:paraId="6AFD44A1">
      <w:pPr>
        <w:spacing w:after="160"/>
        <w:jc w:val="left"/>
      </w:pPr>
      <w:r>
        <w:t>The HealthConnect_Clinic_Knowledge_Base.docx is primarily a Generative AI track resource and was not the focus of this analysis.</w:t>
      </w:r>
    </w:p>
    <w:p w14:paraId="7B8B303D">
      <w:pPr>
        <w:pStyle w:val="2"/>
        <w:spacing w:before="320" w:after="160"/>
      </w:pPr>
      <w:r>
        <w:t>4. Dataset Overview</w:t>
      </w:r>
    </w:p>
    <w:p w14:paraId="5F544E4D">
      <w:pPr>
        <w:spacing w:after="160"/>
      </w:pPr>
      <w:r>
        <w:t>The dataset contains 5,000 records across 18 columns, which group into the following categories — closely matching the resource description in the Week 4 brief, confirming the resource is fit for purpose:</w:t>
      </w:r>
    </w:p>
    <w:p w14:paraId="182A4189">
      <w:pPr>
        <w:pStyle w:val="16"/>
        <w:numPr>
          <w:ilvl w:val="0"/>
          <w:numId w:val="1"/>
        </w:numPr>
        <w:spacing w:after="100"/>
      </w:pPr>
      <w:r>
        <w:t>Identifiers: appointment_id, patient_id</w:t>
      </w:r>
    </w:p>
    <w:p w14:paraId="1A7BF5C8">
      <w:pPr>
        <w:pStyle w:val="16"/>
        <w:numPr>
          <w:ilvl w:val="0"/>
          <w:numId w:val="1"/>
        </w:numPr>
        <w:spacing w:after="100"/>
      </w:pPr>
      <w:r>
        <w:t>Demographics: gender, age, age_group</w:t>
      </w:r>
    </w:p>
    <w:p w14:paraId="71CFF5A1">
      <w:pPr>
        <w:pStyle w:val="16"/>
        <w:numPr>
          <w:ilvl w:val="0"/>
          <w:numId w:val="1"/>
        </w:numPr>
        <w:spacing w:after="100"/>
      </w:pPr>
      <w:r>
        <w:t>Appointment details: appointment_type, appointment_day, appointment_time</w:t>
      </w:r>
    </w:p>
    <w:p w14:paraId="5EF68989">
      <w:pPr>
        <w:pStyle w:val="16"/>
        <w:numPr>
          <w:ilvl w:val="0"/>
          <w:numId w:val="1"/>
        </w:numPr>
        <w:spacing w:after="100"/>
      </w:pPr>
      <w:r>
        <w:t>Booking behaviour: booking_date, appointment_date, booking_lead_days</w:t>
      </w:r>
    </w:p>
    <w:p w14:paraId="5A1E0521">
      <w:pPr>
        <w:pStyle w:val="16"/>
        <w:numPr>
          <w:ilvl w:val="0"/>
          <w:numId w:val="1"/>
        </w:numPr>
        <w:spacing w:after="100"/>
      </w:pPr>
      <w:r>
        <w:t>Patient history: previous_appointments, previous_no_shows</w:t>
      </w:r>
    </w:p>
    <w:p w14:paraId="7A21988D">
      <w:pPr>
        <w:pStyle w:val="16"/>
        <w:numPr>
          <w:ilvl w:val="0"/>
          <w:numId w:val="1"/>
        </w:numPr>
        <w:spacing w:after="100"/>
      </w:pPr>
      <w:r>
        <w:t>Reminders: reminder_sent, reminder_channel</w:t>
      </w:r>
    </w:p>
    <w:p w14:paraId="6949601D">
      <w:pPr>
        <w:pStyle w:val="16"/>
        <w:numPr>
          <w:ilvl w:val="0"/>
          <w:numId w:val="1"/>
        </w:numPr>
        <w:spacing w:after="100"/>
      </w:pPr>
      <w:r>
        <w:t>Access/experience: distance_to_clinic_km, waiting_time_minutes</w:t>
      </w:r>
    </w:p>
    <w:p w14:paraId="233E744B">
      <w:pPr>
        <w:pStyle w:val="16"/>
        <w:numPr>
          <w:ilvl w:val="0"/>
          <w:numId w:val="1"/>
        </w:numPr>
        <w:spacing w:after="100"/>
      </w:pPr>
      <w:r>
        <w:t>Target variable: appointment_outcome (Attended / No-Show / Cancelled)</w:t>
      </w:r>
    </w:p>
    <w:p w14:paraId="6F0AE7F1">
      <w:pPr>
        <w:pStyle w:val="2"/>
        <w:spacing w:before="320" w:after="160"/>
      </w:pPr>
      <w:r>
        <w:t>5. Data Quality Assessment</w:t>
      </w:r>
    </w:p>
    <w:tbl>
      <w:tblPr>
        <w:tblStyle w:val="9"/>
        <w:tblW w:w="9400" w:type="dxa"/>
        <w:tblInd w:w="0" w:type="dxa"/>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Layout w:type="autofit"/>
        <w:tblCellMar>
          <w:top w:w="0" w:type="dxa"/>
          <w:left w:w="10" w:type="dxa"/>
          <w:bottom w:w="0" w:type="dxa"/>
          <w:right w:w="10" w:type="dxa"/>
        </w:tblCellMar>
      </w:tblPr>
      <w:tblGrid>
        <w:gridCol w:w="2597"/>
        <w:gridCol w:w="1627"/>
        <w:gridCol w:w="5176"/>
      </w:tblGrid>
      <w:tr w14:paraId="5A4FD964">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10" w:type="dxa"/>
            <w:bottom w:w="0" w:type="dxa"/>
            <w:right w:w="10" w:type="dxa"/>
          </w:tblCellMar>
        </w:tblPrEx>
        <w:tc>
          <w:tcPr>
            <w:tcW w:w="2600" w:type="dxa"/>
            <w:shd w:val="clear" w:color="auto" w:fill="1F4E79"/>
            <w:tcMar>
              <w:top w:w="80" w:type="dxa"/>
              <w:left w:w="100" w:type="dxa"/>
              <w:bottom w:w="80" w:type="dxa"/>
              <w:right w:w="100" w:type="dxa"/>
            </w:tcMar>
          </w:tcPr>
          <w:p w14:paraId="3B253C0F">
            <w:r>
              <w:rPr>
                <w:b/>
                <w:bCs/>
                <w:color w:val="FFFFFF"/>
                <w:sz w:val="20"/>
                <w:szCs w:val="20"/>
              </w:rPr>
              <w:t>Check</w:t>
            </w:r>
          </w:p>
        </w:tc>
        <w:tc>
          <w:tcPr>
            <w:tcW w:w="1600" w:type="dxa"/>
            <w:shd w:val="clear" w:color="auto" w:fill="1F4E79"/>
            <w:tcMar>
              <w:top w:w="80" w:type="dxa"/>
              <w:left w:w="100" w:type="dxa"/>
              <w:bottom w:w="80" w:type="dxa"/>
              <w:right w:w="100" w:type="dxa"/>
            </w:tcMar>
          </w:tcPr>
          <w:p w14:paraId="47E947D8">
            <w:r>
              <w:rPr>
                <w:b/>
                <w:bCs/>
                <w:color w:val="FFFFFF"/>
                <w:sz w:val="20"/>
                <w:szCs w:val="20"/>
              </w:rPr>
              <w:t>Result</w:t>
            </w:r>
          </w:p>
        </w:tc>
        <w:tc>
          <w:tcPr>
            <w:tcW w:w="5200" w:type="dxa"/>
            <w:shd w:val="clear" w:color="auto" w:fill="1F4E79"/>
            <w:tcMar>
              <w:top w:w="80" w:type="dxa"/>
              <w:left w:w="100" w:type="dxa"/>
              <w:bottom w:w="80" w:type="dxa"/>
              <w:right w:w="100" w:type="dxa"/>
            </w:tcMar>
          </w:tcPr>
          <w:p w14:paraId="48304B2D">
            <w:r>
              <w:rPr>
                <w:b/>
                <w:bCs/>
                <w:color w:val="FFFFFF"/>
                <w:sz w:val="20"/>
                <w:szCs w:val="20"/>
              </w:rPr>
              <w:t>Interpretation</w:t>
            </w:r>
          </w:p>
        </w:tc>
      </w:tr>
      <w:tr w14:paraId="19BD263F">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3B2D406E">
            <w:r>
              <w:rPr>
                <w:b w:val="0"/>
                <w:bCs w:val="0"/>
                <w:sz w:val="20"/>
                <w:szCs w:val="20"/>
              </w:rPr>
              <w:t>Duplicate rows / IDs</w:t>
            </w:r>
          </w:p>
        </w:tc>
        <w:tc>
          <w:tcPr>
            <w:tcW w:w="1600" w:type="dxa"/>
            <w:tcMar>
              <w:top w:w="80" w:type="dxa"/>
              <w:left w:w="100" w:type="dxa"/>
              <w:bottom w:w="80" w:type="dxa"/>
              <w:right w:w="100" w:type="dxa"/>
            </w:tcMar>
          </w:tcPr>
          <w:p w14:paraId="5ABE98B2">
            <w:r>
              <w:rPr>
                <w:b w:val="0"/>
                <w:bCs w:val="0"/>
                <w:sz w:val="20"/>
                <w:szCs w:val="20"/>
              </w:rPr>
              <w:t>0 found</w:t>
            </w:r>
          </w:p>
        </w:tc>
        <w:tc>
          <w:tcPr>
            <w:tcW w:w="5200" w:type="dxa"/>
            <w:tcMar>
              <w:top w:w="80" w:type="dxa"/>
              <w:left w:w="100" w:type="dxa"/>
              <w:bottom w:w="80" w:type="dxa"/>
              <w:right w:w="100" w:type="dxa"/>
            </w:tcMar>
          </w:tcPr>
          <w:p w14:paraId="1603A2C5">
            <w:r>
              <w:rPr>
                <w:b w:val="0"/>
                <w:bCs w:val="0"/>
                <w:sz w:val="20"/>
                <w:szCs w:val="20"/>
              </w:rPr>
              <w:t>Dataset is clean at the record level.</w:t>
            </w:r>
          </w:p>
        </w:tc>
      </w:tr>
      <w:tr w14:paraId="081F92D3">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0EC4DD68">
            <w:r>
              <w:rPr>
                <w:b w:val="0"/>
                <w:bCs w:val="0"/>
                <w:sz w:val="20"/>
                <w:szCs w:val="20"/>
              </w:rPr>
              <w:t>reminder_channel missing</w:t>
            </w:r>
          </w:p>
        </w:tc>
        <w:tc>
          <w:tcPr>
            <w:tcW w:w="1600" w:type="dxa"/>
            <w:tcMar>
              <w:top w:w="80" w:type="dxa"/>
              <w:left w:w="100" w:type="dxa"/>
              <w:bottom w:w="80" w:type="dxa"/>
              <w:right w:w="100" w:type="dxa"/>
            </w:tcMar>
          </w:tcPr>
          <w:p w14:paraId="444600B5">
            <w:r>
              <w:rPr>
                <w:b w:val="0"/>
                <w:bCs w:val="0"/>
                <w:sz w:val="20"/>
                <w:szCs w:val="20"/>
              </w:rPr>
              <w:t>1,366 rows (27.3%)</w:t>
            </w:r>
          </w:p>
        </w:tc>
        <w:tc>
          <w:tcPr>
            <w:tcW w:w="5200" w:type="dxa"/>
            <w:tcMar>
              <w:top w:w="80" w:type="dxa"/>
              <w:left w:w="100" w:type="dxa"/>
              <w:bottom w:w="80" w:type="dxa"/>
              <w:right w:w="100" w:type="dxa"/>
            </w:tcMar>
          </w:tcPr>
          <w:p w14:paraId="732233C8">
            <w:r>
              <w:rPr>
                <w:b w:val="0"/>
                <w:bCs w:val="0"/>
                <w:sz w:val="20"/>
                <w:szCs w:val="20"/>
              </w:rPr>
              <w:t>Structural, not an error — missing exactly when reminder_sent = “No” in every case.</w:t>
            </w:r>
          </w:p>
        </w:tc>
      </w:tr>
      <w:tr w14:paraId="3F242BE0">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4CCCF68D">
            <w:r>
              <w:rPr>
                <w:b w:val="0"/>
                <w:bCs w:val="0"/>
                <w:sz w:val="20"/>
                <w:szCs w:val="20"/>
              </w:rPr>
              <w:t>distance_to_clinic_km missing</w:t>
            </w:r>
          </w:p>
        </w:tc>
        <w:tc>
          <w:tcPr>
            <w:tcW w:w="1600" w:type="dxa"/>
            <w:tcMar>
              <w:top w:w="80" w:type="dxa"/>
              <w:left w:w="100" w:type="dxa"/>
              <w:bottom w:w="80" w:type="dxa"/>
              <w:right w:w="100" w:type="dxa"/>
            </w:tcMar>
          </w:tcPr>
          <w:p w14:paraId="114938ED">
            <w:r>
              <w:rPr>
                <w:b w:val="0"/>
                <w:bCs w:val="0"/>
                <w:sz w:val="20"/>
                <w:szCs w:val="20"/>
              </w:rPr>
              <w:t>90 rows (1.8%)</w:t>
            </w:r>
          </w:p>
        </w:tc>
        <w:tc>
          <w:tcPr>
            <w:tcW w:w="5200" w:type="dxa"/>
            <w:tcMar>
              <w:top w:w="80" w:type="dxa"/>
              <w:left w:w="100" w:type="dxa"/>
              <w:bottom w:w="80" w:type="dxa"/>
              <w:right w:w="100" w:type="dxa"/>
            </w:tcMar>
          </w:tcPr>
          <w:p w14:paraId="28255C99">
            <w:r>
              <w:rPr>
                <w:b w:val="0"/>
                <w:bCs w:val="0"/>
                <w:sz w:val="20"/>
                <w:szCs w:val="20"/>
              </w:rPr>
              <w:t>Spread proportionally across all outcome categories — unlikely to bias results, but requires exclusion/imputation for that KPI.</w:t>
            </w:r>
          </w:p>
        </w:tc>
      </w:tr>
      <w:tr w14:paraId="39CCC093">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1BAC0FDF">
            <w:r>
              <w:rPr>
                <w:b w:val="0"/>
                <w:bCs w:val="0"/>
                <w:sz w:val="20"/>
                <w:szCs w:val="20"/>
              </w:rPr>
              <w:t>waiting_time_minutes missing</w:t>
            </w:r>
          </w:p>
        </w:tc>
        <w:tc>
          <w:tcPr>
            <w:tcW w:w="1600" w:type="dxa"/>
            <w:tcMar>
              <w:top w:w="80" w:type="dxa"/>
              <w:left w:w="100" w:type="dxa"/>
              <w:bottom w:w="80" w:type="dxa"/>
              <w:right w:w="100" w:type="dxa"/>
            </w:tcMar>
          </w:tcPr>
          <w:p w14:paraId="1352A06B">
            <w:r>
              <w:rPr>
                <w:b w:val="0"/>
                <w:bCs w:val="0"/>
                <w:sz w:val="20"/>
                <w:szCs w:val="20"/>
              </w:rPr>
              <w:t>60 rows (1.2%)</w:t>
            </w:r>
          </w:p>
        </w:tc>
        <w:tc>
          <w:tcPr>
            <w:tcW w:w="5200" w:type="dxa"/>
            <w:tcMar>
              <w:top w:w="80" w:type="dxa"/>
              <w:left w:w="100" w:type="dxa"/>
              <w:bottom w:w="80" w:type="dxa"/>
              <w:right w:w="100" w:type="dxa"/>
            </w:tcMar>
          </w:tcPr>
          <w:p w14:paraId="01C0C3FB">
            <w:r>
              <w:rPr>
                <w:b w:val="0"/>
                <w:bCs w:val="0"/>
                <w:sz w:val="20"/>
                <w:szCs w:val="20"/>
              </w:rPr>
              <w:t>Same pattern as above; also excluded from predictive use (see Limitations).</w:t>
            </w:r>
          </w:p>
        </w:tc>
      </w:tr>
      <w:tr w14:paraId="7A2FA56E">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1E20BD4E">
            <w:r>
              <w:rPr>
                <w:b w:val="0"/>
                <w:bCs w:val="0"/>
                <w:sz w:val="20"/>
                <w:szCs w:val="20"/>
              </w:rPr>
              <w:t>previous_no_shows &gt; previous_appointments</w:t>
            </w:r>
          </w:p>
        </w:tc>
        <w:tc>
          <w:tcPr>
            <w:tcW w:w="1600" w:type="dxa"/>
            <w:tcMar>
              <w:top w:w="80" w:type="dxa"/>
              <w:left w:w="100" w:type="dxa"/>
              <w:bottom w:w="80" w:type="dxa"/>
              <w:right w:w="100" w:type="dxa"/>
            </w:tcMar>
          </w:tcPr>
          <w:p w14:paraId="638AB6C7">
            <w:r>
              <w:rPr>
                <w:b w:val="0"/>
                <w:bCs w:val="0"/>
                <w:sz w:val="20"/>
                <w:szCs w:val="20"/>
              </w:rPr>
              <w:t>0 violations</w:t>
            </w:r>
          </w:p>
        </w:tc>
        <w:tc>
          <w:tcPr>
            <w:tcW w:w="5200" w:type="dxa"/>
            <w:tcMar>
              <w:top w:w="80" w:type="dxa"/>
              <w:left w:w="100" w:type="dxa"/>
              <w:bottom w:w="80" w:type="dxa"/>
              <w:right w:w="100" w:type="dxa"/>
            </w:tcMar>
          </w:tcPr>
          <w:p w14:paraId="32E4091A">
            <w:r>
              <w:rPr>
                <w:b w:val="0"/>
                <w:bCs w:val="0"/>
                <w:sz w:val="20"/>
                <w:szCs w:val="20"/>
              </w:rPr>
              <w:t>Internal business rule holds.</w:t>
            </w:r>
          </w:p>
        </w:tc>
      </w:tr>
      <w:tr w14:paraId="06F823F6">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07DD6F4B">
            <w:r>
              <w:rPr>
                <w:b w:val="0"/>
                <w:bCs w:val="0"/>
                <w:sz w:val="20"/>
                <w:szCs w:val="20"/>
              </w:rPr>
              <w:t>Negative booking_lead_days / appointment before booking</w:t>
            </w:r>
          </w:p>
        </w:tc>
        <w:tc>
          <w:tcPr>
            <w:tcW w:w="1600" w:type="dxa"/>
            <w:tcMar>
              <w:top w:w="80" w:type="dxa"/>
              <w:left w:w="100" w:type="dxa"/>
              <w:bottom w:w="80" w:type="dxa"/>
              <w:right w:w="100" w:type="dxa"/>
            </w:tcMar>
          </w:tcPr>
          <w:p w14:paraId="69879381">
            <w:r>
              <w:rPr>
                <w:b w:val="0"/>
                <w:bCs w:val="0"/>
                <w:sz w:val="20"/>
                <w:szCs w:val="20"/>
              </w:rPr>
              <w:t>0 found</w:t>
            </w:r>
          </w:p>
        </w:tc>
        <w:tc>
          <w:tcPr>
            <w:tcW w:w="5200" w:type="dxa"/>
            <w:tcMar>
              <w:top w:w="80" w:type="dxa"/>
              <w:left w:w="100" w:type="dxa"/>
              <w:bottom w:w="80" w:type="dxa"/>
              <w:right w:w="100" w:type="dxa"/>
            </w:tcMar>
          </w:tcPr>
          <w:p w14:paraId="051EB982">
            <w:r>
              <w:rPr>
                <w:b w:val="0"/>
                <w:bCs w:val="0"/>
                <w:sz w:val="20"/>
                <w:szCs w:val="20"/>
              </w:rPr>
              <w:t>Passes basic logic check.</w:t>
            </w:r>
          </w:p>
        </w:tc>
      </w:tr>
      <w:tr w14:paraId="2CB3947D">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552C2C8F">
            <w:r>
              <w:rPr>
                <w:b w:val="0"/>
                <w:bCs w:val="0"/>
                <w:sz w:val="20"/>
                <w:szCs w:val="20"/>
              </w:rPr>
              <w:t>appointment_outcome split</w:t>
            </w:r>
          </w:p>
        </w:tc>
        <w:tc>
          <w:tcPr>
            <w:tcW w:w="1600" w:type="dxa"/>
            <w:tcMar>
              <w:top w:w="80" w:type="dxa"/>
              <w:left w:w="100" w:type="dxa"/>
              <w:bottom w:w="80" w:type="dxa"/>
              <w:right w:w="100" w:type="dxa"/>
            </w:tcMar>
          </w:tcPr>
          <w:p w14:paraId="5E0C8721">
            <w:r>
              <w:rPr>
                <w:b w:val="0"/>
                <w:bCs w:val="0"/>
                <w:sz w:val="20"/>
                <w:szCs w:val="20"/>
              </w:rPr>
              <w:t>No-Show 48.5% · Attended 46.3% · Cancelled 5.3%</w:t>
            </w:r>
          </w:p>
        </w:tc>
        <w:tc>
          <w:tcPr>
            <w:tcW w:w="5200" w:type="dxa"/>
            <w:tcMar>
              <w:top w:w="80" w:type="dxa"/>
              <w:left w:w="100" w:type="dxa"/>
              <w:bottom w:w="80" w:type="dxa"/>
              <w:right w:w="100" w:type="dxa"/>
            </w:tcMar>
          </w:tcPr>
          <w:p w14:paraId="664D3FDE">
            <w:r>
              <w:rPr>
                <w:b w:val="0"/>
                <w:bCs w:val="0"/>
                <w:sz w:val="20"/>
                <w:szCs w:val="20"/>
              </w:rPr>
              <w:t>No-show rate is far above real-world clinic norms (typically 15–30%) — likely built for a strong teaching signal, not realism (see Limitations).</w:t>
            </w:r>
          </w:p>
        </w:tc>
      </w:tr>
    </w:tbl>
    <w:p w14:paraId="5EA2733D">
      <w:pPr>
        <w:spacing w:after="240"/>
      </w:pPr>
    </w:p>
    <w:p w14:paraId="6CC8E390">
      <w:pPr>
        <w:pStyle w:val="2"/>
        <w:spacing w:before="320" w:after="160"/>
      </w:pPr>
      <w:r>
        <w:t>6. Business Questions</w:t>
      </w:r>
    </w:p>
    <w:p w14:paraId="202DB13A">
      <w:pPr>
        <w:pStyle w:val="16"/>
        <w:numPr>
          <w:ilvl w:val="0"/>
          <w:numId w:val="2"/>
        </w:numPr>
        <w:spacing w:after="140"/>
      </w:pPr>
      <w:r>
        <w:t>Does a patient's distance from the clinic influence their likelihood of attending, no-showing, or cancelling?</w:t>
      </w:r>
    </w:p>
    <w:p w14:paraId="18D5C74B">
      <w:pPr>
        <w:pStyle w:val="16"/>
        <w:numPr>
          <w:ilvl w:val="0"/>
          <w:numId w:val="2"/>
        </w:numPr>
        <w:spacing w:after="140"/>
      </w:pPr>
      <w:r>
        <w:t>Does a patient's appointment history — how often they've attended vs. missed appointments before — predict their likelihood of attending, no-showing, or cancelling?</w:t>
      </w:r>
    </w:p>
    <w:p w14:paraId="67B41BB7">
      <w:pPr>
        <w:pStyle w:val="16"/>
        <w:numPr>
          <w:ilvl w:val="0"/>
          <w:numId w:val="2"/>
        </w:numPr>
        <w:spacing w:after="140"/>
      </w:pPr>
      <w:r>
        <w:t>Does the combination of age group and appointment day/type predict a higher risk of attending, no-showing, or cancelling?</w:t>
      </w:r>
    </w:p>
    <w:p w14:paraId="4AED45B7">
      <w:pPr>
        <w:pStyle w:val="16"/>
        <w:numPr>
          <w:ilvl w:val="0"/>
          <w:numId w:val="2"/>
        </w:numPr>
        <w:spacing w:after="140"/>
      </w:pPr>
      <w:r>
        <w:t>Does sending a reminder — and the channel used to send it — affect a patient's likelihood of attending, no-showing, or cancelling?</w:t>
      </w:r>
    </w:p>
    <w:p w14:paraId="4EF93841">
      <w:pPr>
        <w:pStyle w:val="16"/>
        <w:numPr>
          <w:ilvl w:val="0"/>
          <w:numId w:val="2"/>
        </w:numPr>
        <w:spacing w:after="140"/>
      </w:pPr>
      <w:r>
        <w:t>Does booking lead time — the gap between when an appointment is booked and when it's scheduled to happen — affect a patient's likelihood of attending, no-showing, or cancelling?</w:t>
      </w:r>
    </w:p>
    <w:p w14:paraId="26DA574C">
      <w:pPr>
        <w:pStyle w:val="2"/>
        <w:spacing w:before="320" w:after="160"/>
      </w:pPr>
      <w:r>
        <w:t>7. Proposed KPIs</w:t>
      </w:r>
    </w:p>
    <w:p w14:paraId="70D5325C">
      <w:pPr>
        <w:spacing w:after="160"/>
      </w:pPr>
      <w:r>
        <w:t>At this stage, KPIs are identified and justified against their linked business question. A first-pass calculation was carried out in Excel to validate that each pattern is worth pursuing before Power BI dashboard development in Week 5.</w:t>
      </w:r>
    </w:p>
    <w:tbl>
      <w:tblPr>
        <w:tblStyle w:val="9"/>
        <w:tblW w:w="9400" w:type="dxa"/>
        <w:tblInd w:w="0" w:type="dxa"/>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Layout w:type="autofit"/>
        <w:tblCellMar>
          <w:top w:w="0" w:type="dxa"/>
          <w:left w:w="10" w:type="dxa"/>
          <w:bottom w:w="0" w:type="dxa"/>
          <w:right w:w="10" w:type="dxa"/>
        </w:tblCellMar>
      </w:tblPr>
      <w:tblGrid>
        <w:gridCol w:w="3600"/>
        <w:gridCol w:w="1200"/>
        <w:gridCol w:w="4600"/>
      </w:tblGrid>
      <w:tr w14:paraId="4080CC9A">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10" w:type="dxa"/>
            <w:bottom w:w="0" w:type="dxa"/>
            <w:right w:w="10" w:type="dxa"/>
          </w:tblCellMar>
        </w:tblPrEx>
        <w:tc>
          <w:tcPr>
            <w:tcW w:w="3600" w:type="dxa"/>
            <w:shd w:val="clear" w:color="auto" w:fill="1F4E79"/>
            <w:tcMar>
              <w:top w:w="80" w:type="dxa"/>
              <w:left w:w="100" w:type="dxa"/>
              <w:bottom w:w="80" w:type="dxa"/>
              <w:right w:w="100" w:type="dxa"/>
            </w:tcMar>
          </w:tcPr>
          <w:p w14:paraId="1C6FADAD">
            <w:r>
              <w:rPr>
                <w:b/>
                <w:bCs/>
                <w:color w:val="FFFFFF"/>
                <w:sz w:val="20"/>
                <w:szCs w:val="20"/>
              </w:rPr>
              <w:t>KPI</w:t>
            </w:r>
          </w:p>
        </w:tc>
        <w:tc>
          <w:tcPr>
            <w:tcW w:w="1200" w:type="dxa"/>
            <w:shd w:val="clear" w:color="auto" w:fill="1F4E79"/>
            <w:tcMar>
              <w:top w:w="80" w:type="dxa"/>
              <w:left w:w="100" w:type="dxa"/>
              <w:bottom w:w="80" w:type="dxa"/>
              <w:right w:w="100" w:type="dxa"/>
            </w:tcMar>
          </w:tcPr>
          <w:p w14:paraId="0BA97FDC">
            <w:r>
              <w:rPr>
                <w:b/>
                <w:bCs/>
                <w:color w:val="FFFFFF"/>
                <w:sz w:val="20"/>
                <w:szCs w:val="20"/>
              </w:rPr>
              <w:t>Linked to</w:t>
            </w:r>
          </w:p>
        </w:tc>
        <w:tc>
          <w:tcPr>
            <w:tcW w:w="4600" w:type="dxa"/>
            <w:shd w:val="clear" w:color="auto" w:fill="1F4E79"/>
            <w:tcMar>
              <w:top w:w="80" w:type="dxa"/>
              <w:left w:w="100" w:type="dxa"/>
              <w:bottom w:w="80" w:type="dxa"/>
              <w:right w:w="100" w:type="dxa"/>
            </w:tcMar>
          </w:tcPr>
          <w:p w14:paraId="7F3CDC93">
            <w:r>
              <w:rPr>
                <w:b/>
                <w:bCs/>
                <w:color w:val="FFFFFF"/>
                <w:sz w:val="20"/>
                <w:szCs w:val="20"/>
              </w:rPr>
              <w:t>Preliminary finding (Excel pivot, Week 4)</w:t>
            </w:r>
          </w:p>
        </w:tc>
      </w:tr>
      <w:tr w14:paraId="4B8E6A66">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10" w:type="dxa"/>
            <w:bottom w:w="0" w:type="dxa"/>
            <w:right w:w="10" w:type="dxa"/>
          </w:tblCellMar>
        </w:tblPrEx>
        <w:tc>
          <w:tcPr>
            <w:tcW w:w="3600" w:type="dxa"/>
            <w:tcMar>
              <w:top w:w="80" w:type="dxa"/>
              <w:left w:w="100" w:type="dxa"/>
              <w:bottom w:w="80" w:type="dxa"/>
              <w:right w:w="100" w:type="dxa"/>
            </w:tcMar>
          </w:tcPr>
          <w:p w14:paraId="18DB07F0">
            <w:r>
              <w:rPr>
                <w:b w:val="0"/>
                <w:bCs w:val="0"/>
                <w:sz w:val="20"/>
                <w:szCs w:val="20"/>
              </w:rPr>
              <w:t>No-show / attendance rate by distance band (&lt;5km / 5–15km / 15km+)</w:t>
            </w:r>
          </w:p>
        </w:tc>
        <w:tc>
          <w:tcPr>
            <w:tcW w:w="1200" w:type="dxa"/>
            <w:tcMar>
              <w:top w:w="80" w:type="dxa"/>
              <w:left w:w="100" w:type="dxa"/>
              <w:bottom w:w="80" w:type="dxa"/>
              <w:right w:w="100" w:type="dxa"/>
            </w:tcMar>
          </w:tcPr>
          <w:p w14:paraId="7F3EB191">
            <w:r>
              <w:rPr>
                <w:b w:val="0"/>
                <w:bCs w:val="0"/>
                <w:sz w:val="20"/>
                <w:szCs w:val="20"/>
              </w:rPr>
              <w:t>Q1</w:t>
            </w:r>
          </w:p>
        </w:tc>
        <w:tc>
          <w:tcPr>
            <w:tcW w:w="4600" w:type="dxa"/>
            <w:tcMar>
              <w:top w:w="80" w:type="dxa"/>
              <w:left w:w="100" w:type="dxa"/>
              <w:bottom w:w="80" w:type="dxa"/>
              <w:right w:w="100" w:type="dxa"/>
            </w:tcMar>
          </w:tcPr>
          <w:p w14:paraId="0E0A9F68">
            <w:r>
              <w:rPr>
                <w:b w:val="0"/>
                <w:bCs w:val="0"/>
                <w:sz w:val="20"/>
                <w:szCs w:val="20"/>
              </w:rPr>
              <w:t>Modest effect. Avg. distance: Attended 9.67km, Cancelled 10.11km, No-Show 10.53km.</w:t>
            </w:r>
          </w:p>
        </w:tc>
      </w:tr>
      <w:tr w14:paraId="6867C13F">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10" w:type="dxa"/>
            <w:bottom w:w="0" w:type="dxa"/>
            <w:right w:w="10" w:type="dxa"/>
          </w:tblCellMar>
        </w:tblPrEx>
        <w:tc>
          <w:tcPr>
            <w:tcW w:w="3600" w:type="dxa"/>
            <w:tcMar>
              <w:top w:w="80" w:type="dxa"/>
              <w:left w:w="100" w:type="dxa"/>
              <w:bottom w:w="80" w:type="dxa"/>
              <w:right w:w="100" w:type="dxa"/>
            </w:tcMar>
          </w:tcPr>
          <w:p w14:paraId="4CA28F29">
            <w:r>
              <w:rPr>
                <w:b w:val="0"/>
                <w:bCs w:val="0"/>
                <w:sz w:val="20"/>
                <w:szCs w:val="20"/>
              </w:rPr>
              <w:t>Outcome rate by prior no-show count (0 / 1 / 2+)</w:t>
            </w:r>
          </w:p>
        </w:tc>
        <w:tc>
          <w:tcPr>
            <w:tcW w:w="1200" w:type="dxa"/>
            <w:tcMar>
              <w:top w:w="80" w:type="dxa"/>
              <w:left w:w="100" w:type="dxa"/>
              <w:bottom w:w="80" w:type="dxa"/>
              <w:right w:w="100" w:type="dxa"/>
            </w:tcMar>
          </w:tcPr>
          <w:p w14:paraId="527896F0">
            <w:r>
              <w:rPr>
                <w:b w:val="0"/>
                <w:bCs w:val="0"/>
                <w:sz w:val="20"/>
                <w:szCs w:val="20"/>
              </w:rPr>
              <w:t>Q2</w:t>
            </w:r>
          </w:p>
        </w:tc>
        <w:tc>
          <w:tcPr>
            <w:tcW w:w="4600" w:type="dxa"/>
            <w:tcMar>
              <w:top w:w="80" w:type="dxa"/>
              <w:left w:w="100" w:type="dxa"/>
              <w:bottom w:w="80" w:type="dxa"/>
              <w:right w:w="100" w:type="dxa"/>
            </w:tcMar>
          </w:tcPr>
          <w:p w14:paraId="64CA839C">
            <w:r>
              <w:rPr>
                <w:b w:val="0"/>
                <w:bCs w:val="0"/>
                <w:sz w:val="20"/>
                <w:szCs w:val="20"/>
              </w:rPr>
              <w:t>Strongest, cleanest signal. No-show rate climbs steadily: 43.5% (0 prior) → 53.5% (1 prior) → 61.0% (2+ prior). Best treated as a flag for targeting outreach, not a proven lever — the data can't confirm what actually drives the pattern.</w:t>
            </w:r>
          </w:p>
        </w:tc>
      </w:tr>
      <w:tr w14:paraId="65AF98F5">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10" w:type="dxa"/>
            <w:bottom w:w="0" w:type="dxa"/>
            <w:right w:w="10" w:type="dxa"/>
          </w:tblCellMar>
        </w:tblPrEx>
        <w:tc>
          <w:tcPr>
            <w:tcW w:w="3600" w:type="dxa"/>
            <w:tcMar>
              <w:top w:w="80" w:type="dxa"/>
              <w:left w:w="100" w:type="dxa"/>
              <w:bottom w:w="80" w:type="dxa"/>
              <w:right w:w="100" w:type="dxa"/>
            </w:tcMar>
          </w:tcPr>
          <w:p w14:paraId="7EB8388C">
            <w:r>
              <w:rPr>
                <w:b w:val="0"/>
                <w:bCs w:val="0"/>
                <w:sz w:val="20"/>
                <w:szCs w:val="20"/>
              </w:rPr>
              <w:t>Outcome rate by age group × appointment day/type</w:t>
            </w:r>
          </w:p>
        </w:tc>
        <w:tc>
          <w:tcPr>
            <w:tcW w:w="1200" w:type="dxa"/>
            <w:tcMar>
              <w:top w:w="80" w:type="dxa"/>
              <w:left w:w="100" w:type="dxa"/>
              <w:bottom w:w="80" w:type="dxa"/>
              <w:right w:w="100" w:type="dxa"/>
            </w:tcMar>
          </w:tcPr>
          <w:p w14:paraId="27C89AFE">
            <w:r>
              <w:rPr>
                <w:b w:val="0"/>
                <w:bCs w:val="0"/>
                <w:sz w:val="20"/>
                <w:szCs w:val="20"/>
              </w:rPr>
              <w:t>Q3</w:t>
            </w:r>
          </w:p>
        </w:tc>
        <w:tc>
          <w:tcPr>
            <w:tcW w:w="4600" w:type="dxa"/>
            <w:tcMar>
              <w:top w:w="80" w:type="dxa"/>
              <w:left w:w="100" w:type="dxa"/>
              <w:bottom w:w="80" w:type="dxa"/>
              <w:right w:w="100" w:type="dxa"/>
            </w:tcMar>
          </w:tcPr>
          <w:p w14:paraId="1FB83854">
            <w:r>
              <w:rPr>
                <w:b w:val="0"/>
                <w:bCs w:val="0"/>
                <w:sz w:val="20"/>
                <w:szCs w:val="20"/>
              </w:rPr>
              <w:t>Weak/flat. Most age bands sit at 48–51% no-show; 65+ is the exception at 45.1%.</w:t>
            </w:r>
          </w:p>
        </w:tc>
      </w:tr>
      <w:tr w14:paraId="02891AE1">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10" w:type="dxa"/>
            <w:bottom w:w="0" w:type="dxa"/>
            <w:right w:w="10" w:type="dxa"/>
          </w:tblCellMar>
        </w:tblPrEx>
        <w:tc>
          <w:tcPr>
            <w:tcW w:w="3600" w:type="dxa"/>
            <w:tcMar>
              <w:top w:w="80" w:type="dxa"/>
              <w:left w:w="100" w:type="dxa"/>
              <w:bottom w:w="80" w:type="dxa"/>
              <w:right w:w="100" w:type="dxa"/>
            </w:tcMar>
          </w:tcPr>
          <w:p w14:paraId="266E491F">
            <w:r>
              <w:rPr>
                <w:b w:val="0"/>
                <w:bCs w:val="0"/>
                <w:sz w:val="20"/>
                <w:szCs w:val="20"/>
              </w:rPr>
              <w:t>Outcome rate by reminder channel (incl. “No reminder” as a category)</w:t>
            </w:r>
          </w:p>
        </w:tc>
        <w:tc>
          <w:tcPr>
            <w:tcW w:w="1200" w:type="dxa"/>
            <w:tcMar>
              <w:top w:w="80" w:type="dxa"/>
              <w:left w:w="100" w:type="dxa"/>
              <w:bottom w:w="80" w:type="dxa"/>
              <w:right w:w="100" w:type="dxa"/>
            </w:tcMar>
          </w:tcPr>
          <w:p w14:paraId="53262380">
            <w:r>
              <w:rPr>
                <w:b w:val="0"/>
                <w:bCs w:val="0"/>
                <w:sz w:val="20"/>
                <w:szCs w:val="20"/>
              </w:rPr>
              <w:t>Q4</w:t>
            </w:r>
          </w:p>
        </w:tc>
        <w:tc>
          <w:tcPr>
            <w:tcW w:w="4600" w:type="dxa"/>
            <w:tcMar>
              <w:top w:w="80" w:type="dxa"/>
              <w:left w:w="100" w:type="dxa"/>
              <w:bottom w:w="80" w:type="dxa"/>
              <w:right w:w="100" w:type="dxa"/>
            </w:tcMar>
          </w:tcPr>
          <w:p w14:paraId="62D47C12">
            <w:r>
              <w:rPr>
                <w:b w:val="0"/>
                <w:bCs w:val="0"/>
                <w:sz w:val="20"/>
                <w:szCs w:val="20"/>
              </w:rPr>
              <w:t>Clear effect. No reminder: 51.4% no-show vs. SMS 45.8%, Email 48.4%, WhatsApp 49.8%. SMS performs best.</w:t>
            </w:r>
          </w:p>
        </w:tc>
      </w:tr>
      <w:tr w14:paraId="73113E26">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10" w:type="dxa"/>
            <w:bottom w:w="0" w:type="dxa"/>
            <w:right w:w="10" w:type="dxa"/>
          </w:tblCellMar>
        </w:tblPrEx>
        <w:tc>
          <w:tcPr>
            <w:tcW w:w="3600" w:type="dxa"/>
            <w:tcMar>
              <w:top w:w="80" w:type="dxa"/>
              <w:left w:w="100" w:type="dxa"/>
              <w:bottom w:w="80" w:type="dxa"/>
              <w:right w:w="100" w:type="dxa"/>
            </w:tcMar>
          </w:tcPr>
          <w:p w14:paraId="6CA7B33D">
            <w:r>
              <w:rPr>
                <w:b w:val="0"/>
                <w:bCs w:val="0"/>
                <w:sz w:val="20"/>
                <w:szCs w:val="20"/>
              </w:rPr>
              <w:t>No-show rate by booking lead-time band (&lt;1wk / 1–4wks / 1mo+)</w:t>
            </w:r>
          </w:p>
        </w:tc>
        <w:tc>
          <w:tcPr>
            <w:tcW w:w="1200" w:type="dxa"/>
            <w:tcMar>
              <w:top w:w="80" w:type="dxa"/>
              <w:left w:w="100" w:type="dxa"/>
              <w:bottom w:w="80" w:type="dxa"/>
              <w:right w:w="100" w:type="dxa"/>
            </w:tcMar>
          </w:tcPr>
          <w:p w14:paraId="570973C6">
            <w:r>
              <w:rPr>
                <w:b w:val="0"/>
                <w:bCs w:val="0"/>
                <w:sz w:val="20"/>
                <w:szCs w:val="20"/>
              </w:rPr>
              <w:t>Q5</w:t>
            </w:r>
          </w:p>
        </w:tc>
        <w:tc>
          <w:tcPr>
            <w:tcW w:w="4600" w:type="dxa"/>
            <w:tcMar>
              <w:top w:w="80" w:type="dxa"/>
              <w:left w:w="100" w:type="dxa"/>
              <w:bottom w:w="80" w:type="dxa"/>
              <w:right w:w="100" w:type="dxa"/>
            </w:tcMar>
          </w:tcPr>
          <w:p w14:paraId="27E8744C">
            <w:r>
              <w:rPr>
                <w:b w:val="0"/>
                <w:bCs w:val="0"/>
                <w:sz w:val="20"/>
                <w:szCs w:val="20"/>
              </w:rPr>
              <w:t>Strong effect. Avg. lead time: Attended 24.5 days, Cancelled 29.6 days, No-Show 34.5 days.</w:t>
            </w:r>
          </w:p>
        </w:tc>
      </w:tr>
    </w:tbl>
    <w:p w14:paraId="72DE918D">
      <w:pPr>
        <w:spacing w:after="240"/>
      </w:pPr>
    </w:p>
    <w:p w14:paraId="10C173A0">
      <w:pPr>
        <w:pStyle w:val="2"/>
        <w:spacing w:before="320" w:after="160"/>
        <w:jc w:val="both"/>
      </w:pPr>
      <w:bookmarkStart w:id="0" w:name="_GoBack"/>
      <w:r>
        <w:t>8. Initial Analysis Approach</w:t>
      </w:r>
    </w:p>
    <w:p w14:paraId="1EE45801">
      <w:pPr>
        <w:spacing w:after="160"/>
        <w:jc w:val="both"/>
      </w:pPr>
      <w:r>
        <w:t>Tools: Excel was used for initial pattern validation given its speed for exploratory pivot analysis; Power BI — the primary Data Analytics track tool — will be used to build the final dashboard and visuals.</w:t>
      </w:r>
    </w:p>
    <w:p w14:paraId="717517C3">
      <w:pPr>
        <w:pStyle w:val="3"/>
        <w:spacing w:before="240" w:after="120"/>
        <w:jc w:val="both"/>
      </w:pPr>
      <w:r>
        <w:t>Stage 1 — Excel exploration (complete)</w:t>
      </w:r>
    </w:p>
    <w:p w14:paraId="3B09C1A5">
      <w:pPr>
        <w:spacing w:after="160"/>
        <w:jc w:val="both"/>
      </w:pPr>
      <w:r>
        <w:t>For each KPI, a pivot table compared the relevant segment against appointment_outcome, using averages and rate percentages (not raw sums) so that groups of different sizes could be compared fairly.</w:t>
      </w:r>
    </w:p>
    <w:p w14:paraId="47DAB658">
      <w:pPr>
        <w:pStyle w:val="3"/>
        <w:spacing w:before="240" w:after="120"/>
        <w:jc w:val="both"/>
      </w:pPr>
      <w:r>
        <w:t>Stage 2 — Data preparation for Power BI</w:t>
      </w:r>
    </w:p>
    <w:p w14:paraId="4B7DA70C">
      <w:pPr>
        <w:spacing w:after="160"/>
        <w:jc w:val="both"/>
      </w:pPr>
      <w:r>
        <w:t>Create the derived fields the dashboard will need: distance bands, prior-no-show buckets (0 / 1 / 2+), and booking-lead-time bands, sanity-checked in Excel first.</w:t>
      </w:r>
    </w:p>
    <w:p w14:paraId="00E67F10">
      <w:pPr>
        <w:pStyle w:val="3"/>
        <w:spacing w:before="240" w:after="120"/>
        <w:jc w:val="both"/>
      </w:pPr>
      <w:r>
        <w:t>Stage 3 — Power BI dashboard</w:t>
      </w:r>
    </w:p>
    <w:p w14:paraId="746BCCF4">
      <w:pPr>
        <w:spacing w:after="160"/>
        <w:jc w:val="both"/>
      </w:pPr>
      <w:r>
        <w:t>Build one visual per KPI, plus a summary view of overall outcome distribution, applying consistent handling of the missing-value rows identified in the data quality assessment.</w:t>
      </w:r>
    </w:p>
    <w:p w14:paraId="47DA63D4">
      <w:pPr>
        <w:pStyle w:val="3"/>
        <w:spacing w:before="240" w:after="120"/>
        <w:jc w:val="both"/>
      </w:pPr>
      <w:r>
        <w:t>Stage 4 — Interpretation</w:t>
      </w:r>
    </w:p>
    <w:p w14:paraId="53863F1B">
      <w:pPr>
        <w:spacing w:after="160"/>
        <w:jc w:val="both"/>
      </w:pPr>
      <w:r>
        <w:t>Write a one-line takeaway per visual stating what it shows and whether it supports or complicates the original business question.</w:t>
      </w:r>
    </w:p>
    <w:p w14:paraId="4BB9C7AF">
      <w:pPr>
        <w:pStyle w:val="2"/>
        <w:spacing w:before="320" w:after="160"/>
        <w:jc w:val="both"/>
      </w:pPr>
      <w:r>
        <w:t>9. Assumptions, Limitations, Risks &amp; Dependencies</w:t>
      </w:r>
    </w:p>
    <w:p w14:paraId="281874B5">
      <w:pPr>
        <w:pStyle w:val="16"/>
        <w:numPr>
          <w:ilvl w:val="0"/>
          <w:numId w:val="1"/>
        </w:numPr>
        <w:spacing w:after="100"/>
        <w:jc w:val="both"/>
      </w:pPr>
      <w:r>
        <w:t>reminder_channel is structurally null (not an error) for the 1,366 patients who received no reminder; the reminder-channel KPI treats “No reminder” as its own category rather than excluding these patients.</w:t>
      </w:r>
    </w:p>
    <w:p w14:paraId="08802D7E">
      <w:pPr>
        <w:pStyle w:val="16"/>
        <w:numPr>
          <w:ilvl w:val="0"/>
          <w:numId w:val="1"/>
        </w:numPr>
        <w:spacing w:after="100"/>
        <w:jc w:val="both"/>
      </w:pPr>
      <w:r>
        <w:t>distance_to_clinic_km (1.8%) and waiting_time_minutes (1.2%) have small, apparently random gaps unlikely to bias results, but requiring exclusion/imputation.</w:t>
      </w:r>
    </w:p>
    <w:p w14:paraId="2319418B">
      <w:pPr>
        <w:pStyle w:val="16"/>
        <w:numPr>
          <w:ilvl w:val="0"/>
          <w:numId w:val="1"/>
        </w:numPr>
        <w:spacing w:after="100"/>
        <w:jc w:val="both"/>
      </w:pPr>
      <w:r>
        <w:t>waiting_time_minutes is recorded even for No-Show and Cancelled appointments, which is not logically possible (a patient who never arrived cannot have a waiting time) — this field is therefore excluded from any predictive use of no-shows.</w:t>
      </w:r>
    </w:p>
    <w:p w14:paraId="3ABDEB87">
      <w:pPr>
        <w:pStyle w:val="16"/>
        <w:numPr>
          <w:ilvl w:val="0"/>
          <w:numId w:val="1"/>
        </w:numPr>
        <w:spacing w:after="100"/>
        <w:jc w:val="both"/>
      </w:pPr>
      <w:r>
        <w:t>The dataset's 48.5% overall no-show rate is well above real-world benchmarks (typically 15–30%), suggesting the data was constructed for a strong teaching signal rather than realism. Patterns/relationships found are considered transferable; exact percentages are not.</w:t>
      </w:r>
    </w:p>
    <w:p w14:paraId="52AE937F">
      <w:pPr>
        <w:pStyle w:val="16"/>
        <w:numPr>
          <w:ilvl w:val="0"/>
          <w:numId w:val="1"/>
        </w:numPr>
        <w:spacing w:after="100"/>
        <w:jc w:val="both"/>
      </w:pPr>
      <w:r>
        <w:t>No field records the reason a patient missed an appointment, so all findings in this document show correlation, not causation.</w:t>
      </w:r>
    </w:p>
    <w:p w14:paraId="4371A23C">
      <w:pPr>
        <w:pStyle w:val="16"/>
        <w:numPr>
          <w:ilvl w:val="0"/>
          <w:numId w:val="1"/>
        </w:numPr>
        <w:spacing w:after="100"/>
        <w:jc w:val="both"/>
      </w:pPr>
      <w:r>
        <w:t>Any future recommendation that segments patients by distance or demographics should be checked for unintended equity impacts (e.g. reducing effective access for patients already furthest from care) before being acted on.</w:t>
      </w:r>
    </w:p>
    <w:p w14:paraId="6E748CA6">
      <w:pPr>
        <w:pStyle w:val="16"/>
        <w:numPr>
          <w:ilvl w:val="0"/>
          <w:numId w:val="1"/>
        </w:numPr>
        <w:spacing w:after="100"/>
        <w:jc w:val="both"/>
      </w:pPr>
      <w:r>
        <w:t>Dependency: continued access to Excel and Power BI Desktop through the remainder of the internship.</w:t>
      </w:r>
    </w:p>
    <w:p w14:paraId="6EB97CA3">
      <w:pPr>
        <w:pStyle w:val="16"/>
        <w:numPr>
          <w:ilvl w:val="0"/>
          <w:numId w:val="1"/>
        </w:numPr>
        <w:spacing w:after="100"/>
        <w:jc w:val="both"/>
      </w:pPr>
      <w:r>
        <w:t>Scope: per the Week 4 brief, a complete dashboard and finalised KPI calculations are not required this week; KPIs above were validated at a preliminary level in Excel to confirm they are worth pursuing in Week 5.</w:t>
      </w:r>
    </w:p>
    <w:bookmarkEnd w:id="0"/>
    <w:sectPr>
      <w:pgSz w:w="11906" w:h="16838"/>
      <w:pgMar w:top="82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31" w:hanging="259"/>
      </w:pPr>
    </w:lvl>
  </w:abstractNum>
  <w:abstractNum w:abstractNumId="1">
    <w:nsid w:val="59ADCABA"/>
    <w:multiLevelType w:val="singleLevel"/>
    <w:tmpl w:val="59ADCABA"/>
    <w:lvl w:ilvl="0" w:tentative="0">
      <w:start w:val="1"/>
      <w:numFmt w:val="decimal"/>
      <w:lvlText w:val="%1."/>
      <w:lvlJc w:val="left"/>
      <w:pPr>
        <w:ind w:left="504"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6"/>
  <w:displayBackgroundShape w:val="1"/>
  <w:documentProtection w:enforcement="0"/>
  <w:compat>
    <w:compatSetting w:name="compatibilityMode" w:uri="http://schemas.microsoft.com/office/word" w:val="15"/>
  </w:compat>
  <w:rsids>
    <w:rsidRoot w:val="00000000"/>
    <w:rsid w:val="423209F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861</Words>
  <Characters>5200</Characters>
  <TotalTime>44</TotalTime>
  <ScaleCrop>false</ScaleCrop>
  <LinksUpToDate>false</LinksUpToDate>
  <CharactersWithSpaces>5978</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2026-08-28T18:09:00Z</dcterms:created>
  <dc:creator>Un-named</dc:creator>
  <cp:lastModifiedBy>Ekenga Dorothy</cp:lastModifiedBy>
  <dcterms:modified xsi:type="dcterms:W3CDTF">2026-08-30T13:08:24Z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eyJoZGlkIjoiYTkxMmIyNzBlY2I0NjI3MGJiMjEyNWFjNTZjMzY1OGIiLCJ1c2VySWQiOiIyNzY2Mjk3NTY4MTg4In0=</vt:lpwstr>
  </property>
  <property fmtid="{D5CDD505-2E9C-101B-9397-08002B2CF9AE}" pid="3" name="KSOProductBuildVer">
    <vt:lpwstr>1033-12.1.0.28032</vt:lpwstr>
  </property>
  <property fmtid="{D5CDD505-2E9C-101B-9397-08002B2CF9AE}" pid="4" name="ICV">
    <vt:lpwstr>4915662E3AA14DBC88A638365E3CA2A0_12</vt:lpwstr>
  </property>
</Properties>
</file>