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6E1A6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HealthConnect Clinic Experience Lab</w:t>
      </w:r>
    </w:p>
    <w:p w14:paraId="49B4DB33">
      <w:pPr>
        <w:spacing w:after="40"/>
        <w:jc w:val="center"/>
      </w:pPr>
      <w:r>
        <w:rPr>
          <w:b/>
          <w:bCs/>
          <w:sz w:val="26"/>
          <w:szCs w:val="26"/>
        </w:rPr>
        <w:t>Week 4 Project Summary — Data Analytics Track</w:t>
      </w:r>
    </w:p>
    <w:p w14:paraId="0408788F">
      <w:pPr>
        <w:spacing w:after="400"/>
        <w:jc w:val="center"/>
      </w:pPr>
      <w:r>
        <w:rPr>
          <w:color w:val="666666"/>
          <w:sz w:val="20"/>
          <w:szCs w:val="20"/>
        </w:rPr>
        <w:t xml:space="preserve">Prepared by </w:t>
      </w:r>
      <w:r>
        <w:rPr>
          <w:rFonts w:hint="default"/>
          <w:color w:val="666666"/>
          <w:sz w:val="20"/>
          <w:szCs w:val="20"/>
          <w:lang w:val="en-US"/>
        </w:rPr>
        <w:t xml:space="preserve">Ekenga </w:t>
      </w:r>
      <w:r>
        <w:rPr>
          <w:color w:val="666666"/>
          <w:sz w:val="20"/>
          <w:szCs w:val="20"/>
        </w:rPr>
        <w:t>Dorothy</w:t>
      </w:r>
    </w:p>
    <w:p w14:paraId="58FE7146">
      <w:pPr>
        <w:spacing w:after="180"/>
      </w:pPr>
      <w:r>
        <w:t>This summary complements the accompanying Initial Analysis Document and does not repeat its full detail.</w:t>
      </w:r>
    </w:p>
    <w:p w14:paraId="650F3986">
      <w:pPr>
        <w:pStyle w:val="2"/>
        <w:spacing w:before="280" w:after="140"/>
      </w:pPr>
      <w:r>
        <w:t>1. Problem Addressed</w:t>
      </w:r>
    </w:p>
    <w:p w14:paraId="411FAA49">
      <w:pPr>
        <w:spacing w:after="180"/>
      </w:pPr>
      <w:r>
        <w:t xml:space="preserve">Identify the patterns behind HealthConnect's appointment no-shows and translate them into business questions and KPIs that can guide clinic decisions </w:t>
      </w:r>
      <w:bookmarkStart w:id="0" w:name="_GoBack"/>
      <w:bookmarkEnd w:id="0"/>
    </w:p>
    <w:p w14:paraId="64D221A1">
      <w:pPr>
        <w:pStyle w:val="2"/>
        <w:spacing w:before="280" w:after="140"/>
      </w:pPr>
      <w:r>
        <w:t>2. Resources Used</w:t>
      </w:r>
    </w:p>
    <w:p w14:paraId="185CA250">
      <w:pPr>
        <w:spacing w:after="180"/>
      </w:pPr>
      <w:r>
        <w:t>HealthConnect_Appointment_Data.csv (5,000 records) and HealthConnect_Data_Dictionary.xlsx.</w:t>
      </w:r>
    </w:p>
    <w:p w14:paraId="578B3F0B">
      <w:pPr>
        <w:pStyle w:val="2"/>
        <w:spacing w:before="280" w:after="140"/>
      </w:pPr>
      <w:r>
        <w:t>3. Key Observations</w:t>
      </w:r>
    </w:p>
    <w:p w14:paraId="1389299E">
      <w:pPr>
        <w:spacing w:after="180"/>
      </w:pPr>
      <w:r>
        <w:t>Of the 5 KPIs explored, prior no-show history produced the clearest, most actionable signal — no-show rate climbs steadily as prior no-shows increase — though it's best treated as a flag for identifying at-risk patients, not a proven lever for reducing future risk, since the data can't confirm what's actually driving the pattern. Distance and age showed only weak effects. Full results and reasoning for all 5 KPIs are in the Initial Analysis Document.</w:t>
      </w:r>
    </w:p>
    <w:p w14:paraId="5F2F1674">
      <w:pPr>
        <w:pStyle w:val="2"/>
        <w:spacing w:before="280" w:after="140"/>
      </w:pPr>
      <w:r>
        <w:t>4. Proposed Approach</w:t>
      </w:r>
    </w:p>
    <w:p w14:paraId="53A6C133">
      <w:pPr>
        <w:spacing w:after="180"/>
      </w:pPr>
      <w:r>
        <w:t>Excel pivot validation (complete) → Power BI dashboard with one visual and one written interpretation per KPI (Week 5).</w:t>
      </w:r>
    </w:p>
    <w:p w14:paraId="3AE6640F">
      <w:pPr>
        <w:pStyle w:val="2"/>
        <w:spacing w:before="280" w:after="140"/>
      </w:pPr>
      <w:r>
        <w:t>5. Key Considerations</w:t>
      </w:r>
    </w:p>
    <w:p w14:paraId="1340F102">
      <w:pPr>
        <w:spacing w:after="180"/>
      </w:pPr>
      <w:r>
        <w:t>The dataset's inflated no-show rate limits how far specific percentages generalise beyond this dataset, and the absence of a “reason for missed appointment” field means every finding is correlational, not causal. Full limitations list is in the Initial Analysis Document.</w:t>
      </w:r>
    </w:p>
    <w:p w14:paraId="22C86D8A">
      <w:pPr>
        <w:pStyle w:val="2"/>
        <w:spacing w:before="280" w:after="140"/>
      </w:pPr>
      <w:r>
        <w:t>6. Proposed Focus for Week 5</w:t>
      </w:r>
    </w:p>
    <w:p w14:paraId="1B9356EE">
      <w:pPr>
        <w:spacing w:after="180"/>
      </w:pPr>
      <w:r>
        <w:t>Finalise distance and booking-lead-time bands, build the Power BI dashboard, and draft recommendations that use prior no-show history to target outreach — rather than assuming that fixing one missed appointment guarantees a lower future risk.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4A773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266</Words>
  <Characters>1567</Characters>
  <TotalTime>1</TotalTime>
  <ScaleCrop>false</ScaleCrop>
  <LinksUpToDate>false</LinksUpToDate>
  <CharactersWithSpaces>1816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2026-08-28T18:09:00Z</dcterms:created>
  <dc:creator>Un-named</dc:creator>
  <cp:lastModifiedBy>Ekenga Dorothy</cp:lastModifiedBy>
  <dcterms:modified xsi:type="dcterms:W3CDTF">2026-08-30T13:10:29Z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eyJoZGlkIjoiYTkxMmIyNzBlY2I0NjI3MGJiMjEyNWFjNTZjMzY1OGIiLCJ1c2VySWQiOiIyNzY2Mjk3NTY4MTg4In0=</vt:lpwstr>
  </property>
  <property fmtid="{D5CDD505-2E9C-101B-9397-08002B2CF9AE}" pid="3" name="KSOProductBuildVer">
    <vt:lpwstr>1033-12.1.0.28032</vt:lpwstr>
  </property>
  <property fmtid="{D5CDD505-2E9C-101B-9397-08002B2CF9AE}" pid="4" name="ICV">
    <vt:lpwstr>4E903E8804114CD0959B211EFA7019B7_12</vt:lpwstr>
  </property>
</Properties>
</file>