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AAFA2">
      <w:pPr>
        <w:spacing w:after="40"/>
        <w:jc w:val="center"/>
        <w:rPr>
          <w:color w:val="000000" w:themeColor="text1"/>
          <w14:textFill>
            <w14:solidFill>
              <w14:schemeClr w14:val="tx1"/>
            </w14:solidFill>
          </w14:textFill>
        </w:rPr>
      </w:pPr>
      <w:r>
        <w:rPr>
          <w:b/>
          <w:bCs/>
          <w:color w:val="000000" w:themeColor="text1"/>
          <w:sz w:val="40"/>
          <w:szCs w:val="40"/>
          <w14:textFill>
            <w14:solidFill>
              <w14:schemeClr w14:val="tx1"/>
            </w14:solidFill>
          </w14:textFill>
        </w:rPr>
        <w:t>HealthConnect Clinic Experience Lab</w:t>
      </w:r>
    </w:p>
    <w:p w14:paraId="267457DB">
      <w:pPr>
        <w:spacing w:after="40"/>
        <w:jc w:val="center"/>
        <w:rPr>
          <w:color w:val="000000" w:themeColor="text1"/>
          <w14:textFill>
            <w14:solidFill>
              <w14:schemeClr w14:val="tx1"/>
            </w14:solidFill>
          </w14:textFill>
        </w:rPr>
      </w:pPr>
      <w:r>
        <w:rPr>
          <w:b/>
          <w:bCs/>
          <w:color w:val="000000" w:themeColor="text1"/>
          <w:sz w:val="26"/>
          <w:szCs w:val="26"/>
          <w14:textFill>
            <w14:solidFill>
              <w14:schemeClr w14:val="tx1"/>
            </w14:solidFill>
          </w14:textFill>
        </w:rPr>
        <w:t>Week 6: Advanced Analytics &amp; Decision Support Report — Data Analytics Track</w:t>
      </w:r>
    </w:p>
    <w:p w14:paraId="2FA08393">
      <w:pPr>
        <w:spacing w:after="400"/>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Prepared by</w:t>
      </w:r>
      <w:r>
        <w:rPr>
          <w:rFonts w:hint="default"/>
          <w:color w:val="000000" w:themeColor="text1"/>
          <w:sz w:val="20"/>
          <w:szCs w:val="20"/>
          <w:lang w:val="en-US"/>
          <w14:textFill>
            <w14:solidFill>
              <w14:schemeClr w14:val="tx1"/>
            </w14:solidFill>
          </w14:textFill>
        </w:rPr>
        <w:t xml:space="preserve"> Ekenga </w:t>
      </w:r>
      <w:r>
        <w:rPr>
          <w:color w:val="000000" w:themeColor="text1"/>
          <w:sz w:val="20"/>
          <w:szCs w:val="20"/>
          <w14:textFill>
            <w14:solidFill>
              <w14:schemeClr w14:val="tx1"/>
            </w14:solidFill>
          </w14:textFill>
        </w:rPr>
        <w:t xml:space="preserve"> Dorothy</w:t>
      </w:r>
      <w:bookmarkStart w:id="0" w:name="_GoBack"/>
      <w:bookmarkEnd w:id="0"/>
    </w:p>
    <w:p w14:paraId="420B02A1">
      <w:pPr>
        <w:pStyle w:val="2"/>
        <w:spacing w:before="320" w:after="160"/>
        <w:rPr>
          <w:color w:val="000000" w:themeColor="text1"/>
          <w14:textFill>
            <w14:solidFill>
              <w14:schemeClr w14:val="tx1"/>
            </w14:solidFill>
          </w14:textFill>
        </w:rPr>
      </w:pPr>
      <w:r>
        <w:rPr>
          <w:color w:val="000000" w:themeColor="text1"/>
          <w14:textFill>
            <w14:solidFill>
              <w14:schemeClr w14:val="tx1"/>
            </w14:solidFill>
          </w14:textFill>
        </w:rPr>
        <w:t>1. Week 5 → Week 6 Transition</w:t>
      </w:r>
    </w:p>
    <w:p w14:paraId="78B09E9E">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Main Week 5 output: </w:t>
      </w:r>
      <w:r>
        <w:rPr>
          <w:color w:val="000000" w:themeColor="text1"/>
          <w14:textFill>
            <w14:solidFill>
              <w14:schemeClr w14:val="tx1"/>
            </w14:solidFill>
          </w14:textFill>
        </w:rPr>
        <w:t>HealthConnect Week 5 Initial Analytics Report, a Power BI dashboard (6 visuals), and a supporting Excel workbook</w:t>
      </w:r>
    </w:p>
    <w:p w14:paraId="31FC6C9C">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Most important Week 5 result: </w:t>
      </w:r>
      <w:r>
        <w:rPr>
          <w:color w:val="000000" w:themeColor="text1"/>
          <w14:textFill>
            <w14:solidFill>
              <w14:schemeClr w14:val="tx1"/>
            </w14:solidFill>
          </w14:textFill>
        </w:rPr>
        <w:t>Prior no-show history was identified as the strongest predictor of appointment outcome (43.5% → 61.0% no-show rate as prior no-shows rise from 0 to 2+)</w:t>
      </w:r>
    </w:p>
    <w:p w14:paraId="79655BE4">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Main issue/limitation discovered: </w:t>
      </w:r>
      <w:r>
        <w:rPr>
          <w:color w:val="000000" w:themeColor="text1"/>
          <w14:textFill>
            <w14:solidFill>
              <w14:schemeClr w14:val="tx1"/>
            </w14:solidFill>
          </w14:textFill>
        </w:rPr>
        <w:t>Findings were pattern-based (pivot table percentages) but not statistically tested; the age × appointment-type finding (62.4%) rested on a small cell (85 records) whose reliability had been flagged but not verified</w:t>
      </w:r>
    </w:p>
    <w:p w14:paraId="0BE1BA55">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Relevant track(s) for Week 6: </w:t>
      </w:r>
      <w:r>
        <w:rPr>
          <w:color w:val="000000" w:themeColor="text1"/>
          <w14:textFill>
            <w14:solidFill>
              <w14:schemeClr w14:val="tx1"/>
            </w14:solidFill>
          </w14:textFill>
        </w:rPr>
        <w:t>Data Science (feature relevance for the no-show prediction model), ML Engineering (data-quality/leakage findings for pipeline design), and Project Management (coordination given cross-track non-response)</w:t>
      </w:r>
    </w:p>
    <w:p w14:paraId="07735A83">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What this report improves, integrates, or validates: </w:t>
      </w:r>
      <w:r>
        <w:rPr>
          <w:color w:val="000000" w:themeColor="text1"/>
          <w14:textFill>
            <w14:solidFill>
              <w14:schemeClr w14:val="tx1"/>
            </w14:solidFill>
          </w14:textFill>
        </w:rPr>
        <w:t>Statistically validates the most important Week 5 KPIs, deepens the analysis with a new compound finding, revises a Week 5 conclusion that did not hold up under scrutiny, improves the dashboard, and documents a completed cross-track coordination activity</w:t>
      </w:r>
    </w:p>
    <w:p w14:paraId="510B9386">
      <w:pPr>
        <w:pStyle w:val="2"/>
        <w:spacing w:before="320" w:after="160"/>
        <w:rPr>
          <w:color w:val="000000" w:themeColor="text1"/>
          <w14:textFill>
            <w14:solidFill>
              <w14:schemeClr w14:val="tx1"/>
            </w14:solidFill>
          </w14:textFill>
        </w:rPr>
      </w:pPr>
      <w:r>
        <w:rPr>
          <w:color w:val="000000" w:themeColor="text1"/>
          <w14:textFill>
            <w14:solidFill>
              <w14:schemeClr w14:val="tx1"/>
            </w14:solidFill>
          </w14:textFill>
        </w:rPr>
        <w:t>2. Integration Readiness</w:t>
      </w:r>
    </w:p>
    <w:p w14:paraId="704777D3">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A. Integration Point</w:t>
      </w:r>
    </w:p>
    <w:p w14:paraId="21B40A2E">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Track(s) worked with: </w:t>
      </w:r>
      <w:r>
        <w:rPr>
          <w:color w:val="000000" w:themeColor="text1"/>
          <w14:textFill>
            <w14:solidFill>
              <w14:schemeClr w14:val="tx1"/>
            </w14:solidFill>
          </w14:textFill>
        </w:rPr>
        <w:t>Project Management (completed); Data Science and ML Engineering (attempted, response pending)</w:t>
      </w:r>
    </w:p>
    <w:p w14:paraId="0070B8EC">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Output needed from Project Management: </w:t>
      </w:r>
      <w:r>
        <w:rPr>
          <w:color w:val="000000" w:themeColor="text1"/>
          <w14:textFill>
            <w14:solidFill>
              <w14:schemeClr w14:val="tx1"/>
            </w14:solidFill>
          </w14:textFill>
        </w:rPr>
        <w:t>A structured mechanism to coordinate cross-track pairing, given two direct outreach attempts to Data Science and ML Engineering received no response</w:t>
      </w:r>
    </w:p>
    <w:p w14:paraId="7C0D4CF8">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Output provided to Project Management: </w:t>
      </w:r>
      <w:r>
        <w:rPr>
          <w:color w:val="000000" w:themeColor="text1"/>
          <w14:textFill>
            <w14:solidFill>
              <w14:schemeClr w14:val="tx1"/>
            </w14:solidFill>
          </w14:textFill>
        </w:rPr>
        <w:t>A fully completed Cross-Track Integration &amp; Progress Questionnaire covering Week 5 position, Week 6 progress, statistical validation results, the new compound finding, revised conclusions, risks, decisions, and an explicit escalation of the blocked Data Science/ML Engineering dependency</w:t>
      </w:r>
    </w:p>
    <w:p w14:paraId="1BBE6B48">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Why the connection is relevant: </w:t>
      </w:r>
      <w:r>
        <w:rPr>
          <w:color w:val="000000" w:themeColor="text1"/>
          <w14:textFill>
            <w14:solidFill>
              <w14:schemeClr w14:val="tx1"/>
            </w14:solidFill>
          </w14:textFill>
        </w:rPr>
        <w:t>Project Management coordinates dependencies and integration across all tracks (per the Week 6 Integration Matrix); with peer-to-peer outreach unsuccessful, PM coordination is the legitimate path to closing the Data Science/ML Engineering dependency before the deadline</w:t>
      </w:r>
    </w:p>
    <w:p w14:paraId="1EF95454">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B. Integration Objective</w:t>
      </w:r>
    </w:p>
    <w:p w14:paraId="28331165">
      <w:pPr>
        <w:spacing w:after="160"/>
        <w:rPr>
          <w:color w:val="000000" w:themeColor="text1"/>
          <w14:textFill>
            <w14:solidFill>
              <w14:schemeClr w14:val="tx1"/>
            </w14:solidFill>
          </w14:textFill>
        </w:rPr>
      </w:pPr>
      <w:r>
        <w:rPr>
          <w:color w:val="000000" w:themeColor="text1"/>
          <w14:textFill>
            <w14:solidFill>
              <w14:schemeClr w14:val="tx1"/>
            </w14:solidFill>
          </w14:textFill>
        </w:rPr>
        <w:t>After this integration activity, Project Management has full visibility into the Data Analytics track's validated findings and the specific blocker preventing Data Science/ML Engineering engagement, enabling PM to facilitate a direct pairing rather than the dependency remaining invisible or unresolved.</w:t>
      </w:r>
    </w:p>
    <w:p w14:paraId="0E2F8459">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C. Evidence</w:t>
      </w:r>
    </w:p>
    <w:p w14:paraId="7A5E4C9B">
      <w:pPr>
        <w:spacing w:after="160"/>
        <w:rPr>
          <w:color w:val="000000" w:themeColor="text1"/>
          <w14:textFill>
            <w14:solidFill>
              <w14:schemeClr w14:val="tx1"/>
            </w14:solidFill>
          </w14:textFill>
        </w:rPr>
      </w:pPr>
      <w:r>
        <w:rPr>
          <w:color w:val="000000" w:themeColor="text1"/>
          <w14:textFill>
            <w14:solidFill>
              <w14:schemeClr w14:val="tx1"/>
            </w14:solidFill>
          </w14:textFill>
        </w:rPr>
        <w:t>HealthConnect_Week6_CrossTrack_Questionnaire_FILLED.docx — submitted to the Project Management coordinator (coordination record, per the accepted evidence types in the Week 6 brief).</w:t>
      </w:r>
    </w:p>
    <w:p w14:paraId="6DC01AF5">
      <w:pPr>
        <w:pStyle w:val="2"/>
        <w:spacing w:before="320" w:after="160"/>
        <w:rPr>
          <w:color w:val="000000" w:themeColor="text1"/>
          <w14:textFill>
            <w14:solidFill>
              <w14:schemeClr w14:val="tx1"/>
            </w14:solidFill>
          </w14:textFill>
        </w:rPr>
      </w:pPr>
      <w:r>
        <w:rPr>
          <w:color w:val="000000" w:themeColor="text1"/>
          <w14:textFill>
            <w14:solidFill>
              <w14:schemeClr w14:val="tx1"/>
            </w14:solidFill>
          </w14:textFill>
        </w:rPr>
        <w:t>3. Advanced Analysis: Selecting and Validating Week 5 Findings</w:t>
      </w:r>
    </w:p>
    <w:p w14:paraId="10370F25">
      <w:pPr>
        <w:spacing w:after="160"/>
        <w:rPr>
          <w:color w:val="000000" w:themeColor="text1"/>
          <w14:textFill>
            <w14:solidFill>
              <w14:schemeClr w14:val="tx1"/>
            </w14:solidFill>
          </w14:textFill>
        </w:rPr>
      </w:pPr>
      <w:r>
        <w:rPr>
          <w:color w:val="000000" w:themeColor="text1"/>
          <w14:textFill>
            <w14:solidFill>
              <w14:schemeClr w14:val="tx1"/>
            </w14:solidFill>
          </w14:textFill>
        </w:rPr>
        <w:t>Rather than repeating the full Week 5 EDA, three of the highest-impact Week 5 findings were selected for deeper, statistically rigorous investigation: prior no-show history, the distance outlier group, and the age × appointment-type pattern (chosen because it carried the most uncertainty — a small sample size flagged but not tested in Week 5). Each was tested using a chi-square test of independence to determine whether the pattern is statistically real or could be explained by random chance.</w:t>
      </w:r>
    </w:p>
    <w:tbl>
      <w:tblPr>
        <w:tblStyle w:val="9"/>
        <w:tblW w:w="9400" w:type="dxa"/>
        <w:tblInd w:w="0"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autofit"/>
        <w:tblCellMar>
          <w:top w:w="0" w:type="dxa"/>
          <w:left w:w="10" w:type="dxa"/>
          <w:bottom w:w="0" w:type="dxa"/>
          <w:right w:w="10" w:type="dxa"/>
        </w:tblCellMar>
      </w:tblPr>
      <w:tblGrid>
        <w:gridCol w:w="3400"/>
        <w:gridCol w:w="1600"/>
        <w:gridCol w:w="2200"/>
        <w:gridCol w:w="2200"/>
      </w:tblGrid>
      <w:tr w14:paraId="3137A7AA">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400" w:type="dxa"/>
            <w:shd w:val="clear" w:color="auto" w:fill="1F4E79"/>
            <w:tcMar>
              <w:top w:w="80" w:type="dxa"/>
              <w:left w:w="100" w:type="dxa"/>
              <w:bottom w:w="80" w:type="dxa"/>
              <w:right w:w="100" w:type="dxa"/>
            </w:tcMar>
          </w:tcPr>
          <w:p w14:paraId="50AE2B8B">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Finding</w:t>
            </w:r>
          </w:p>
        </w:tc>
        <w:tc>
          <w:tcPr>
            <w:tcW w:w="1600" w:type="dxa"/>
            <w:shd w:val="clear" w:color="auto" w:fill="1F4E79"/>
            <w:tcMar>
              <w:top w:w="80" w:type="dxa"/>
              <w:left w:w="100" w:type="dxa"/>
              <w:bottom w:w="80" w:type="dxa"/>
              <w:right w:w="100" w:type="dxa"/>
            </w:tcMar>
          </w:tcPr>
          <w:p w14:paraId="355AC0F2">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Sample size</w:t>
            </w:r>
          </w:p>
        </w:tc>
        <w:tc>
          <w:tcPr>
            <w:tcW w:w="2200" w:type="dxa"/>
            <w:shd w:val="clear" w:color="auto" w:fill="1F4E79"/>
            <w:tcMar>
              <w:top w:w="80" w:type="dxa"/>
              <w:left w:w="100" w:type="dxa"/>
              <w:bottom w:w="80" w:type="dxa"/>
              <w:right w:w="100" w:type="dxa"/>
            </w:tcMar>
          </w:tcPr>
          <w:p w14:paraId="7C94CE20">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p-value</w:t>
            </w:r>
          </w:p>
        </w:tc>
        <w:tc>
          <w:tcPr>
            <w:tcW w:w="2200" w:type="dxa"/>
            <w:shd w:val="clear" w:color="auto" w:fill="1F4E79"/>
            <w:tcMar>
              <w:top w:w="80" w:type="dxa"/>
              <w:left w:w="100" w:type="dxa"/>
              <w:bottom w:w="80" w:type="dxa"/>
              <w:right w:w="100" w:type="dxa"/>
            </w:tcMar>
          </w:tcPr>
          <w:p w14:paraId="55D469D7">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Verdict</w:t>
            </w:r>
          </w:p>
        </w:tc>
      </w:tr>
      <w:tr w14:paraId="64EA62FE">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472A1552">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Prior no-shows (0/1/2+)</w:t>
            </w:r>
          </w:p>
        </w:tc>
        <w:tc>
          <w:tcPr>
            <w:tcW w:w="1600" w:type="dxa"/>
            <w:tcMar>
              <w:top w:w="80" w:type="dxa"/>
              <w:left w:w="100" w:type="dxa"/>
              <w:bottom w:w="80" w:type="dxa"/>
              <w:right w:w="100" w:type="dxa"/>
            </w:tcMar>
          </w:tcPr>
          <w:p w14:paraId="77A5E339">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n=5,000</w:t>
            </w:r>
          </w:p>
        </w:tc>
        <w:tc>
          <w:tcPr>
            <w:tcW w:w="2200" w:type="dxa"/>
            <w:tcMar>
              <w:top w:w="80" w:type="dxa"/>
              <w:left w:w="100" w:type="dxa"/>
              <w:bottom w:w="80" w:type="dxa"/>
              <w:right w:w="100" w:type="dxa"/>
            </w:tcMar>
          </w:tcPr>
          <w:p w14:paraId="4FE88936">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&lt;0.001</w:t>
            </w:r>
          </w:p>
        </w:tc>
        <w:tc>
          <w:tcPr>
            <w:tcW w:w="2200" w:type="dxa"/>
            <w:tcMar>
              <w:top w:w="80" w:type="dxa"/>
              <w:left w:w="100" w:type="dxa"/>
              <w:bottom w:w="80" w:type="dxa"/>
              <w:right w:w="100" w:type="dxa"/>
            </w:tcMar>
          </w:tcPr>
          <w:p w14:paraId="01A38BB5">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Strong — statistically real</w:t>
            </w:r>
          </w:p>
        </w:tc>
      </w:tr>
      <w:tr w14:paraId="01ED6467">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0C1FAB01">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Distance outlier (25.8km+)</w:t>
            </w:r>
          </w:p>
        </w:tc>
        <w:tc>
          <w:tcPr>
            <w:tcW w:w="1600" w:type="dxa"/>
            <w:tcMar>
              <w:top w:w="80" w:type="dxa"/>
              <w:left w:w="100" w:type="dxa"/>
              <w:bottom w:w="80" w:type="dxa"/>
              <w:right w:w="100" w:type="dxa"/>
            </w:tcMar>
          </w:tcPr>
          <w:p w14:paraId="6C816B60">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n=146</w:t>
            </w:r>
          </w:p>
        </w:tc>
        <w:tc>
          <w:tcPr>
            <w:tcW w:w="2200" w:type="dxa"/>
            <w:tcMar>
              <w:top w:w="80" w:type="dxa"/>
              <w:left w:w="100" w:type="dxa"/>
              <w:bottom w:w="80" w:type="dxa"/>
              <w:right w:w="100" w:type="dxa"/>
            </w:tcMar>
          </w:tcPr>
          <w:p w14:paraId="34BF0190">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0.0012</w:t>
            </w:r>
          </w:p>
        </w:tc>
        <w:tc>
          <w:tcPr>
            <w:tcW w:w="2200" w:type="dxa"/>
            <w:tcMar>
              <w:top w:w="80" w:type="dxa"/>
              <w:left w:w="100" w:type="dxa"/>
              <w:bottom w:w="80" w:type="dxa"/>
              <w:right w:w="100" w:type="dxa"/>
            </w:tcMar>
          </w:tcPr>
          <w:p w14:paraId="16F46762">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Strong — statistically real</w:t>
            </w:r>
          </w:p>
        </w:tc>
      </w:tr>
      <w:tr w14:paraId="0155F165">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3D14F87F">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Compound: prior no-shows × distance (2+, 25.8km+)</w:t>
            </w:r>
          </w:p>
        </w:tc>
        <w:tc>
          <w:tcPr>
            <w:tcW w:w="1600" w:type="dxa"/>
            <w:tcMar>
              <w:top w:w="80" w:type="dxa"/>
              <w:left w:w="100" w:type="dxa"/>
              <w:bottom w:w="80" w:type="dxa"/>
              <w:right w:w="100" w:type="dxa"/>
            </w:tcMar>
          </w:tcPr>
          <w:p w14:paraId="222820B9">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n=20</w:t>
            </w:r>
          </w:p>
        </w:tc>
        <w:tc>
          <w:tcPr>
            <w:tcW w:w="2200" w:type="dxa"/>
            <w:tcMar>
              <w:top w:w="80" w:type="dxa"/>
              <w:left w:w="100" w:type="dxa"/>
              <w:bottom w:w="80" w:type="dxa"/>
              <w:right w:w="100" w:type="dxa"/>
            </w:tcMar>
          </w:tcPr>
          <w:p w14:paraId="5117F864">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0.0047</w:t>
            </w:r>
          </w:p>
        </w:tc>
        <w:tc>
          <w:tcPr>
            <w:tcW w:w="2200" w:type="dxa"/>
            <w:tcMar>
              <w:top w:w="80" w:type="dxa"/>
              <w:left w:w="100" w:type="dxa"/>
              <w:bottom w:w="80" w:type="dxa"/>
              <w:right w:w="100" w:type="dxa"/>
            </w:tcMar>
          </w:tcPr>
          <w:p w14:paraId="2F846D55">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Real, but small sample — monitor as more data accumulates</w:t>
            </w:r>
          </w:p>
        </w:tc>
      </w:tr>
      <w:tr w14:paraId="4FB91382">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03CCB4BB">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Age × appointment type (45-54, Diagnostic Test)</w:t>
            </w:r>
          </w:p>
        </w:tc>
        <w:tc>
          <w:tcPr>
            <w:tcW w:w="1600" w:type="dxa"/>
            <w:tcMar>
              <w:top w:w="80" w:type="dxa"/>
              <w:left w:w="100" w:type="dxa"/>
              <w:bottom w:w="80" w:type="dxa"/>
              <w:right w:w="100" w:type="dxa"/>
            </w:tcMar>
          </w:tcPr>
          <w:p w14:paraId="5EF7F8B5">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n=85</w:t>
            </w:r>
          </w:p>
        </w:tc>
        <w:tc>
          <w:tcPr>
            <w:tcW w:w="2200" w:type="dxa"/>
            <w:tcMar>
              <w:top w:w="80" w:type="dxa"/>
              <w:left w:w="100" w:type="dxa"/>
              <w:bottom w:w="80" w:type="dxa"/>
              <w:right w:w="100" w:type="dxa"/>
            </w:tcMar>
          </w:tcPr>
          <w:p w14:paraId="53259CC3">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0.0097 alone; 0.15 across full matrix</w:t>
            </w:r>
          </w:p>
        </w:tc>
        <w:tc>
          <w:tcPr>
            <w:tcW w:w="2200" w:type="dxa"/>
            <w:tcMar>
              <w:top w:w="80" w:type="dxa"/>
              <w:left w:w="100" w:type="dxa"/>
              <w:bottom w:w="80" w:type="dxa"/>
              <w:right w:w="100" w:type="dxa"/>
            </w:tcMar>
          </w:tcPr>
          <w:p w14:paraId="7F0A3ACF">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Not confirmed — does not survive multiple-comparisons testing</w:t>
            </w:r>
          </w:p>
        </w:tc>
      </w:tr>
    </w:tbl>
    <w:p w14:paraId="6CAF24A3">
      <w:pPr>
        <w:spacing w:after="200"/>
        <w:rPr>
          <w:color w:val="000000" w:themeColor="text1"/>
          <w14:textFill>
            <w14:solidFill>
              <w14:schemeClr w14:val="tx1"/>
            </w14:solidFill>
          </w14:textFill>
        </w:rPr>
      </w:pPr>
    </w:p>
    <w:p w14:paraId="0E53BB75">
      <w:pPr>
        <w:spacing w:after="160"/>
        <w:rPr>
          <w:color w:val="000000" w:themeColor="text1"/>
          <w14:textFill>
            <w14:solidFill>
              <w14:schemeClr w14:val="tx1"/>
            </w14:solidFill>
          </w14:textFill>
        </w:rPr>
      </w:pPr>
      <w:r>
        <w:rPr>
          <w:color w:val="000000" w:themeColor="text1"/>
          <w14:textFill>
            <w14:solidFill>
              <w14:schemeClr w14:val="tx1"/>
            </w14:solidFill>
          </w14:textFill>
        </w:rPr>
        <w:t>The age × appointment-type finding illustrates an important statistical caution: tested in isolation, the 45-54/Diagnostic Test cell appears significant (p=0.0097). However, testing the full 24-cell matrix at once (accounting for the fact that some cells are expected to look extreme purely by chance when many combinations are checked) returns p=0.15 — not significant. This is the multiple-comparisons problem, and it directly informed the decision to revise this conclusion (see Section 5).</w:t>
      </w:r>
    </w:p>
    <w:p w14:paraId="721962D3">
      <w:pPr>
        <w:pStyle w:val="2"/>
        <w:spacing w:before="320" w:after="160"/>
        <w:rPr>
          <w:color w:val="000000" w:themeColor="text1"/>
          <w14:textFill>
            <w14:solidFill>
              <w14:schemeClr w14:val="tx1"/>
            </w14:solidFill>
          </w14:textFill>
        </w:rPr>
      </w:pPr>
      <w:r>
        <w:rPr>
          <w:color w:val="000000" w:themeColor="text1"/>
          <w14:textFill>
            <w14:solidFill>
              <w14:schemeClr w14:val="tx1"/>
            </w14:solidFill>
          </w14:textFill>
        </w:rPr>
        <w:t>4. New Compound Finding: Prior No-Shows × Distance</w:t>
      </w:r>
    </w:p>
    <w:p w14:paraId="5EB7ACEA">
      <w:pPr>
        <w:spacing w:after="160"/>
        <w:rPr>
          <w:color w:val="000000" w:themeColor="text1"/>
          <w14:textFill>
            <w14:solidFill>
              <w14:schemeClr w14:val="tx1"/>
            </w14:solidFill>
          </w14:textFill>
        </w:rPr>
      </w:pPr>
      <w:r>
        <w:rPr>
          <w:color w:val="000000" w:themeColor="text1"/>
          <w14:textFill>
            <w14:solidFill>
              <w14:schemeClr w14:val="tx1"/>
            </w14:solidFill>
          </w14:textFill>
        </w:rPr>
        <w:t>Investigating whether the two strongest validated predictors act independently or compound, a two-way breakdown reveals a consistent, monotonic escalation in both directions — both risk factors are real and stack rather than substitute for one another:</w:t>
      </w:r>
    </w:p>
    <w:tbl>
      <w:tblPr>
        <w:tblStyle w:val="9"/>
        <w:tblW w:w="9400" w:type="dxa"/>
        <w:tblInd w:w="0"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autofit"/>
        <w:tblCellMar>
          <w:top w:w="0" w:type="dxa"/>
          <w:left w:w="10" w:type="dxa"/>
          <w:bottom w:w="0" w:type="dxa"/>
          <w:right w:w="10" w:type="dxa"/>
        </w:tblCellMar>
      </w:tblPr>
      <w:tblGrid>
        <w:gridCol w:w="2000"/>
        <w:gridCol w:w="1850"/>
        <w:gridCol w:w="1850"/>
        <w:gridCol w:w="1850"/>
        <w:gridCol w:w="1850"/>
      </w:tblGrid>
      <w:tr w14:paraId="538AA5A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000" w:type="dxa"/>
            <w:shd w:val="clear" w:color="auto" w:fill="1F4E79"/>
            <w:tcMar>
              <w:top w:w="80" w:type="dxa"/>
              <w:left w:w="100" w:type="dxa"/>
              <w:bottom w:w="80" w:type="dxa"/>
              <w:right w:w="100" w:type="dxa"/>
            </w:tcMar>
          </w:tcPr>
          <w:p w14:paraId="5732B6A6">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Prior no-shows \ Distance</w:t>
            </w:r>
          </w:p>
        </w:tc>
        <w:tc>
          <w:tcPr>
            <w:tcW w:w="1850" w:type="dxa"/>
            <w:shd w:val="clear" w:color="auto" w:fill="1F4E79"/>
            <w:tcMar>
              <w:top w:w="80" w:type="dxa"/>
              <w:left w:w="100" w:type="dxa"/>
              <w:bottom w:w="80" w:type="dxa"/>
              <w:right w:w="100" w:type="dxa"/>
            </w:tcMar>
          </w:tcPr>
          <w:p w14:paraId="4BCAE0F1">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&lt;5km</w:t>
            </w:r>
          </w:p>
        </w:tc>
        <w:tc>
          <w:tcPr>
            <w:tcW w:w="1850" w:type="dxa"/>
            <w:shd w:val="clear" w:color="auto" w:fill="1F4E79"/>
            <w:tcMar>
              <w:top w:w="80" w:type="dxa"/>
              <w:left w:w="100" w:type="dxa"/>
              <w:bottom w:w="80" w:type="dxa"/>
              <w:right w:w="100" w:type="dxa"/>
            </w:tcMar>
          </w:tcPr>
          <w:p w14:paraId="261C855C">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5-15km</w:t>
            </w:r>
          </w:p>
        </w:tc>
        <w:tc>
          <w:tcPr>
            <w:tcW w:w="1850" w:type="dxa"/>
            <w:shd w:val="clear" w:color="auto" w:fill="1F4E79"/>
            <w:tcMar>
              <w:top w:w="80" w:type="dxa"/>
              <w:left w:w="100" w:type="dxa"/>
              <w:bottom w:w="80" w:type="dxa"/>
              <w:right w:w="100" w:type="dxa"/>
            </w:tcMar>
          </w:tcPr>
          <w:p w14:paraId="2A5493F7">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15-25.8km</w:t>
            </w:r>
          </w:p>
        </w:tc>
        <w:tc>
          <w:tcPr>
            <w:tcW w:w="1850" w:type="dxa"/>
            <w:shd w:val="clear" w:color="auto" w:fill="1F4E79"/>
            <w:tcMar>
              <w:top w:w="80" w:type="dxa"/>
              <w:left w:w="100" w:type="dxa"/>
              <w:bottom w:w="80" w:type="dxa"/>
              <w:right w:w="100" w:type="dxa"/>
            </w:tcMar>
          </w:tcPr>
          <w:p w14:paraId="1728A531">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25.8km+</w:t>
            </w:r>
          </w:p>
        </w:tc>
      </w:tr>
      <w:tr w14:paraId="68AD8E6F">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945BEB4">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w:t>
            </w:r>
          </w:p>
        </w:tc>
        <w:tc>
          <w:tcPr>
            <w:tcW w:w="1850" w:type="dxa"/>
            <w:tcMar>
              <w:top w:w="80" w:type="dxa"/>
              <w:left w:w="100" w:type="dxa"/>
              <w:bottom w:w="80" w:type="dxa"/>
              <w:right w:w="100" w:type="dxa"/>
            </w:tcMar>
          </w:tcPr>
          <w:p w14:paraId="39BE440C">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42.1%</w:t>
            </w:r>
          </w:p>
        </w:tc>
        <w:tc>
          <w:tcPr>
            <w:tcW w:w="1850" w:type="dxa"/>
            <w:tcMar>
              <w:top w:w="80" w:type="dxa"/>
              <w:left w:w="100" w:type="dxa"/>
              <w:bottom w:w="80" w:type="dxa"/>
              <w:right w:w="100" w:type="dxa"/>
            </w:tcMar>
          </w:tcPr>
          <w:p w14:paraId="248F0E71">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42.3%</w:t>
            </w:r>
          </w:p>
        </w:tc>
        <w:tc>
          <w:tcPr>
            <w:tcW w:w="1850" w:type="dxa"/>
            <w:tcMar>
              <w:top w:w="80" w:type="dxa"/>
              <w:left w:w="100" w:type="dxa"/>
              <w:bottom w:w="80" w:type="dxa"/>
              <w:right w:w="100" w:type="dxa"/>
            </w:tcMar>
          </w:tcPr>
          <w:p w14:paraId="41CCBE77">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47.4%</w:t>
            </w:r>
          </w:p>
        </w:tc>
        <w:tc>
          <w:tcPr>
            <w:tcW w:w="1850" w:type="dxa"/>
            <w:tcMar>
              <w:top w:w="80" w:type="dxa"/>
              <w:left w:w="100" w:type="dxa"/>
              <w:bottom w:w="80" w:type="dxa"/>
              <w:right w:w="100" w:type="dxa"/>
            </w:tcMar>
          </w:tcPr>
          <w:p w14:paraId="5F7C28A5">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55.3%</w:t>
            </w:r>
          </w:p>
        </w:tc>
      </w:tr>
      <w:tr w14:paraId="30805DE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E8E4363">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w:t>
            </w:r>
          </w:p>
        </w:tc>
        <w:tc>
          <w:tcPr>
            <w:tcW w:w="1850" w:type="dxa"/>
            <w:tcMar>
              <w:top w:w="80" w:type="dxa"/>
              <w:left w:w="100" w:type="dxa"/>
              <w:bottom w:w="80" w:type="dxa"/>
              <w:right w:w="100" w:type="dxa"/>
            </w:tcMar>
          </w:tcPr>
          <w:p w14:paraId="29862411">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50.6%</w:t>
            </w:r>
          </w:p>
        </w:tc>
        <w:tc>
          <w:tcPr>
            <w:tcW w:w="1850" w:type="dxa"/>
            <w:tcMar>
              <w:top w:w="80" w:type="dxa"/>
              <w:left w:w="100" w:type="dxa"/>
              <w:bottom w:w="80" w:type="dxa"/>
              <w:right w:w="100" w:type="dxa"/>
            </w:tcMar>
          </w:tcPr>
          <w:p w14:paraId="613592D1">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52.4%</w:t>
            </w:r>
          </w:p>
        </w:tc>
        <w:tc>
          <w:tcPr>
            <w:tcW w:w="1850" w:type="dxa"/>
            <w:tcMar>
              <w:top w:w="80" w:type="dxa"/>
              <w:left w:w="100" w:type="dxa"/>
              <w:bottom w:w="80" w:type="dxa"/>
              <w:right w:w="100" w:type="dxa"/>
            </w:tcMar>
          </w:tcPr>
          <w:p w14:paraId="41D8AEA5">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59.4%</w:t>
            </w:r>
          </w:p>
        </w:tc>
        <w:tc>
          <w:tcPr>
            <w:tcW w:w="1850" w:type="dxa"/>
            <w:tcMar>
              <w:top w:w="80" w:type="dxa"/>
              <w:left w:w="100" w:type="dxa"/>
              <w:bottom w:w="80" w:type="dxa"/>
              <w:right w:w="100" w:type="dxa"/>
            </w:tcMar>
          </w:tcPr>
          <w:p w14:paraId="0466EF49">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62.0%</w:t>
            </w:r>
          </w:p>
        </w:tc>
      </w:tr>
      <w:tr w14:paraId="53A394F8">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7F3D0B47">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2+</w:t>
            </w:r>
          </w:p>
        </w:tc>
        <w:tc>
          <w:tcPr>
            <w:tcW w:w="1850" w:type="dxa"/>
            <w:tcMar>
              <w:top w:w="80" w:type="dxa"/>
              <w:left w:w="100" w:type="dxa"/>
              <w:bottom w:w="80" w:type="dxa"/>
              <w:right w:w="100" w:type="dxa"/>
            </w:tcMar>
          </w:tcPr>
          <w:p w14:paraId="110E6486">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59.1%</w:t>
            </w:r>
          </w:p>
        </w:tc>
        <w:tc>
          <w:tcPr>
            <w:tcW w:w="1850" w:type="dxa"/>
            <w:tcMar>
              <w:top w:w="80" w:type="dxa"/>
              <w:left w:w="100" w:type="dxa"/>
              <w:bottom w:w="80" w:type="dxa"/>
              <w:right w:w="100" w:type="dxa"/>
            </w:tcMar>
          </w:tcPr>
          <w:p w14:paraId="4ADF45C1">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59.7%</w:t>
            </w:r>
          </w:p>
        </w:tc>
        <w:tc>
          <w:tcPr>
            <w:tcW w:w="1850" w:type="dxa"/>
            <w:tcMar>
              <w:top w:w="80" w:type="dxa"/>
              <w:left w:w="100" w:type="dxa"/>
              <w:bottom w:w="80" w:type="dxa"/>
              <w:right w:w="100" w:type="dxa"/>
            </w:tcMar>
          </w:tcPr>
          <w:p w14:paraId="7708BF5F">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64.5%</w:t>
            </w:r>
          </w:p>
        </w:tc>
        <w:tc>
          <w:tcPr>
            <w:tcW w:w="1850" w:type="dxa"/>
            <w:tcMar>
              <w:top w:w="80" w:type="dxa"/>
              <w:left w:w="100" w:type="dxa"/>
              <w:bottom w:w="80" w:type="dxa"/>
              <w:right w:w="100" w:type="dxa"/>
            </w:tcMar>
          </w:tcPr>
          <w:p w14:paraId="0BFA85A1">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80.0%</w:t>
            </w:r>
          </w:p>
        </w:tc>
      </w:tr>
    </w:tbl>
    <w:p w14:paraId="31DE5EEE">
      <w:pPr>
        <w:spacing w:after="200"/>
        <w:rPr>
          <w:color w:val="000000" w:themeColor="text1"/>
          <w14:textFill>
            <w14:solidFill>
              <w14:schemeClr w14:val="tx1"/>
            </w14:solidFill>
          </w14:textFill>
        </w:rPr>
      </w:pPr>
    </w:p>
    <w:p w14:paraId="3BD44C19">
      <w:pPr>
        <w:spacing w:after="160"/>
        <w:rPr>
          <w:color w:val="000000" w:themeColor="text1"/>
          <w14:textFill>
            <w14:solidFill>
              <w14:schemeClr w14:val="tx1"/>
            </w14:solidFill>
          </w14:textFill>
        </w:rPr>
      </w:pPr>
      <w:r>
        <w:rPr>
          <w:color w:val="000000" w:themeColor="text1"/>
          <w14:textFill>
            <w14:solidFill>
              <w14:schemeClr w14:val="tx1"/>
            </w14:solidFill>
          </w14:textFill>
        </w:rPr>
        <w:t>Patients with 2+ prior no-shows who also live 25.8km+ away reach an 80.0% no-show rate — the highest-risk segment in the entire dataset, and statistically significant (p=0.0047) despite the small underlying sample (n=20).</w:t>
      </w:r>
    </w:p>
    <w:p w14:paraId="39AD98B8">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Does the reminder effect still hold for this high-risk group?</w:t>
      </w:r>
    </w:p>
    <w:p w14:paraId="18B36CC7">
      <w:pPr>
        <w:spacing w:after="160"/>
        <w:rPr>
          <w:color w:val="000000" w:themeColor="text1"/>
          <w14:textFill>
            <w14:solidFill>
              <w14:schemeClr w14:val="tx1"/>
            </w14:solidFill>
          </w14:textFill>
        </w:rPr>
      </w:pPr>
      <w:r>
        <w:rPr>
          <w:color w:val="000000" w:themeColor="text1"/>
          <w14:textFill>
            <w14:solidFill>
              <w14:schemeClr w14:val="tx1"/>
            </w14:solidFill>
          </w14:textFill>
        </w:rPr>
        <w:t>At the exact 20-patient extreme segment, splitting further by reminder channel leaves only 2-7 patients per channel — too few for a reliable read, and this is reported honestly as a limitation rather than a forced conclusion. However, at the broader “2+ prior no-shows” level (531 patients, a reliable sample), the reminder effect not only holds but is substantially stronger than in the general population:</w:t>
      </w:r>
    </w:p>
    <w:tbl>
      <w:tblPr>
        <w:tblStyle w:val="9"/>
        <w:tblW w:w="9400" w:type="dxa"/>
        <w:tblInd w:w="0"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autofit"/>
        <w:tblCellMar>
          <w:top w:w="0" w:type="dxa"/>
          <w:left w:w="10" w:type="dxa"/>
          <w:bottom w:w="0" w:type="dxa"/>
          <w:right w:w="10" w:type="dxa"/>
        </w:tblCellMar>
      </w:tblPr>
      <w:tblGrid>
        <w:gridCol w:w="3000"/>
        <w:gridCol w:w="3200"/>
        <w:gridCol w:w="3200"/>
      </w:tblGrid>
      <w:tr w14:paraId="6E1B6B40">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000" w:type="dxa"/>
            <w:shd w:val="clear" w:color="auto" w:fill="1F4E79"/>
            <w:tcMar>
              <w:top w:w="80" w:type="dxa"/>
              <w:left w:w="100" w:type="dxa"/>
              <w:bottom w:w="80" w:type="dxa"/>
              <w:right w:w="100" w:type="dxa"/>
            </w:tcMar>
          </w:tcPr>
          <w:p w14:paraId="1535FAE9">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Reminder channel</w:t>
            </w:r>
          </w:p>
        </w:tc>
        <w:tc>
          <w:tcPr>
            <w:tcW w:w="3200" w:type="dxa"/>
            <w:shd w:val="clear" w:color="auto" w:fill="1F4E79"/>
            <w:tcMar>
              <w:top w:w="80" w:type="dxa"/>
              <w:left w:w="100" w:type="dxa"/>
              <w:bottom w:w="80" w:type="dxa"/>
              <w:right w:w="100" w:type="dxa"/>
            </w:tcMar>
          </w:tcPr>
          <w:p w14:paraId="7CD7E849">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No-show rate (general population)</w:t>
            </w:r>
          </w:p>
        </w:tc>
        <w:tc>
          <w:tcPr>
            <w:tcW w:w="3200" w:type="dxa"/>
            <w:shd w:val="clear" w:color="auto" w:fill="1F4E79"/>
            <w:tcMar>
              <w:top w:w="80" w:type="dxa"/>
              <w:left w:w="100" w:type="dxa"/>
              <w:bottom w:w="80" w:type="dxa"/>
              <w:right w:w="100" w:type="dxa"/>
            </w:tcMar>
          </w:tcPr>
          <w:p w14:paraId="6178E993">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No-show rate (within 2+ prior no-shows group)</w:t>
            </w:r>
          </w:p>
        </w:tc>
      </w:tr>
      <w:tr w14:paraId="13A92680">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718DF799">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SMS</w:t>
            </w:r>
          </w:p>
        </w:tc>
        <w:tc>
          <w:tcPr>
            <w:tcW w:w="3200" w:type="dxa"/>
            <w:tcMar>
              <w:top w:w="80" w:type="dxa"/>
              <w:left w:w="100" w:type="dxa"/>
              <w:bottom w:w="80" w:type="dxa"/>
              <w:right w:w="100" w:type="dxa"/>
            </w:tcMar>
          </w:tcPr>
          <w:p w14:paraId="0152F118">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45.8%</w:t>
            </w:r>
          </w:p>
        </w:tc>
        <w:tc>
          <w:tcPr>
            <w:tcW w:w="3200" w:type="dxa"/>
            <w:tcMar>
              <w:top w:w="80" w:type="dxa"/>
              <w:left w:w="100" w:type="dxa"/>
              <w:bottom w:w="80" w:type="dxa"/>
              <w:right w:w="100" w:type="dxa"/>
            </w:tcMar>
          </w:tcPr>
          <w:p w14:paraId="3BBA985B">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56.2%</w:t>
            </w:r>
          </w:p>
        </w:tc>
      </w:tr>
      <w:tr w14:paraId="1BA9FF9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7B36794">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Email</w:t>
            </w:r>
          </w:p>
        </w:tc>
        <w:tc>
          <w:tcPr>
            <w:tcW w:w="3200" w:type="dxa"/>
            <w:tcMar>
              <w:top w:w="80" w:type="dxa"/>
              <w:left w:w="100" w:type="dxa"/>
              <w:bottom w:w="80" w:type="dxa"/>
              <w:right w:w="100" w:type="dxa"/>
            </w:tcMar>
          </w:tcPr>
          <w:p w14:paraId="5B35A1F4">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48.4%</w:t>
            </w:r>
          </w:p>
        </w:tc>
        <w:tc>
          <w:tcPr>
            <w:tcW w:w="3200" w:type="dxa"/>
            <w:tcMar>
              <w:top w:w="80" w:type="dxa"/>
              <w:left w:w="100" w:type="dxa"/>
              <w:bottom w:w="80" w:type="dxa"/>
              <w:right w:w="100" w:type="dxa"/>
            </w:tcMar>
          </w:tcPr>
          <w:p w14:paraId="14546D37">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57.6%</w:t>
            </w:r>
          </w:p>
        </w:tc>
      </w:tr>
      <w:tr w14:paraId="324B13F2">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7A578F62">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WhatsApp</w:t>
            </w:r>
          </w:p>
        </w:tc>
        <w:tc>
          <w:tcPr>
            <w:tcW w:w="3200" w:type="dxa"/>
            <w:tcMar>
              <w:top w:w="80" w:type="dxa"/>
              <w:left w:w="100" w:type="dxa"/>
              <w:bottom w:w="80" w:type="dxa"/>
              <w:right w:w="100" w:type="dxa"/>
            </w:tcMar>
          </w:tcPr>
          <w:p w14:paraId="687B8883">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49.8%</w:t>
            </w:r>
          </w:p>
        </w:tc>
        <w:tc>
          <w:tcPr>
            <w:tcW w:w="3200" w:type="dxa"/>
            <w:tcMar>
              <w:top w:w="80" w:type="dxa"/>
              <w:left w:w="100" w:type="dxa"/>
              <w:bottom w:w="80" w:type="dxa"/>
              <w:right w:w="100" w:type="dxa"/>
            </w:tcMar>
          </w:tcPr>
          <w:p w14:paraId="38E9A471">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61.4%</w:t>
            </w:r>
          </w:p>
        </w:tc>
      </w:tr>
      <w:tr w14:paraId="26E7FA4C">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BF5715C">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No reminder</w:t>
            </w:r>
          </w:p>
        </w:tc>
        <w:tc>
          <w:tcPr>
            <w:tcW w:w="3200" w:type="dxa"/>
            <w:tcMar>
              <w:top w:w="80" w:type="dxa"/>
              <w:left w:w="100" w:type="dxa"/>
              <w:bottom w:w="80" w:type="dxa"/>
              <w:right w:w="100" w:type="dxa"/>
            </w:tcMar>
          </w:tcPr>
          <w:p w14:paraId="64139355">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51.4%</w:t>
            </w:r>
          </w:p>
        </w:tc>
        <w:tc>
          <w:tcPr>
            <w:tcW w:w="3200" w:type="dxa"/>
            <w:tcMar>
              <w:top w:w="80" w:type="dxa"/>
              <w:left w:w="100" w:type="dxa"/>
              <w:bottom w:w="80" w:type="dxa"/>
              <w:right w:w="100" w:type="dxa"/>
            </w:tcMar>
          </w:tcPr>
          <w:p w14:paraId="4C2B1E8B">
            <w:pP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68.2%</w:t>
            </w:r>
          </w:p>
        </w:tc>
      </w:tr>
    </w:tbl>
    <w:p w14:paraId="37875F4D">
      <w:pPr>
        <w:spacing w:after="200"/>
        <w:rPr>
          <w:color w:val="000000" w:themeColor="text1"/>
          <w14:textFill>
            <w14:solidFill>
              <w14:schemeClr w14:val="tx1"/>
            </w14:solidFill>
          </w14:textFill>
        </w:rPr>
      </w:pPr>
    </w:p>
    <w:p w14:paraId="10A324FA">
      <w:pPr>
        <w:spacing w:after="160"/>
        <w:rPr>
          <w:color w:val="000000" w:themeColor="text1"/>
          <w14:textFill>
            <w14:solidFill>
              <w14:schemeClr w14:val="tx1"/>
            </w14:solidFill>
          </w14:textFill>
        </w:rPr>
      </w:pPr>
      <w:r>
        <w:rPr>
          <w:color w:val="000000" w:themeColor="text1"/>
          <w14:textFill>
            <w14:solidFill>
              <w14:schemeClr w14:val="tx1"/>
            </w14:solidFill>
          </w14:textFill>
        </w:rPr>
        <w:t>The reminder effect (SMS vs. no reminder) is roughly twice as large within the high-risk group (12 points) as in the general population (5.6 points), and this within-group difference is itself statistically significant (p=0.024). This strengthens rather than complicates the Week 5 Priority Recommendation: SMS reminders targeted at high-risk patients is the intervention with the strongest evidence behind it.</w:t>
      </w:r>
    </w:p>
    <w:p w14:paraId="1B91B259">
      <w:pPr>
        <w:pStyle w:val="2"/>
        <w:spacing w:before="320" w:after="160"/>
        <w:rPr>
          <w:color w:val="000000" w:themeColor="text1"/>
          <w14:textFill>
            <w14:solidFill>
              <w14:schemeClr w14:val="tx1"/>
            </w14:solidFill>
          </w14:textFill>
        </w:rPr>
      </w:pPr>
      <w:r>
        <w:rPr>
          <w:color w:val="000000" w:themeColor="text1"/>
          <w14:textFill>
            <w14:solidFill>
              <w14:schemeClr w14:val="tx1"/>
            </w14:solidFill>
          </w14:textFill>
        </w:rPr>
        <w:t>5. Revised Conclusion from Week 5</w:t>
      </w:r>
    </w:p>
    <w:p w14:paraId="4DEA1C19">
      <w:pPr>
        <w:spacing w:after="160"/>
        <w:rPr>
          <w:color w:val="000000" w:themeColor="text1"/>
          <w14:textFill>
            <w14:solidFill>
              <w14:schemeClr w14:val="tx1"/>
            </w14:solidFill>
          </w14:textFill>
        </w:rPr>
      </w:pPr>
      <w:r>
        <w:rPr>
          <w:color w:val="000000" w:themeColor="text1"/>
          <w14:textFill>
            <w14:solidFill>
              <w14:schemeClr w14:val="tx1"/>
            </w14:solidFill>
          </w14:textFill>
        </w:rPr>
        <w:t>Per the Week 6 requirement to review whether Week 5 conclusions need revising: the age × appointment-type finding (45-54 patients booking Diagnostic Tests, 62.4% no-show rate) is downgraded from a confirmed high-risk group to a pattern worth further investigation. While statistically significant in isolation (p=0.0097), it does not survive testing across the full matrix of 24 combinations (p=0.15), which is the more appropriate test given that many segment combinations were examined. The dashboard caption and underlying report text have both been updated to reflect this explicitly, rather than silently carrying the Week 5 claim forward.</w:t>
      </w:r>
    </w:p>
    <w:p w14:paraId="1D9B5421">
      <w:pPr>
        <w:pStyle w:val="2"/>
        <w:spacing w:before="320" w:after="160"/>
        <w:rPr>
          <w:color w:val="000000" w:themeColor="text1"/>
          <w14:textFill>
            <w14:solidFill>
              <w14:schemeClr w14:val="tx1"/>
            </w14:solidFill>
          </w14:textFill>
        </w:rPr>
      </w:pPr>
      <w:r>
        <w:rPr>
          <w:color w:val="000000" w:themeColor="text1"/>
          <w14:textFill>
            <w14:solidFill>
              <w14:schemeClr w14:val="tx1"/>
            </w14:solidFill>
          </w14:textFill>
        </w:rPr>
        <w:t>6. Updated Dashboard</w:t>
      </w:r>
    </w:p>
    <w:p w14:paraId="0616BB59">
      <w:pPr>
        <w:spacing w:after="160"/>
        <w:rPr>
          <w:color w:val="000000" w:themeColor="text1"/>
          <w14:textFill>
            <w14:solidFill>
              <w14:schemeClr w14:val="tx1"/>
            </w14:solidFill>
          </w14:textFill>
        </w:rPr>
      </w:pPr>
      <w:r>
        <w:rPr>
          <w:color w:val="000000" w:themeColor="text1"/>
          <w14:textFill>
            <w14:solidFill>
              <w14:schemeClr w14:val="tx1"/>
            </w14:solidFill>
          </w14:textFill>
        </w:rPr>
        <w:t>The Week 5 dashboard was extended with two new visuals — a Prior No-Shows × Distance compound matrix and a Statistical Validation summary table — plus corrected distance-band ordering and one-line interpretive captions under every visual, including the revised age × type caption.</w:t>
      </w:r>
    </w:p>
    <w:p w14:paraId="4AE1EC67">
      <w:pPr>
        <w:spacing w:before="120" w:after="1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05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3324225"/>
                    </a:xfrm>
                    <a:prstGeom prst="rect">
                      <a:avLst/>
                    </a:prstGeom>
                  </pic:spPr>
                </pic:pic>
              </a:graphicData>
            </a:graphic>
          </wp:inline>
        </w:drawing>
      </w:r>
    </w:p>
    <w:p w14:paraId="1814972E">
      <w:pPr>
        <w:spacing w:after="160"/>
        <w:rPr>
          <w:color w:val="000000" w:themeColor="text1"/>
          <w14:textFill>
            <w14:solidFill>
              <w14:schemeClr w14:val="tx1"/>
            </w14:solidFill>
          </w14:textFill>
        </w:rPr>
      </w:pPr>
      <w:r>
        <w:rPr>
          <w:i/>
          <w:iCs/>
          <w:color w:val="000000" w:themeColor="text1"/>
          <w14:textFill>
            <w14:solidFill>
              <w14:schemeClr w14:val="tx1"/>
            </w14:solidFill>
          </w14:textFill>
        </w:rPr>
        <w:t>Figure 1: Updated HealthConnect analytics dashboard (Power BI) — 8 visuals covering all validated KPIs, the new compound finding, and statistical validation evidence.</w:t>
      </w:r>
    </w:p>
    <w:p w14:paraId="7CE324B3">
      <w:pPr>
        <w:pStyle w:val="3"/>
        <w:spacing w:before="240" w:after="120"/>
        <w:rPr>
          <w:color w:val="000000" w:themeColor="text1"/>
          <w14:textFill>
            <w14:solidFill>
              <w14:schemeClr w14:val="tx1"/>
            </w14:solidFill>
          </w14:textFill>
        </w:rPr>
      </w:pPr>
      <w:r>
        <w:rPr>
          <w:color w:val="000000" w:themeColor="text1"/>
          <w14:textFill>
            <w14:solidFill>
              <w14:schemeClr w14:val="tx1"/>
            </w14:solidFill>
          </w14:textFill>
        </w:rPr>
        <w:t>Ranked Action List</w:t>
      </w:r>
    </w:p>
    <w:p w14:paraId="781E6291">
      <w:pPr>
        <w:spacing w:after="160"/>
        <w:rPr>
          <w:color w:val="000000" w:themeColor="text1"/>
          <w14:textFill>
            <w14:solidFill>
              <w14:schemeClr w14:val="tx1"/>
            </w14:solidFill>
          </w14:textFill>
        </w:rPr>
      </w:pPr>
      <w:r>
        <w:rPr>
          <w:color w:val="000000" w:themeColor="text1"/>
          <w14:textFill>
            <w14:solidFill>
              <w14:schemeClr w14:val="tx1"/>
            </w14:solidFill>
          </w14:textFill>
        </w:rPr>
        <w:t>Each action below is explicitly tied to its evidence and honestly labelled by confidence — distinguishing recommendations backed by strong statistical evidence from patterns that deserve further investigation before HealthConnect commits resources.</w:t>
      </w:r>
    </w:p>
    <w:p w14:paraId="19C026DA">
      <w:pPr>
        <w:spacing w:before="140" w:after="40"/>
        <w:rPr>
          <w:color w:val="000000" w:themeColor="text1"/>
          <w14:textFill>
            <w14:solidFill>
              <w14:schemeClr w14:val="tx1"/>
            </w14:solidFill>
          </w14:textFill>
        </w:rPr>
      </w:pPr>
      <w:r>
        <w:rPr>
          <w:b/>
          <w:bCs/>
          <w:color w:val="000000" w:themeColor="text1"/>
          <w14:textFill>
            <w14:solidFill>
              <w14:schemeClr w14:val="tx1"/>
            </w14:solidFill>
          </w14:textFill>
        </w:rPr>
        <w:t>1. Flag patients with 2+ prior no-shows for SMS + phone confirmation on their next booking.</w:t>
      </w:r>
    </w:p>
    <w:p w14:paraId="0E48E4AA">
      <w:pPr>
        <w:spacing w:after="140"/>
        <w:rPr>
          <w:color w:val="000000" w:themeColor="text1"/>
          <w14:textFill>
            <w14:solidFill>
              <w14:schemeClr w14:val="tx1"/>
            </w14:solidFill>
          </w14:textFill>
        </w:rPr>
      </w:pPr>
      <w:r>
        <w:rPr>
          <w:i/>
          <w:iCs/>
          <w:color w:val="000000" w:themeColor="text1"/>
          <w14:textFill>
            <w14:solidFill>
              <w14:schemeClr w14:val="tx1"/>
            </w14:solidFill>
          </w14:textFill>
        </w:rPr>
        <w:t>Evidence: p&lt;0.001, n=531</w:t>
      </w:r>
      <w:r>
        <w:rPr>
          <w:b/>
          <w:bCs/>
          <w:i/>
          <w:iCs/>
          <w:color w:val="000000" w:themeColor="text1"/>
          <w14:textFill>
            <w14:solidFill>
              <w14:schemeClr w14:val="tx1"/>
            </w14:solidFill>
          </w14:textFill>
        </w:rPr>
        <w:t xml:space="preserve">   Confidence: </w:t>
      </w:r>
      <w:r>
        <w:rPr>
          <w:b/>
          <w:bCs/>
          <w:color w:val="000000" w:themeColor="text1"/>
          <w14:textFill>
            <w14:solidFill>
              <w14:schemeClr w14:val="tx1"/>
            </w14:solidFill>
          </w14:textFill>
        </w:rPr>
        <w:t>High</w:t>
      </w:r>
    </w:p>
    <w:p w14:paraId="24BDA8F4">
      <w:pPr>
        <w:spacing w:before="140" w:after="40"/>
        <w:rPr>
          <w:color w:val="000000" w:themeColor="text1"/>
          <w14:textFill>
            <w14:solidFill>
              <w14:schemeClr w14:val="tx1"/>
            </w14:solidFill>
          </w14:textFill>
        </w:rPr>
      </w:pPr>
      <w:r>
        <w:rPr>
          <w:b/>
          <w:bCs/>
          <w:color w:val="000000" w:themeColor="text1"/>
          <w14:textFill>
            <w14:solidFill>
              <w14:schemeClr w14:val="tx1"/>
            </w14:solidFill>
          </w14:textFill>
        </w:rPr>
        <w:t>2. Switch the clinic's default reminder channel to SMS across the board.</w:t>
      </w:r>
    </w:p>
    <w:p w14:paraId="3A4544F2">
      <w:pPr>
        <w:spacing w:after="140"/>
        <w:rPr>
          <w:color w:val="000000" w:themeColor="text1"/>
          <w14:textFill>
            <w14:solidFill>
              <w14:schemeClr w14:val="tx1"/>
            </w14:solidFill>
          </w14:textFill>
        </w:rPr>
      </w:pPr>
      <w:r>
        <w:rPr>
          <w:i/>
          <w:iCs/>
          <w:color w:val="000000" w:themeColor="text1"/>
          <w14:textFill>
            <w14:solidFill>
              <w14:schemeClr w14:val="tx1"/>
            </w14:solidFill>
          </w14:textFill>
        </w:rPr>
        <w:t>Evidence: p=0.024 within the high-risk group specifically; consistently best channel overall</w:t>
      </w:r>
      <w:r>
        <w:rPr>
          <w:b/>
          <w:bCs/>
          <w:i/>
          <w:iCs/>
          <w:color w:val="000000" w:themeColor="text1"/>
          <w14:textFill>
            <w14:solidFill>
              <w14:schemeClr w14:val="tx1"/>
            </w14:solidFill>
          </w14:textFill>
        </w:rPr>
        <w:t xml:space="preserve">   Confidence: </w:t>
      </w:r>
      <w:r>
        <w:rPr>
          <w:b/>
          <w:bCs/>
          <w:color w:val="000000" w:themeColor="text1"/>
          <w14:textFill>
            <w14:solidFill>
              <w14:schemeClr w14:val="tx1"/>
            </w14:solidFill>
          </w14:textFill>
        </w:rPr>
        <w:t>High</w:t>
      </w:r>
    </w:p>
    <w:p w14:paraId="574DF2B7">
      <w:pPr>
        <w:spacing w:before="140" w:after="40"/>
        <w:rPr>
          <w:color w:val="000000" w:themeColor="text1"/>
          <w14:textFill>
            <w14:solidFill>
              <w14:schemeClr w14:val="tx1"/>
            </w14:solidFill>
          </w14:textFill>
        </w:rPr>
      </w:pPr>
      <w:r>
        <w:rPr>
          <w:b/>
          <w:bCs/>
          <w:color w:val="000000" w:themeColor="text1"/>
          <w14:textFill>
            <w14:solidFill>
              <w14:schemeClr w14:val="tx1"/>
            </w14:solidFill>
          </w14:textFill>
        </w:rPr>
        <w:t>3. Within the flagged high-risk group, prioritise patients who also live 25.8km+ away for a phone call rather than SMS alone.</w:t>
      </w:r>
    </w:p>
    <w:p w14:paraId="64A3791D">
      <w:pPr>
        <w:spacing w:after="140"/>
        <w:rPr>
          <w:color w:val="000000" w:themeColor="text1"/>
          <w14:textFill>
            <w14:solidFill>
              <w14:schemeClr w14:val="tx1"/>
            </w14:solidFill>
          </w14:textFill>
        </w:rPr>
      </w:pPr>
      <w:r>
        <w:rPr>
          <w:i/>
          <w:iCs/>
          <w:color w:val="000000" w:themeColor="text1"/>
          <w14:textFill>
            <w14:solidFill>
              <w14:schemeClr w14:val="tx1"/>
            </w14:solidFill>
          </w14:textFill>
        </w:rPr>
        <w:t>Evidence: 80.0% no-show rate, p=0.0047, but only 20 patients so far — top-priority tier while more data accumulates</w:t>
      </w:r>
      <w:r>
        <w:rPr>
          <w:b/>
          <w:bCs/>
          <w:i/>
          <w:iCs/>
          <w:color w:val="000000" w:themeColor="text1"/>
          <w14:textFill>
            <w14:solidFill>
              <w14:schemeClr w14:val="tx1"/>
            </w14:solidFill>
          </w14:textFill>
        </w:rPr>
        <w:t xml:space="preserve">   Confidence: </w:t>
      </w:r>
      <w:r>
        <w:rPr>
          <w:b/>
          <w:bCs/>
          <w:color w:val="000000" w:themeColor="text1"/>
          <w14:textFill>
            <w14:solidFill>
              <w14:schemeClr w14:val="tx1"/>
            </w14:solidFill>
          </w14:textFill>
        </w:rPr>
        <w:t>Medium — real pattern, small sample</w:t>
      </w:r>
    </w:p>
    <w:p w14:paraId="7B4266FB">
      <w:pPr>
        <w:spacing w:before="140" w:after="40"/>
        <w:rPr>
          <w:color w:val="000000" w:themeColor="text1"/>
          <w14:textFill>
            <w14:solidFill>
              <w14:schemeClr w14:val="tx1"/>
            </w14:solidFill>
          </w14:textFill>
        </w:rPr>
      </w:pPr>
      <w:r>
        <w:rPr>
          <w:b/>
          <w:bCs/>
          <w:color w:val="000000" w:themeColor="text1"/>
          <w14:textFill>
            <w14:solidFill>
              <w14:schemeClr w14:val="tx1"/>
            </w14:solidFill>
          </w14:textFill>
        </w:rPr>
        <w:t>4. Offer telehealth or transport-assistance options specifically for the 25.8km+ distance group.</w:t>
      </w:r>
    </w:p>
    <w:p w14:paraId="77DC9D0C">
      <w:pPr>
        <w:spacing w:after="140"/>
        <w:rPr>
          <w:color w:val="000000" w:themeColor="text1"/>
          <w14:textFill>
            <w14:solidFill>
              <w14:schemeClr w14:val="tx1"/>
            </w14:solidFill>
          </w14:textFill>
        </w:rPr>
      </w:pPr>
      <w:r>
        <w:rPr>
          <w:i/>
          <w:iCs/>
          <w:color w:val="000000" w:themeColor="text1"/>
          <w14:textFill>
            <w14:solidFill>
              <w14:schemeClr w14:val="tx1"/>
            </w14:solidFill>
          </w14:textFill>
        </w:rPr>
        <w:t>Evidence: p=0.0012; Week 5 showed short lead time does not fix this group's risk — a distance-specific fix is needed</w:t>
      </w:r>
      <w:r>
        <w:rPr>
          <w:b/>
          <w:bCs/>
          <w:i/>
          <w:iCs/>
          <w:color w:val="000000" w:themeColor="text1"/>
          <w14:textFill>
            <w14:solidFill>
              <w14:schemeClr w14:val="tx1"/>
            </w14:solidFill>
          </w14:textFill>
        </w:rPr>
        <w:t xml:space="preserve">   Confidence: </w:t>
      </w:r>
      <w:r>
        <w:rPr>
          <w:b/>
          <w:bCs/>
          <w:color w:val="000000" w:themeColor="text1"/>
          <w14:textFill>
            <w14:solidFill>
              <w14:schemeClr w14:val="tx1"/>
            </w14:solidFill>
          </w14:textFill>
        </w:rPr>
        <w:t>High</w:t>
      </w:r>
    </w:p>
    <w:p w14:paraId="6EDA259B">
      <w:pPr>
        <w:spacing w:before="140" w:after="40"/>
        <w:rPr>
          <w:color w:val="000000" w:themeColor="text1"/>
          <w14:textFill>
            <w14:solidFill>
              <w14:schemeClr w14:val="tx1"/>
            </w14:solidFill>
          </w14:textFill>
        </w:rPr>
      </w:pPr>
      <w:r>
        <w:rPr>
          <w:b/>
          <w:bCs/>
          <w:color w:val="000000" w:themeColor="text1"/>
          <w14:textFill>
            <w14:solidFill>
              <w14:schemeClr w14:val="tx1"/>
            </w14:solidFill>
          </w14:textFill>
        </w:rPr>
        <w:t>5. For bookings made 1+ month ahead, add a mid-wait check-in touchpoint beyond the standard reminder.</w:t>
      </w:r>
    </w:p>
    <w:p w14:paraId="6A6B8A1B">
      <w:pPr>
        <w:spacing w:after="140"/>
        <w:rPr>
          <w:color w:val="000000" w:themeColor="text1"/>
          <w14:textFill>
            <w14:solidFill>
              <w14:schemeClr w14:val="tx1"/>
            </w14:solidFill>
          </w14:textFill>
        </w:rPr>
      </w:pPr>
      <w:r>
        <w:rPr>
          <w:i/>
          <w:iCs/>
          <w:color w:val="000000" w:themeColor="text1"/>
          <w14:textFill>
            <w14:solidFill>
              <w14:schemeClr w14:val="tx1"/>
            </w14:solidFill>
          </w14:textFill>
        </w:rPr>
        <w:t>Evidence: Strong Week 5 gradient (27.8% → 59.6%)</w:t>
      </w:r>
      <w:r>
        <w:rPr>
          <w:b/>
          <w:bCs/>
          <w:i/>
          <w:iCs/>
          <w:color w:val="000000" w:themeColor="text1"/>
          <w14:textFill>
            <w14:solidFill>
              <w14:schemeClr w14:val="tx1"/>
            </w14:solidFill>
          </w14:textFill>
        </w:rPr>
        <w:t xml:space="preserve">   Confidence: </w:t>
      </w:r>
      <w:r>
        <w:rPr>
          <w:b/>
          <w:bCs/>
          <w:color w:val="000000" w:themeColor="text1"/>
          <w14:textFill>
            <w14:solidFill>
              <w14:schemeClr w14:val="tx1"/>
            </w14:solidFill>
          </w14:textFill>
        </w:rPr>
        <w:t>High</w:t>
      </w:r>
    </w:p>
    <w:p w14:paraId="3D5B2E3F">
      <w:pPr>
        <w:spacing w:before="140" w:after="40"/>
        <w:rPr>
          <w:color w:val="000000" w:themeColor="text1"/>
          <w14:textFill>
            <w14:solidFill>
              <w14:schemeClr w14:val="tx1"/>
            </w14:solidFill>
          </w14:textFill>
        </w:rPr>
      </w:pPr>
      <w:r>
        <w:rPr>
          <w:b/>
          <w:bCs/>
          <w:color w:val="000000" w:themeColor="text1"/>
          <w14:textFill>
            <w14:solidFill>
              <w14:schemeClr w14:val="tx1"/>
            </w14:solidFill>
          </w14:textFill>
        </w:rPr>
        <w:t>6. Hold off on a dedicated intervention for the 45-54 / Diagnostic Test group; flag for further data collection before committing resources.</w:t>
      </w:r>
    </w:p>
    <w:p w14:paraId="48863C37">
      <w:pPr>
        <w:spacing w:after="140"/>
        <w:rPr>
          <w:color w:val="000000" w:themeColor="text1"/>
          <w14:textFill>
            <w14:solidFill>
              <w14:schemeClr w14:val="tx1"/>
            </w14:solidFill>
          </w14:textFill>
        </w:rPr>
      </w:pPr>
      <w:r>
        <w:rPr>
          <w:i/>
          <w:iCs/>
          <w:color w:val="000000" w:themeColor="text1"/>
          <w14:textFill>
            <w14:solidFill>
              <w14:schemeClr w14:val="tx1"/>
            </w14:solidFill>
          </w14:textFill>
        </w:rPr>
        <w:t>Evidence: p=0.0097 alone, but full-matrix test not significant (p=0.15) — real risk of a multiple-comparisons fluke</w:t>
      </w:r>
      <w:r>
        <w:rPr>
          <w:b/>
          <w:bCs/>
          <w:i/>
          <w:iCs/>
          <w:color w:val="000000" w:themeColor="text1"/>
          <w14:textFill>
            <w14:solidFill>
              <w14:schemeClr w14:val="tx1"/>
            </w14:solidFill>
          </w14:textFill>
        </w:rPr>
        <w:t xml:space="preserve">   Confidence: </w:t>
      </w:r>
      <w:r>
        <w:rPr>
          <w:b/>
          <w:bCs/>
          <w:color w:val="000000" w:themeColor="text1"/>
          <w14:textFill>
            <w14:solidFill>
              <w14:schemeClr w14:val="tx1"/>
            </w14:solidFill>
          </w14:textFill>
        </w:rPr>
        <w:t>Low — investigate, don't act yet</w:t>
      </w:r>
    </w:p>
    <w:p w14:paraId="3FE2CFC9">
      <w:pPr>
        <w:pStyle w:val="2"/>
        <w:spacing w:before="320" w:after="160"/>
        <w:rPr>
          <w:color w:val="000000" w:themeColor="text1"/>
          <w14:textFill>
            <w14:solidFill>
              <w14:schemeClr w14:val="tx1"/>
            </w14:solidFill>
          </w14:textFill>
        </w:rPr>
      </w:pPr>
      <w:r>
        <w:rPr>
          <w:color w:val="000000" w:themeColor="text1"/>
          <w14:textFill>
            <w14:solidFill>
              <w14:schemeClr w14:val="tx1"/>
            </w14:solidFill>
          </w14:textFill>
        </w:rPr>
        <w:t>7. Cross-Track Analytical Contribution</w:t>
      </w:r>
    </w:p>
    <w:p w14:paraId="195C1DBF">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Track collaborated with: </w:t>
      </w:r>
      <w:r>
        <w:rPr>
          <w:color w:val="000000" w:themeColor="text1"/>
          <w14:textFill>
            <w14:solidFill>
              <w14:schemeClr w14:val="tx1"/>
            </w14:solidFill>
          </w14:textFill>
        </w:rPr>
        <w:t>Project Management (completed); Data Science and ML Engineering (attempted, response pending)</w:t>
      </w:r>
    </w:p>
    <w:p w14:paraId="45D05214">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Dependency: </w:t>
      </w:r>
      <w:r>
        <w:rPr>
          <w:color w:val="000000" w:themeColor="text1"/>
          <w14:textFill>
            <w14:solidFill>
              <w14:schemeClr w14:val="tx1"/>
            </w14:solidFill>
          </w14:textFill>
        </w:rPr>
        <w:t>Confirmation from Data Science/ML Engineering on whether validated findings (prior no-shows, booking lead time, the waiting_time_minutes leakage caution) inform their feature selection and pipeline design</w:t>
      </w:r>
    </w:p>
    <w:p w14:paraId="0183A62A">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Information received: </w:t>
      </w:r>
      <w:r>
        <w:rPr>
          <w:color w:val="000000" w:themeColor="text1"/>
          <w14:textFill>
            <w14:solidFill>
              <w14:schemeClr w14:val="tx1"/>
            </w14:solidFill>
          </w14:textFill>
        </w:rPr>
        <w:t>A structured Cross-Track Integration &amp; Progress Questionnaire template from the Project Management coordinator, introduced specifically to address unresponsive peer-to-peer outreach across the cohort</w:t>
      </w:r>
    </w:p>
    <w:p w14:paraId="2A5C30CA">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Information provided: </w:t>
      </w:r>
      <w:r>
        <w:rPr>
          <w:color w:val="000000" w:themeColor="text1"/>
          <w14:textFill>
            <w14:solidFill>
              <w14:schemeClr w14:val="tx1"/>
            </w14:solidFill>
          </w14:textFill>
        </w:rPr>
        <w:t>A fully completed questionnaire documenting Week 6 progress, statistically validated findings, the new compound risk segment, the revised age × type conclusion, risks, decisions, and an explicit request for PM-facilitated pairing with Data Science or ML Engineering</w:t>
      </w:r>
    </w:p>
    <w:p w14:paraId="5AD06A67">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Integration activity completed: </w:t>
      </w:r>
      <w:r>
        <w:rPr>
          <w:color w:val="000000" w:themeColor="text1"/>
          <w14:textFill>
            <w14:solidFill>
              <w14:schemeClr w14:val="tx1"/>
            </w14:solidFill>
          </w14:textFill>
        </w:rPr>
        <w:t>Submission of the completed questionnaire to the Project Management coordinator — a documented coordination record</w:t>
      </w:r>
    </w:p>
    <w:p w14:paraId="1A0516F0">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What changed as a result: </w:t>
      </w:r>
      <w:r>
        <w:rPr>
          <w:color w:val="000000" w:themeColor="text1"/>
          <w14:textFill>
            <w14:solidFill>
              <w14:schemeClr w14:val="tx1"/>
            </w14:solidFill>
          </w14:textFill>
        </w:rPr>
        <w:t>Project Management now has full visibility into the Data Analytics track's validated findings and the specific blocker preventing Data Science/ML Engineering engagement, positioning PM to facilitate a direct pairing before the deadline. Direct engagement with Data Science/ML Engineering itself remains pending as of this submission.</w:t>
      </w:r>
    </w:p>
    <w:p w14:paraId="52551767">
      <w:pPr>
        <w:spacing w:after="120"/>
        <w:rPr>
          <w:color w:val="000000" w:themeColor="text1"/>
          <w14:textFill>
            <w14:solidFill>
              <w14:schemeClr w14:val="tx1"/>
            </w14:solidFill>
          </w14:textFill>
        </w:rPr>
      </w:pPr>
      <w:r>
        <w:rPr>
          <w:b/>
          <w:bCs/>
          <w:color w:val="000000" w:themeColor="text1"/>
          <w14:textFill>
            <w14:solidFill>
              <w14:schemeClr w14:val="tx1"/>
            </w14:solidFill>
          </w14:textFill>
        </w:rPr>
        <w:t xml:space="preserve">Evidence: </w:t>
      </w:r>
      <w:r>
        <w:rPr>
          <w:color w:val="000000" w:themeColor="text1"/>
          <w14:textFill>
            <w14:solidFill>
              <w14:schemeClr w14:val="tx1"/>
            </w14:solidFill>
          </w14:textFill>
        </w:rPr>
        <w:t>HealthConnect_Week6_CrossTrack_Questionnaire_FILLED.docx</w:t>
      </w:r>
    </w:p>
    <w:p w14:paraId="390A5431">
      <w:pPr>
        <w:pStyle w:val="2"/>
        <w:spacing w:before="320" w:after="160"/>
        <w:rPr>
          <w:color w:val="000000" w:themeColor="text1"/>
          <w14:textFill>
            <w14:solidFill>
              <w14:schemeClr w14:val="tx1"/>
            </w14:solidFill>
          </w14:textFill>
        </w:rPr>
      </w:pPr>
      <w:r>
        <w:rPr>
          <w:color w:val="000000" w:themeColor="text1"/>
          <w14:textFill>
            <w14:solidFill>
              <w14:schemeClr w14:val="tx1"/>
            </w14:solidFill>
          </w14:textFill>
        </w:rPr>
        <w:t>8. Data &amp; Analytical Limitations (Week 4 → 6 Review)</w:t>
      </w:r>
    </w:p>
    <w:p w14:paraId="509A162C">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reminder_channel structurally null when no reminder was sent — resolved by treating “No reminder” as its own category (Week 5).</w:t>
      </w:r>
    </w:p>
    <w:p w14:paraId="78B53A7D">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Small missing gaps in distance/waiting time (~1-2%) — still present, excluded consistently; too small to materially affect results.</w:t>
      </w:r>
    </w:p>
    <w:p w14:paraId="0AFA3066">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Inflated overall no-show rate (48.5% vs. 15-30% real-world norm) — still relevant; all specific percentages should be read as this dataset's pattern, not literal real-world figures.</w:t>
      </w:r>
    </w:p>
    <w:p w14:paraId="5D10945D">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No “reason for missed appointment” field — still relevant; every finding in this report remains correlational, not causal.</w:t>
      </w:r>
    </w:p>
    <w:p w14:paraId="455539CC">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waiting_time_minutes data leakage risk — resolved; fully excluded from any predictive framing.</w:t>
      </w:r>
    </w:p>
    <w:p w14:paraId="282804C9">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NEW (Week 6): the extreme compound segment (2+ prior no-shows AND 25.8km+ distance) is based on only 20 patients — statistically significant but too small to break down further (e.g. by reminder channel) without more accumulated data.</w:t>
      </w:r>
    </w:p>
    <w:p w14:paraId="53FAD384">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NEW (Week 6): the age × appointment-type finding does not survive multiple-comparisons testing and has been downgraded accordingly — a caution that should generalise to any future segment-matrix analysis on this dataset.</w:t>
      </w:r>
    </w:p>
    <w:p w14:paraId="11CDEE4C">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Equity risk in targeting recommendations — more concrete this week given specific, actionable targeting proposals (SMS to flagged patients, transport support for the distance group); any real-world rollout should include an equity/access review first.</w:t>
      </w:r>
    </w:p>
    <w:p w14:paraId="0508DCA5">
      <w:pPr>
        <w:pStyle w:val="2"/>
        <w:spacing w:before="320" w:after="160"/>
        <w:rPr>
          <w:color w:val="000000" w:themeColor="text1"/>
          <w14:textFill>
            <w14:solidFill>
              <w14:schemeClr w14:val="tx1"/>
            </w14:solidFill>
          </w14:textFill>
        </w:rPr>
      </w:pPr>
      <w:r>
        <w:rPr>
          <w:color w:val="000000" w:themeColor="text1"/>
          <w14:textFill>
            <w14:solidFill>
              <w14:schemeClr w14:val="tx1"/>
            </w14:solidFill>
          </w14:textFill>
        </w:rPr>
        <w:t>9. Week 7 Analytical Testing Requirements</w:t>
      </w:r>
    </w:p>
    <w:p w14:paraId="5A0BA649">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Confirm whether Data Science's model incorporates the validated predictive features and the waiting_time_minutes leakage caution, once cross-track engagement is achieved.</w:t>
      </w:r>
    </w:p>
    <w:p w14:paraId="3DAB4710">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Monitor whether the compound risk segment (2+ prior no-shows × 25.8km+ distance) holds up as more appointment data accumulates, given its current small sample (n=20).</w:t>
      </w:r>
    </w:p>
    <w:p w14:paraId="0719E030">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Re-test the age × appointment-type pattern once more data is available, to determine whether it becomes statistically confirmed or continues to fail the full-matrix test.</w:t>
      </w:r>
    </w:p>
    <w:p w14:paraId="1C4492D4">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Validate that the dashboard's calculated values remain consistent if the underlying dataset is refreshed or extended.</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31"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75D5986"/>
    <w:rsid w:val="401158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1745</Words>
  <Characters>10570</Characters>
  <TotalTime>38</TotalTime>
  <ScaleCrop>false</ScaleCrop>
  <LinksUpToDate>false</LinksUpToDate>
  <CharactersWithSpaces>12202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2026-09-13T16:21:00Z</dcterms:created>
  <dc:creator>Un-named</dc:creator>
  <cp:lastModifiedBy>Ekenga Dorothy</cp:lastModifiedBy>
  <dcterms:modified xsi:type="dcterms:W3CDTF">2026-09-13T17:21:11Z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eyJoZGlkIjoiYTkxMmIyNzBlY2I0NjI3MGJiMjEyNWFjNTZjMzY1OGIiLCJ1c2VySWQiOiIyNzY2Mjk3NTY4MTg4In0=</vt:lpwstr>
  </property>
  <property fmtid="{D5CDD505-2E9C-101B-9397-08002B2CF9AE}" pid="3" name="KSOProductBuildVer">
    <vt:lpwstr>1033-12.1.0.28485</vt:lpwstr>
  </property>
  <property fmtid="{D5CDD505-2E9C-101B-9397-08002B2CF9AE}" pid="4" name="ICV">
    <vt:lpwstr>EF0742FECE5141559A215F9401F73C97_12</vt:lpwstr>
  </property>
</Properties>
</file>