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A8F1" w14:textId="77777777" w:rsidR="0083534E" w:rsidRPr="00525E0C" w:rsidRDefault="00000000">
      <w:pPr>
        <w:spacing w:after="40"/>
        <w:jc w:val="center"/>
        <w:rPr>
          <w:color w:val="000000" w:themeColor="text1"/>
        </w:rPr>
      </w:pPr>
      <w:proofErr w:type="spellStart"/>
      <w:r w:rsidRPr="00525E0C">
        <w:rPr>
          <w:b/>
          <w:bCs/>
          <w:color w:val="000000" w:themeColor="text1"/>
          <w:sz w:val="40"/>
          <w:szCs w:val="40"/>
        </w:rPr>
        <w:t>HealthConnect</w:t>
      </w:r>
      <w:proofErr w:type="spellEnd"/>
      <w:r w:rsidRPr="00525E0C">
        <w:rPr>
          <w:b/>
          <w:bCs/>
          <w:color w:val="000000" w:themeColor="text1"/>
          <w:sz w:val="40"/>
          <w:szCs w:val="40"/>
        </w:rPr>
        <w:t xml:space="preserve"> Clinic Experience Lab</w:t>
      </w:r>
    </w:p>
    <w:p w14:paraId="6E020A2D" w14:textId="77777777" w:rsidR="0083534E" w:rsidRPr="00525E0C" w:rsidRDefault="00000000">
      <w:pPr>
        <w:spacing w:after="40"/>
        <w:jc w:val="center"/>
        <w:rPr>
          <w:color w:val="000000" w:themeColor="text1"/>
        </w:rPr>
      </w:pPr>
      <w:r w:rsidRPr="00525E0C">
        <w:rPr>
          <w:b/>
          <w:bCs/>
          <w:color w:val="000000" w:themeColor="text1"/>
          <w:sz w:val="26"/>
          <w:szCs w:val="26"/>
        </w:rPr>
        <w:t>Week 6 Project Summary — Data Analytics Track</w:t>
      </w:r>
    </w:p>
    <w:p w14:paraId="5F4D5E60" w14:textId="680FB4B8" w:rsidR="0083534E" w:rsidRPr="00525E0C" w:rsidRDefault="00000000">
      <w:pPr>
        <w:spacing w:after="400"/>
        <w:jc w:val="center"/>
        <w:rPr>
          <w:color w:val="000000" w:themeColor="text1"/>
        </w:rPr>
      </w:pPr>
      <w:r w:rsidRPr="00525E0C">
        <w:rPr>
          <w:color w:val="000000" w:themeColor="text1"/>
        </w:rPr>
        <w:t xml:space="preserve">Prepared </w:t>
      </w:r>
      <w:proofErr w:type="gramStart"/>
      <w:r w:rsidRPr="00525E0C">
        <w:rPr>
          <w:color w:val="000000" w:themeColor="text1"/>
        </w:rPr>
        <w:t xml:space="preserve">by </w:t>
      </w:r>
      <w:r w:rsidR="00525E0C">
        <w:rPr>
          <w:color w:val="000000" w:themeColor="text1"/>
        </w:rPr>
        <w:t xml:space="preserve"> Ekenga</w:t>
      </w:r>
      <w:proofErr w:type="gramEnd"/>
      <w:r w:rsidR="00525E0C">
        <w:rPr>
          <w:color w:val="000000" w:themeColor="text1"/>
        </w:rPr>
        <w:t xml:space="preserve"> </w:t>
      </w:r>
      <w:r w:rsidRPr="00525E0C">
        <w:rPr>
          <w:color w:val="000000" w:themeColor="text1"/>
        </w:rPr>
        <w:t>Dorothy</w:t>
      </w:r>
    </w:p>
    <w:p w14:paraId="362A76CC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This summary complements the accompanying Advanced Analytics &amp; Decision Support Report and does not repeat its full detail.</w:t>
      </w:r>
    </w:p>
    <w:p w14:paraId="161C357F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1. What I planned to accomplish</w:t>
      </w:r>
    </w:p>
    <w:p w14:paraId="533D0441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Statistically validate the most important Week 5 KPIs, investigate a deeper compound pattern, revise any Week 5 conclusions that did not hold up, improve the dashboard, translate findings into specific actions, and complete an actual (not just identified) cross-track integration.</w:t>
      </w:r>
    </w:p>
    <w:p w14:paraId="66D91784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2. What I completed</w:t>
      </w:r>
    </w:p>
    <w:p w14:paraId="3167FDFE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Chi-square validation of 3 headline findings, a new statistically significant compound finding (prior no-shows × distance, 80.0% risk segment), a revised/downgraded conclusion on the age × appointment-type pattern, an improved 8-visual dashboard, a 6-item confidence-rated action list, and a completed, submitted cross-track coordination activity with Project Management.</w:t>
      </w:r>
    </w:p>
    <w:p w14:paraId="7D87C758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3. What I improved from Week 5</w:t>
      </w:r>
    </w:p>
    <w:p w14:paraId="5CF78582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Week 5 findings were pattern-based (pivot table percentages); Week 6 added formal statistical testing, which confirmed two headline findings as strongly significant and revealed that a third (age × appointment type) does not survive proper testing once the multiple-comparisons problem is accounted for — a genuine, evidence-based revision rather than a repeat.</w:t>
      </w:r>
    </w:p>
    <w:p w14:paraId="1EC9C6E3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4. What I integrated</w:t>
      </w:r>
    </w:p>
    <w:p w14:paraId="3DDFB334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Submitted a fully completed Cross-Track Integration &amp; Progress Questionnaire to the Project Management coordinator, after two direct outreach attempts to Data Science and ML Engineering cohort-mates received no response. This gives Project Management full visibility into validated findings and the specific blocker, positioning them to facilitate a direct pairing.</w:t>
      </w:r>
    </w:p>
    <w:p w14:paraId="49EAA955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5. Which track(s) I collaborated with</w:t>
      </w:r>
    </w:p>
    <w:p w14:paraId="4A6EFABE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Project Management (completed, via the coordinator's structured questionnaire). Data Science and ML Engineering were contacted directly but have not yet responded.</w:t>
      </w:r>
    </w:p>
    <w:p w14:paraId="1E963533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6. What was exchanged</w:t>
      </w:r>
    </w:p>
    <w:p w14:paraId="0383A7C5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 xml:space="preserve">Provided: statistically validated KPI findings, the new compound risk finding, the </w:t>
      </w:r>
      <w:proofErr w:type="spellStart"/>
      <w:r w:rsidRPr="00525E0C">
        <w:rPr>
          <w:color w:val="000000" w:themeColor="text1"/>
        </w:rPr>
        <w:t>waiting_time_minutes</w:t>
      </w:r>
      <w:proofErr w:type="spellEnd"/>
      <w:r w:rsidRPr="00525E0C">
        <w:rPr>
          <w:color w:val="000000" w:themeColor="text1"/>
        </w:rPr>
        <w:t xml:space="preserve"> leakage caution, and an explicit escalation of the cross-track blocker. Received: a structured questionnaire template designed to route around unresponsive peer-to-peer outreach.</w:t>
      </w:r>
    </w:p>
    <w:p w14:paraId="6CC7D38E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7. What changed as a result</w:t>
      </w:r>
    </w:p>
    <w:p w14:paraId="490BE81F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Project Management now has a complete, evidence-based record of the Data Analytics track's Week 6 progress and the specific dependency blocking full cross-track integration, enabling them to act on it directly rather than the issue remaining invisible.</w:t>
      </w:r>
    </w:p>
    <w:p w14:paraId="68D4B8B6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8. Key findings or development outcomes</w:t>
      </w:r>
    </w:p>
    <w:p w14:paraId="43BF1AF3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The standout outcome: two of three tested Week 5 findings are statistically bulletproof (p&lt;0.002), while the third does not survive rigorous testing — a distinction invisible from pivot-table percentages alone. The new compound finding (80.0% no-show risk for patients with 2+ prior no-shows living 25.8km+ away) is the strongest, most actionable result produced across both weeks.</w:t>
      </w:r>
    </w:p>
    <w:p w14:paraId="1579A749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lastRenderedPageBreak/>
        <w:t>9. Major challenges</w:t>
      </w:r>
    </w:p>
    <w:p w14:paraId="7713482C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 xml:space="preserve">A Power BI circular-dependency error when attempting to sort the distance column by a custom order, eventually resolved with a label-based workaround rather than the Sort </w:t>
      </w:r>
      <w:proofErr w:type="gramStart"/>
      <w:r w:rsidRPr="00525E0C">
        <w:rPr>
          <w:color w:val="000000" w:themeColor="text1"/>
        </w:rPr>
        <w:t>By</w:t>
      </w:r>
      <w:proofErr w:type="gramEnd"/>
      <w:r w:rsidRPr="00525E0C">
        <w:rPr>
          <w:color w:val="000000" w:themeColor="text1"/>
        </w:rPr>
        <w:t xml:space="preserve"> Column feature. Continued non-response from two direct cross-track outreach attempts, which required escalating to a Project Management-facilitated process instead.</w:t>
      </w:r>
    </w:p>
    <w:p w14:paraId="39C4CA14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10. Important decisions</w:t>
      </w:r>
    </w:p>
    <w:p w14:paraId="4D89321D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Downgraded the age × appointment-type finding from a confirmed pattern to “worth investigating further” after full-matrix testing failed to confirm significance, rather than carrying the Week 5 claim forward unchanged. Chose to route cross-track integration through the Project Management coordinator once direct peer outreach was unsuccessful.</w:t>
      </w:r>
    </w:p>
    <w:p w14:paraId="23545C00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11. Remaining issues</w:t>
      </w:r>
    </w:p>
    <w:p w14:paraId="765A4131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Direct engagement from Data Science or ML Engineering is still pending as of this submission. The extreme compound-risk segment (n=20) is too small to break down further (e.g. by reminder channel) without more accumulated appointment data.</w:t>
      </w:r>
    </w:p>
    <w:p w14:paraId="7F83E2CB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 xml:space="preserve">12. My contribution to the overall </w:t>
      </w:r>
      <w:proofErr w:type="spellStart"/>
      <w:r w:rsidRPr="00525E0C">
        <w:rPr>
          <w:color w:val="000000" w:themeColor="text1"/>
        </w:rPr>
        <w:t>HealthConnect</w:t>
      </w:r>
      <w:proofErr w:type="spellEnd"/>
      <w:r w:rsidRPr="00525E0C">
        <w:rPr>
          <w:color w:val="000000" w:themeColor="text1"/>
        </w:rPr>
        <w:t xml:space="preserve"> project</w:t>
      </w:r>
    </w:p>
    <w:p w14:paraId="01A07877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 xml:space="preserve">Provided statistically validated evidence — not just observed patterns — of which no-show risk factors are real, identified the single highest-risk patient segment in the dataset, and produced a ranked, confidence-rated action list that gives </w:t>
      </w:r>
      <w:proofErr w:type="spellStart"/>
      <w:r w:rsidRPr="00525E0C">
        <w:rPr>
          <w:color w:val="000000" w:themeColor="text1"/>
        </w:rPr>
        <w:t>HealthConnect</w:t>
      </w:r>
      <w:proofErr w:type="spellEnd"/>
      <w:r w:rsidRPr="00525E0C">
        <w:rPr>
          <w:color w:val="000000" w:themeColor="text1"/>
        </w:rPr>
        <w:t xml:space="preserve"> a defensible basis for </w:t>
      </w:r>
      <w:proofErr w:type="spellStart"/>
      <w:r w:rsidRPr="00525E0C">
        <w:rPr>
          <w:color w:val="000000" w:themeColor="text1"/>
        </w:rPr>
        <w:t>prioritising</w:t>
      </w:r>
      <w:proofErr w:type="spellEnd"/>
      <w:r w:rsidRPr="00525E0C">
        <w:rPr>
          <w:color w:val="000000" w:themeColor="text1"/>
        </w:rPr>
        <w:t xml:space="preserve"> interventions rather than applying a one-size-fits-all approach.</w:t>
      </w:r>
    </w:p>
    <w:p w14:paraId="043A244F" w14:textId="77777777" w:rsidR="0083534E" w:rsidRPr="00525E0C" w:rsidRDefault="00000000">
      <w:pPr>
        <w:pStyle w:val="Heading1"/>
        <w:spacing w:before="240" w:after="110"/>
        <w:rPr>
          <w:color w:val="000000" w:themeColor="text1"/>
        </w:rPr>
      </w:pPr>
      <w:r w:rsidRPr="00525E0C">
        <w:rPr>
          <w:color w:val="000000" w:themeColor="text1"/>
        </w:rPr>
        <w:t>13. Proposed focus for Week 7</w:t>
      </w:r>
    </w:p>
    <w:p w14:paraId="458F8B38" w14:textId="77777777" w:rsidR="0083534E" w:rsidRPr="00525E0C" w:rsidRDefault="00000000">
      <w:pPr>
        <w:spacing w:after="150"/>
        <w:rPr>
          <w:color w:val="000000" w:themeColor="text1"/>
        </w:rPr>
      </w:pPr>
      <w:r w:rsidRPr="00525E0C">
        <w:rPr>
          <w:color w:val="000000" w:themeColor="text1"/>
        </w:rPr>
        <w:t>Confirm direct cross-track integration with Data Science or ML Engineering once facilitated by Project Management; monitor whether the compound risk finding holds as more data accumulates; and begin end-to-end validation of the dashboard and findings ahead of final testing and refinement.</w:t>
      </w:r>
    </w:p>
    <w:sectPr w:rsidR="0083534E" w:rsidRPr="00525E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11B"/>
    <w:multiLevelType w:val="hybridMultilevel"/>
    <w:tmpl w:val="18409856"/>
    <w:lvl w:ilvl="0" w:tplc="B56C7842">
      <w:start w:val="1"/>
      <w:numFmt w:val="bullet"/>
      <w:lvlText w:val="●"/>
      <w:lvlJc w:val="left"/>
      <w:pPr>
        <w:ind w:left="720" w:hanging="360"/>
      </w:pPr>
    </w:lvl>
    <w:lvl w:ilvl="1" w:tplc="ED240A46">
      <w:start w:val="1"/>
      <w:numFmt w:val="bullet"/>
      <w:lvlText w:val="○"/>
      <w:lvlJc w:val="left"/>
      <w:pPr>
        <w:ind w:left="1440" w:hanging="360"/>
      </w:pPr>
    </w:lvl>
    <w:lvl w:ilvl="2" w:tplc="9AB0D1F8">
      <w:start w:val="1"/>
      <w:numFmt w:val="bullet"/>
      <w:lvlText w:val="■"/>
      <w:lvlJc w:val="left"/>
      <w:pPr>
        <w:ind w:left="2160" w:hanging="360"/>
      </w:pPr>
    </w:lvl>
    <w:lvl w:ilvl="3" w:tplc="953EF022">
      <w:start w:val="1"/>
      <w:numFmt w:val="bullet"/>
      <w:lvlText w:val="●"/>
      <w:lvlJc w:val="left"/>
      <w:pPr>
        <w:ind w:left="2880" w:hanging="360"/>
      </w:pPr>
    </w:lvl>
    <w:lvl w:ilvl="4" w:tplc="C8B43A80">
      <w:start w:val="1"/>
      <w:numFmt w:val="bullet"/>
      <w:lvlText w:val="○"/>
      <w:lvlJc w:val="left"/>
      <w:pPr>
        <w:ind w:left="3600" w:hanging="360"/>
      </w:pPr>
    </w:lvl>
    <w:lvl w:ilvl="5" w:tplc="9EFC92B8">
      <w:start w:val="1"/>
      <w:numFmt w:val="bullet"/>
      <w:lvlText w:val="■"/>
      <w:lvlJc w:val="left"/>
      <w:pPr>
        <w:ind w:left="4320" w:hanging="360"/>
      </w:pPr>
    </w:lvl>
    <w:lvl w:ilvl="6" w:tplc="19761C1E">
      <w:start w:val="1"/>
      <w:numFmt w:val="bullet"/>
      <w:lvlText w:val="●"/>
      <w:lvlJc w:val="left"/>
      <w:pPr>
        <w:ind w:left="5040" w:hanging="360"/>
      </w:pPr>
    </w:lvl>
    <w:lvl w:ilvl="7" w:tplc="24F661A8">
      <w:start w:val="1"/>
      <w:numFmt w:val="bullet"/>
      <w:lvlText w:val="●"/>
      <w:lvlJc w:val="left"/>
      <w:pPr>
        <w:ind w:left="5760" w:hanging="360"/>
      </w:pPr>
    </w:lvl>
    <w:lvl w:ilvl="8" w:tplc="C6263936">
      <w:start w:val="1"/>
      <w:numFmt w:val="bullet"/>
      <w:lvlText w:val="●"/>
      <w:lvlJc w:val="left"/>
      <w:pPr>
        <w:ind w:left="6480" w:hanging="360"/>
      </w:pPr>
    </w:lvl>
  </w:abstractNum>
  <w:num w:numId="1" w16cid:durableId="390269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4E"/>
    <w:rsid w:val="003C13DB"/>
    <w:rsid w:val="00525E0C"/>
    <w:rsid w:val="0083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0749"/>
  <w15:docId w15:val="{2ABF3574-4D89-4752-84FB-2FEA8C36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Pade Ekenga</cp:lastModifiedBy>
  <cp:revision>2</cp:revision>
  <dcterms:created xsi:type="dcterms:W3CDTF">2026-09-13T16:21:00Z</dcterms:created>
  <dcterms:modified xsi:type="dcterms:W3CDTF">2026-09-13T17:29:00Z</dcterms:modified>
</cp:coreProperties>
</file>