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8"/>
          <w:sz w:val="20"/>
          <w:szCs w:val="20"/>
        </w:rPr>
        <w:t xml:space="preserve">AnalystLab Africa — Data Analytics Internship Programme</w:t>
      </w:r>
    </w:p>
    <w:p>
      <w:pPr>
        <w:spacing w:after="60" w:before="120"/>
        <w:jc w:val="center"/>
      </w:pPr>
      <w:r>
        <w:rPr>
          <w:b/>
          <w:bCs/>
          <w:color w:val="1F4E78"/>
          <w:sz w:val="40"/>
          <w:szCs w:val="40"/>
        </w:rPr>
        <w:t xml:space="preserve">Executive Summary Report</w:t>
      </w:r>
    </w:p>
    <w:p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 xml:space="preserve">Global Superstore Performance Review, 2011–2014</w:t>
      </w:r>
    </w:p>
    <w:p>
      <w:pPr>
        <w:pBdr>
          <w:bottom w:val="single" w:color="1F4E78" w:sz="6" w:space="8"/>
        </w:pBdr>
        <w:spacing w:after="260"/>
        <w:jc w:val="center"/>
      </w:pPr>
      <w:r>
        <w:rPr>
          <w:color w:val="595959"/>
          <w:sz w:val="20"/>
          <w:szCs w:val="20"/>
        </w:rPr>
        <w:t xml:space="preserve">Prepared by: Dorothy, Junior Business Intelligence Analyst | AnalystLab Africa Consulting</w:t>
      </w:r>
    </w:p>
    <w:p>
      <w:pPr>
        <w:pStyle w:val="Heading1"/>
        <w:spacing w:after="150" w:before="320"/>
      </w:pPr>
      <w:r>
        <w:t xml:space="preserve">Headline 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pct" w:w="20%"/>
            <w:shd w:fill="DCE6F1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Total Sales</w:t>
            </w:r>
          </w:p>
          <w:p>
            <w:pPr>
              <w:spacing w:before="40"/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$12.64M</w:t>
            </w:r>
          </w:p>
        </w:tc>
        <w:tc>
          <w:tcPr>
            <w:tcW w:type="pct" w:w="20%"/>
            <w:shd w:fill="DCE6F1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Total Profit</w:t>
            </w:r>
          </w:p>
          <w:p>
            <w:pPr>
              <w:spacing w:before="40"/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$1.47M</w:t>
            </w:r>
          </w:p>
        </w:tc>
        <w:tc>
          <w:tcPr>
            <w:tcW w:type="pct" w:w="20%"/>
            <w:shd w:fill="DCE6F1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Total Orders</w:t>
            </w:r>
          </w:p>
          <w:p>
            <w:pPr>
              <w:spacing w:before="40"/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25,035</w:t>
            </w:r>
          </w:p>
        </w:tc>
        <w:tc>
          <w:tcPr>
            <w:tcW w:type="pct" w:w="20%"/>
            <w:shd w:fill="DCE6F1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Avg. Sale / Line</w:t>
            </w:r>
          </w:p>
          <w:p>
            <w:pPr>
              <w:spacing w:before="40"/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$246.49</w:t>
            </w:r>
          </w:p>
        </w:tc>
        <w:tc>
          <w:tcPr>
            <w:tcW w:type="pct" w:w="20%"/>
            <w:shd w:fill="DCE6F1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Profit Margin</w:t>
            </w:r>
          </w:p>
          <w:p>
            <w:pPr>
              <w:spacing w:before="40"/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11.6%</w:t>
            </w:r>
          </w:p>
        </w:tc>
      </w:tr>
    </w:tbl>
    <w:p>
      <w:pPr>
        <w:pStyle w:val="Heading1"/>
        <w:spacing w:after="150" w:before="320"/>
      </w:pPr>
      <w:r>
        <w:t xml:space="preserve">Five Key Business Insights</w:t>
      </w:r>
    </w:p>
    <w:p>
      <w:pPr>
        <w:spacing w:after="130"/>
      </w:pPr>
      <w:r>
        <w:rPr>
          <w:b/>
          <w:bCs/>
          <w:color w:val="1F4E78"/>
          <w:sz w:val="22"/>
          <w:szCs w:val="22"/>
        </w:rPr>
        <w:t xml:space="preserve">1. </w:t>
      </w:r>
      <w:r>
        <w:rPr>
          <w:sz w:val="22"/>
          <w:szCs w:val="22"/>
        </w:rPr>
        <w:t xml:space="preserve">Sales growth is strong but slowing in profitability terms. Total sales grew every year from 2011 to 2014 (from $2.26M to $4.30M, roughly 90% cumulative growth), and profit grew alongside it (from $249K to $504K). Growth is real, but margin has stayed roughly flat at 11–12% each year rather than improving, meaning the company is scaling revenue without meaningfully improving efficiency.</w:t>
      </w:r>
    </w:p>
    <w:p>
      <w:pPr>
        <w:spacing w:after="130"/>
      </w:pPr>
      <w:r>
        <w:rPr>
          <w:b/>
          <w:bCs/>
          <w:color w:val="1F4E78"/>
          <w:sz w:val="22"/>
          <w:szCs w:val="22"/>
        </w:rPr>
        <w:t xml:space="preserve">2. </w:t>
      </w:r>
      <w:r>
        <w:rPr>
          <w:sz w:val="22"/>
          <w:szCs w:val="22"/>
        </w:rPr>
        <w:t xml:space="preserve">The Central region and the APAC/EU markets carry the business. Central is the top region by sales ($2.82M) and profit ($311K), while APAC ($3.59M sales, $436K profit) and EU ($2.94M, $373K) are the two strongest markets. The US market, despite being the home market, ranks only third by both sales and profit.</w:t>
      </w:r>
    </w:p>
    <w:p>
      <w:pPr>
        <w:spacing w:after="130"/>
      </w:pPr>
      <w:r>
        <w:rPr>
          <w:b/>
          <w:bCs/>
          <w:color w:val="1F4E78"/>
          <w:sz w:val="22"/>
          <w:szCs w:val="22"/>
        </w:rPr>
        <w:t xml:space="preserve">3. </w:t>
      </w:r>
      <w:r>
        <w:rPr>
          <w:sz w:val="22"/>
          <w:szCs w:val="22"/>
        </w:rPr>
        <w:t xml:space="preserve">Technology is the most profitable category, but Furniture is the least efficient. Technology generates the highest profit ($664K) despite not having the highest sales, giving it the best margin of the three categories. Furniture generates high sales ($4.11M) but the lowest profit ($285K) of the three categories — and within Furniture, the Tables sub-category is outright unprofitable, losing $64K overall despite $757K in sales.</w:t>
      </w:r>
    </w:p>
    <w:p>
      <w:pPr>
        <w:spacing w:after="130"/>
      </w:pPr>
      <w:r>
        <w:rPr>
          <w:b/>
          <w:bCs/>
          <w:color w:val="1F4E78"/>
          <w:sz w:val="22"/>
          <w:szCs w:val="22"/>
        </w:rPr>
        <w:t xml:space="preserve">4. </w:t>
      </w:r>
      <w:r>
        <w:rPr>
          <w:sz w:val="22"/>
          <w:szCs w:val="22"/>
        </w:rPr>
        <w:t xml:space="preserve">Discounting above 20% destroys profit. Discount and profit are negatively correlated (r ≈ -0.32). Orders with no discount generated $1.77M profit on $6.99M sales (25% margin); orders discounted between 20-40% generated a $187K loss on $1.08M sales, and every discount band above 20% is net loss-making. Discounting is currently being used well beyond the point where it still drives profitable volume.</w:t>
      </w:r>
    </w:p>
    <w:p>
      <w:pPr>
        <w:spacing w:after="130"/>
      </w:pPr>
      <w:r>
        <w:rPr>
          <w:b/>
          <w:bCs/>
          <w:color w:val="1F4E78"/>
          <w:sz w:val="22"/>
          <w:szCs w:val="22"/>
        </w:rPr>
        <w:t xml:space="preserve">5. </w:t>
      </w:r>
      <w:r>
        <w:rPr>
          <w:sz w:val="22"/>
          <w:szCs w:val="22"/>
        </w:rPr>
        <w:t xml:space="preserve">Consumer is the most valuable segment, and Standard Class shipping is the profit engine. The Consumer segment contributes more sales ($6.51M) and profit ($749K) than Corporate and Home Office combined. Standard Class shipping carries the bulk of both sales ($7.58M) and profit ($891K) of any ship mode, while Same Day shipping is the smallest and least profitable channel — consistent with slower, cheaper shipping being what the majority of profitable orders actually use.</w:t>
      </w:r>
    </w:p>
    <w:p>
      <w:pPr>
        <w:pStyle w:val="Heading1"/>
        <w:spacing w:after="150" w:before="320"/>
      </w:pPr>
      <w:r>
        <w:t xml:space="preserve">Three Business Risks</w:t>
      </w:r>
    </w:p>
    <w:p>
      <w:pPr>
        <w:spacing w:after="130"/>
      </w:pPr>
      <w:r>
        <w:rPr>
          <w:b/>
          <w:bCs/>
          <w:color w:val="1F4E78"/>
          <w:sz w:val="22"/>
          <w:szCs w:val="22"/>
        </w:rPr>
        <w:t xml:space="preserve">1. </w:t>
      </w:r>
      <w:r>
        <w:rPr>
          <w:sz w:val="22"/>
          <w:szCs w:val="22"/>
        </w:rPr>
        <w:t xml:space="preserve">Margin erosion from uncontrolled discounting. With losses appearing at every discount tier above 20%, continuing current discounting practices on Furniture and Technology's lower-margin lines (e.g. Tables, Machines) risks turning revenue growth into profit stagnation or decline.</w:t>
      </w:r>
    </w:p>
    <w:p>
      <w:pPr>
        <w:spacing w:after="130"/>
      </w:pPr>
      <w:r>
        <w:rPr>
          <w:b/>
          <w:bCs/>
          <w:color w:val="1F4E78"/>
          <w:sz w:val="22"/>
          <w:szCs w:val="22"/>
        </w:rPr>
        <w:t xml:space="preserve">2. </w:t>
      </w:r>
      <w:r>
        <w:rPr>
          <w:sz w:val="22"/>
          <w:szCs w:val="22"/>
        </w:rPr>
        <w:t xml:space="preserve">Over-dependence on a small number of regions and markets. Canada and the Caribbean together contribute under $400K in combined sales — under 3% of the total — while Central alone contributes over 22%. A slowdown in the Central region or APAC/EU markets would disproportionately affect total company performance.</w:t>
      </w:r>
    </w:p>
    <w:p>
      <w:pPr>
        <w:spacing w:after="130"/>
      </w:pPr>
      <w:r>
        <w:rPr>
          <w:b/>
          <w:bCs/>
          <w:color w:val="1F4E78"/>
          <w:sz w:val="22"/>
          <w:szCs w:val="22"/>
        </w:rPr>
        <w:t xml:space="preserve">3. </w:t>
      </w:r>
      <w:r>
        <w:rPr>
          <w:sz w:val="22"/>
          <w:szCs w:val="22"/>
        </w:rPr>
        <w:t xml:space="preserve">Structural loss-making product lines. The Tables sub-category and specific products (e.g. the Cubify CubeX 3D Printer lines, several Bevis and Lockers furniture products) are consistently unprofitable across thousands of orders, not as isolated incidents — indicating a pricing, cost, or sourcing problem rather than a one-off issue.</w:t>
      </w:r>
    </w:p>
    <w:p>
      <w:pPr>
        <w:pStyle w:val="Heading1"/>
        <w:spacing w:after="150" w:before="320"/>
      </w:pPr>
      <w:r>
        <w:t xml:space="preserve">Three Business Opportunities</w:t>
      </w:r>
    </w:p>
    <w:p>
      <w:pPr>
        <w:spacing w:after="130"/>
      </w:pPr>
      <w:r>
        <w:rPr>
          <w:b/>
          <w:bCs/>
          <w:color w:val="1F4E78"/>
          <w:sz w:val="22"/>
          <w:szCs w:val="22"/>
        </w:rPr>
        <w:t xml:space="preserve">1. </w:t>
      </w:r>
      <w:r>
        <w:rPr>
          <w:sz w:val="22"/>
          <w:szCs w:val="22"/>
        </w:rPr>
        <w:t xml:space="preserve">Expand high-margin Technology sub-categories. Copiers and Phones are the two most profitable sub-categories ($259K and $217K profit respectively) with strong sales too — these are prime candidates for increased marketing spend, stock investment, or bundling with lower-margin items.</w:t>
      </w:r>
    </w:p>
    <w:p>
      <w:pPr>
        <w:spacing w:after="130"/>
      </w:pPr>
      <w:r>
        <w:rPr>
          <w:b/>
          <w:bCs/>
          <w:color w:val="1F4E78"/>
          <w:sz w:val="22"/>
          <w:szCs w:val="22"/>
        </w:rPr>
        <w:t xml:space="preserve">2. </w:t>
      </w:r>
      <w:r>
        <w:rPr>
          <w:sz w:val="22"/>
          <w:szCs w:val="22"/>
        </w:rPr>
        <w:t xml:space="preserve">Grow underweight but high-quality markets. Africa ($784K sales, $89K profit, an 11.3% margin) and Central Asia ($753K sales, $132K profit, a strong 17.6% margin) already convert sales to profit efficiently at low volume — targeted investment here could scale a segment that is already healthy rather than fixing one that is struggling.</w:t>
      </w:r>
    </w:p>
    <w:p>
      <w:pPr>
        <w:spacing w:after="130"/>
      </w:pPr>
      <w:r>
        <w:rPr>
          <w:b/>
          <w:bCs/>
          <w:color w:val="1F4E78"/>
          <w:sz w:val="22"/>
          <w:szCs w:val="22"/>
        </w:rPr>
        <w:t xml:space="preserve">3. </w:t>
      </w:r>
      <w:r>
        <w:rPr>
          <w:sz w:val="22"/>
          <w:szCs w:val="22"/>
        </w:rPr>
        <w:t xml:space="preserve">Formalise a discount policy tied to profitability, not just deal-closing. Since undiscounted and lightly discounted (0–20%) orders account for almost all company profit, a capped and monitored discount policy — particularly for Furniture and Technology's high-discount lines — could recover a meaningful share of the profit currently lost to markdowns without materially reducing sales volume.</w:t>
      </w:r>
    </w:p>
    <w:p>
      <w:pPr>
        <w:pStyle w:val="Heading1"/>
        <w:spacing w:after="150" w:before="320"/>
      </w:pPr>
      <w:r>
        <w:t xml:space="preserve">Five Business Recommendations</w:t>
      </w:r>
    </w:p>
    <w:p>
      <w:pPr>
        <w:spacing w:after="130"/>
      </w:pPr>
      <w:r>
        <w:rPr>
          <w:b/>
          <w:bCs/>
          <w:color w:val="1F4E78"/>
          <w:sz w:val="22"/>
          <w:szCs w:val="22"/>
        </w:rPr>
        <w:t xml:space="preserve">1. </w:t>
      </w:r>
      <w:r>
        <w:rPr>
          <w:sz w:val="22"/>
          <w:szCs w:val="22"/>
        </w:rPr>
        <w:t xml:space="preserve">Cap standard discounting at 20% for Furniture and Technology categories, and require manager approval for any exception. This directly targets the discount band where the data shows profit turns negative, protecting margin without a blanket ban on discounting.</w:t>
      </w:r>
    </w:p>
    <w:p>
      <w:pPr>
        <w:spacing w:after="130"/>
      </w:pPr>
      <w:r>
        <w:rPr>
          <w:b/>
          <w:bCs/>
          <w:color w:val="1F4E78"/>
          <w:sz w:val="22"/>
          <w:szCs w:val="22"/>
        </w:rPr>
        <w:t xml:space="preserve">2. </w:t>
      </w:r>
      <w:r>
        <w:rPr>
          <w:sz w:val="22"/>
          <w:szCs w:val="22"/>
        </w:rPr>
        <w:t xml:space="preserve">Review pricing and supplier costs for the Tables sub-category and other chronically loss-making products (e.g. 3D printers, select furniture lines) rather than continuing to sell them at current cost/price ratios — either reprice, renegotiate supplier terms, or phase them out.</w:t>
      </w:r>
    </w:p>
    <w:p>
      <w:pPr>
        <w:spacing w:after="130"/>
      </w:pPr>
      <w:r>
        <w:rPr>
          <w:b/>
          <w:bCs/>
          <w:color w:val="1F4E78"/>
          <w:sz w:val="22"/>
          <w:szCs w:val="22"/>
        </w:rPr>
        <w:t xml:space="preserve">3. </w:t>
      </w:r>
      <w:r>
        <w:rPr>
          <w:sz w:val="22"/>
          <w:szCs w:val="22"/>
        </w:rPr>
        <w:t xml:space="preserve">Reallocate a portion of marketing and inventory investment toward Copiers, Phones, and other high-margin Technology lines, and toward the Africa and Central Asia markets where profit efficiency is already strong.</w:t>
      </w:r>
    </w:p>
    <w:p>
      <w:pPr>
        <w:spacing w:after="130"/>
      </w:pPr>
      <w:r>
        <w:rPr>
          <w:b/>
          <w:bCs/>
          <w:color w:val="1F4E78"/>
          <w:sz w:val="22"/>
          <w:szCs w:val="22"/>
        </w:rPr>
        <w:t xml:space="preserve">4. </w:t>
      </w:r>
      <w:r>
        <w:rPr>
          <w:sz w:val="22"/>
          <w:szCs w:val="22"/>
        </w:rPr>
        <w:t xml:space="preserve">Reduce reliance on Same Day and First Class shipping for lower-value orders, and promote Standard Class as the default — it is already the channel carrying the most profitable volume, and shifting marginal orders toward it can improve overall shipping cost efficiency.</w:t>
      </w:r>
    </w:p>
    <w:p>
      <w:pPr>
        <w:spacing w:after="130"/>
      </w:pPr>
      <w:r>
        <w:rPr>
          <w:b/>
          <w:bCs/>
          <w:color w:val="1F4E78"/>
          <w:sz w:val="22"/>
          <w:szCs w:val="22"/>
        </w:rPr>
        <w:t xml:space="preserve">5. </w:t>
      </w:r>
      <w:r>
        <w:rPr>
          <w:sz w:val="22"/>
          <w:szCs w:val="22"/>
        </w:rPr>
        <w:t xml:space="preserve">Build a quarterly regional performance review using this dashboard, with special attention to Canada, the Caribbean, and other low-volume regions — to decide deliberately whether to invest in growing them or accept their current small scale, rather than leaving them unmanaged by default.</w:t>
      </w:r>
    </w:p>
    <w:p>
      <w:pPr>
        <w:pBdr>
          <w:top w:val="single" w:color="BFBFBF" w:sz="4" w:space="8"/>
        </w:pBdr>
      </w:pPr>
      <w:r>
        <w:t xml:space="preserve"/>
      </w:r>
    </w:p>
    <w:p>
      <w:pPr>
        <w:spacing w:before="120"/>
        <w:jc w:val="center"/>
      </w:pPr>
      <w:r>
        <w:rPr>
          <w:i/>
          <w:iCs/>
          <w:color w:val="595959"/>
          <w:sz w:val="18"/>
          <w:szCs w:val="18"/>
        </w:rPr>
        <w:t xml:space="preserve">Figures computed directly from the Global Superstore dataset (51,290 order lines, 2011–2014). AnalystLab Africa · Week 2 Submission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2026-08-12T09:32:56.166Z</dcterms:created>
  <dcterms:modified xsi:type="dcterms:W3CDTF">2026-08-12T09:32:56.166Z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