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EA354"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>HealthConnect Clinic Experience Lab</w:t>
      </w:r>
    </w:p>
    <w:p w14:paraId="6481F14B">
      <w:pPr>
        <w:spacing w:after="40"/>
        <w:jc w:val="center"/>
      </w:pPr>
      <w:r>
        <w:rPr>
          <w:b/>
          <w:bCs/>
          <w:sz w:val="26"/>
          <w:szCs w:val="26"/>
        </w:rPr>
        <w:t>Week 5: Initial Analytics Report — Data Analytics Track</w:t>
      </w:r>
    </w:p>
    <w:p w14:paraId="482E74C8">
      <w:pPr>
        <w:spacing w:after="400"/>
        <w:jc w:val="center"/>
      </w:pPr>
      <w:r>
        <w:rPr>
          <w:color w:val="666666"/>
          <w:sz w:val="20"/>
          <w:szCs w:val="20"/>
        </w:rPr>
        <w:t>Prepared by</w:t>
      </w:r>
      <w:r>
        <w:rPr>
          <w:rFonts w:hint="default"/>
          <w:color w:val="666666"/>
          <w:sz w:val="20"/>
          <w:szCs w:val="20"/>
          <w:lang w:val="en-US"/>
        </w:rPr>
        <w:t xml:space="preserve">Ekenga </w:t>
      </w:r>
      <w:r>
        <w:rPr>
          <w:color w:val="666666"/>
          <w:sz w:val="20"/>
          <w:szCs w:val="20"/>
        </w:rPr>
        <w:t xml:space="preserve"> Dorothy</w:t>
      </w:r>
    </w:p>
    <w:p w14:paraId="1FF17108">
      <w:pPr>
        <w:pStyle w:val="2"/>
        <w:spacing w:before="320" w:after="160"/>
      </w:pPr>
      <w:r>
        <w:t>1. Week 4 Foundation Review</w:t>
      </w:r>
    </w:p>
    <w:p w14:paraId="6F5D087F">
      <w:pPr>
        <w:spacing w:after="160"/>
      </w:pPr>
      <w:r>
        <w:t>In Week 4, I identified the core problem for the Data Analytics track: understanding the patterns behind HealthConnect's appointment no-shows and translating them into business questions and KPIs to guide clinic decisions. My proposed approach was staged — Excel pivot validation first, then a Power BI dashboard. Key resources used were HealthConnect_Appointment_Data.csv and HealthConnect_Data_Dictionary.xlsx. Key limitations identified included a structurally-null reminder_channel field, small gaps in distance/waiting-time data, an inflated no-show rate limiting real-world generalisation, and the absence of a “reason for missed appointment” field limiting findings to correlation rather than causation. For Week 5, I proposed finalising distance and lead-time bands, building the Power BI dashboard, and calculating the 5 proposed KPIs — all of which this report now delivers.</w:t>
      </w:r>
    </w:p>
    <w:p w14:paraId="620C51AB">
      <w:pPr>
        <w:pStyle w:val="2"/>
        <w:spacing w:before="320" w:after="160"/>
      </w:pPr>
      <w:r>
        <w:t>2. Data Preparation Summary</w:t>
      </w:r>
    </w:p>
    <w:p w14:paraId="1A280C58">
      <w:pPr>
        <w:spacing w:after="160"/>
      </w:pPr>
      <w:r>
        <w:t>Building on Week 4's data quality assessment (0 duplicate rows, structurally-null reminder_channel, small missing gaps in distance/waiting time), additional checks this week confirmed the dataset is otherwise clean and ready for analysis:</w:t>
      </w:r>
    </w:p>
    <w:p w14:paraId="29B06178">
      <w:pPr>
        <w:pStyle w:val="16"/>
        <w:numPr>
          <w:ilvl w:val="0"/>
          <w:numId w:val="1"/>
        </w:numPr>
        <w:spacing w:after="100"/>
      </w:pPr>
      <w:r>
        <w:t>age ranges 18-80 with no under-18 records, consistent with the dictionary's adults-only note.</w:t>
      </w:r>
    </w:p>
    <w:p w14:paraId="0C1C6165">
      <w:pPr>
        <w:pStyle w:val="16"/>
        <w:numPr>
          <w:ilvl w:val="0"/>
          <w:numId w:val="1"/>
        </w:numPr>
        <w:spacing w:after="100"/>
      </w:pPr>
      <w:r>
        <w:t>gender, appointment_type, appointment_day, appointment_time and age_group contain only clean, expected categories with no typos or stray values.</w:t>
      </w:r>
    </w:p>
    <w:p w14:paraId="63F8875F">
      <w:pPr>
        <w:pStyle w:val="16"/>
        <w:numPr>
          <w:ilvl w:val="0"/>
          <w:numId w:val="1"/>
        </w:numPr>
        <w:spacing w:after="100"/>
      </w:pPr>
      <w:r>
        <w:t>distance_to_clinic_km (0.5-45km) and booking_lead_days (0-60 days) contain no negative or impossible values.</w:t>
      </w:r>
    </w:p>
    <w:p w14:paraId="710C2FFC">
      <w:pPr>
        <w:pStyle w:val="16"/>
        <w:numPr>
          <w:ilvl w:val="0"/>
          <w:numId w:val="1"/>
        </w:numPr>
        <w:spacing w:after="100"/>
      </w:pPr>
      <w:r>
        <w:t>booking_date and appointment_date are stored as text rather than proper dates — not an issue for the derived booking_lead_days field already provided, but noted for any future day-of-week or seasonal analysis.</w:t>
      </w:r>
    </w:p>
    <w:p w14:paraId="4E120652">
      <w:pPr>
        <w:spacing w:after="160"/>
      </w:pPr>
      <w:r>
        <w:t>The original dataset was not modified; all derived fields (distance bands, prior-no-show buckets, booking lead-time bands) were added as helper columns in a separate working copy.</w:t>
      </w:r>
    </w:p>
    <w:p w14:paraId="7C541F0D">
      <w:pPr>
        <w:pStyle w:val="2"/>
        <w:spacing w:before="320" w:after="160"/>
      </w:pPr>
      <w:r>
        <w:t>3. Exploratory Data Analysis</w:t>
      </w:r>
    </w:p>
    <w:p w14:paraId="339ADF51">
      <w:pPr>
        <w:spacing w:after="160"/>
      </w:pPr>
      <w:r>
        <w:t>Week 5 EDA moved beyond Week 4's single-variable checks into interactions and combinations. Six findings were investigated:</w:t>
      </w:r>
    </w:p>
    <w:p w14:paraId="531A5B64">
      <w:pPr>
        <w:pStyle w:val="4"/>
        <w:spacing w:before="200" w:after="100"/>
      </w:pPr>
      <w:r>
        <w:t>3.1 Reminders × Distance (interaction)</w:t>
      </w:r>
    </w:p>
    <w:p w14:paraId="37DC8940">
      <w:pPr>
        <w:spacing w:after="160"/>
      </w:pPr>
      <w:r>
        <w:t>The reminder effect is not uniform across distance: for 5-15km patients, reminders cut the no-show rate by ~6 points (51.8% → 45.6%), but for 15km+ patients the effect nearly disappears (54.8% → 53.8%). This suggests distant patients may be missing appointments for reasons reminders cannot fix, such as transport cost or travel time.</w:t>
      </w:r>
    </w:p>
    <w:p w14:paraId="79C45B6D">
      <w:pPr>
        <w:pStyle w:val="4"/>
        <w:spacing w:before="200" w:after="100"/>
      </w:pPr>
      <w:r>
        <w:t>3.2 Personal no-show rate (history, normalised)</w:t>
      </w:r>
    </w:p>
    <w:p w14:paraId="5D94DCC9">
      <w:pPr>
        <w:spacing w:after="160"/>
      </w:pPr>
      <w:r>
        <w:t>Using previous_no_shows as a proportion of previous_appointments (rather than a raw count) produced a cleaner gradient: 43.6% (0% personal rate) → 54.1% (1-34%) → 57.2% (35%+), confirming the KPI 2 pattern on a fairer, visit-adjusted basis.</w:t>
      </w:r>
    </w:p>
    <w:p w14:paraId="5E4E9437">
      <w:pPr>
        <w:pStyle w:val="4"/>
        <w:spacing w:before="200" w:after="100"/>
      </w:pPr>
      <w:r>
        <w:t>3.3 Appointment day</w:t>
      </w:r>
    </w:p>
    <w:p w14:paraId="17F47C67">
      <w:pPr>
        <w:spacing w:after="160"/>
      </w:pPr>
      <w:r>
        <w:t>No-show rate is essentially flat across all seven days of the week (46.6%-50.5%). Reported honestly as a null result rather than a forced pattern.</w:t>
      </w:r>
    </w:p>
    <w:p w14:paraId="16772398">
      <w:pPr>
        <w:pStyle w:val="4"/>
        <w:spacing w:before="200" w:after="100"/>
      </w:pPr>
      <w:r>
        <w:t>3.4 Waiting time by appointment type (Attended only)</w:t>
      </w:r>
    </w:p>
    <w:p w14:paraId="078A6471">
      <w:pPr>
        <w:spacing w:after="160"/>
      </w:pPr>
      <w:r>
        <w:t>Average wait time ranges narrowly from 23.9 to 24.8 minutes across all four appointment types — under a one-minute spread. Also a null result; wait time does not meaningfully differ by appointment type, and (per Week 4) cannot be used predictively regardless, since it is recorded even for No-Show/Cancelled appointments.</w:t>
      </w:r>
    </w:p>
    <w:p w14:paraId="7C0B8465">
      <w:pPr>
        <w:pStyle w:val="4"/>
        <w:spacing w:before="200" w:after="100"/>
      </w:pPr>
      <w:r>
        <w:t>3.5 Distance outliers</w:t>
      </w:r>
    </w:p>
    <w:p w14:paraId="26143BA6">
      <w:pPr>
        <w:spacing w:after="160"/>
      </w:pPr>
      <w:r>
        <w:t>Using the IQR method (Q1 = 5.3km, Q3 = 13.5km, upper fence = 25.8km), 148 patients (about 3% of the dataset) fall beyond the fence. This outlier group no-shows at 61.0%, compared to 48.0% for everyone else — a materially stronger signal than the modest gap suggested by simple averages in Week 4.</w:t>
      </w:r>
    </w:p>
    <w:p w14:paraId="3948D9E7">
      <w:pPr>
        <w:pStyle w:val="4"/>
        <w:spacing w:before="200" w:after="100"/>
      </w:pPr>
      <w:r>
        <w:t>3.6 Cancellations vs. No-Shows</w:t>
      </w:r>
    </w:p>
    <w:p w14:paraId="4004D34F">
      <w:pPr>
        <w:spacing w:after="160"/>
      </w:pPr>
      <w:r>
        <w:t>Cancelled patients consistently sit between Attended and No-Show on both distance (10.11km) and booking lead time (29.6 days). Since cancelling still requires the patient to notify the clinic — unlike a no-show, which requires no action — this suggests cancellations share some of the same underlying risk factors as no-shows, but represent a more engaged, milder version of that risk. Worth treating as an early-warning signal rather than routine housekeeping.</w:t>
      </w:r>
    </w:p>
    <w:p w14:paraId="2BEF2118">
      <w:pPr>
        <w:pStyle w:val="2"/>
        <w:spacing w:before="320" w:after="160"/>
      </w:pPr>
      <w:r>
        <w:t>4. KPI Development</w:t>
      </w:r>
    </w:p>
    <w:p w14:paraId="7FA2156B">
      <w:pPr>
        <w:spacing w:after="160"/>
      </w:pPr>
      <w:r>
        <w:t>Per the Week 5 brief, all 5 KPIs proposed in Week 4 were selected, calculated, and interpreted, plus one bonus compound KPI produced directly from this week's EDA.</w:t>
      </w:r>
    </w:p>
    <w:p w14:paraId="1AFC0BF1">
      <w:pPr>
        <w:spacing w:before="220" w:after="80"/>
      </w:pPr>
      <w:r>
        <w:rPr>
          <w:b/>
          <w:bCs/>
          <w:color w:val="1F4E79"/>
          <w:sz w:val="24"/>
          <w:szCs w:val="24"/>
        </w:rPr>
        <w:t>KPI 1 — No-show rate by distance band</w:t>
      </w:r>
    </w:p>
    <w:p w14:paraId="226BB5B7">
      <w:pPr>
        <w:spacing w:after="60"/>
      </w:pPr>
      <w:r>
        <w:rPr>
          <w:b/>
          <w:bCs/>
        </w:rPr>
        <w:t xml:space="preserve">Definition: </w:t>
      </w:r>
      <w:r>
        <w:t>The percentage of appointments resulting in a no-show, grouped into four distance bands.</w:t>
      </w:r>
    </w:p>
    <w:p w14:paraId="27C900C3">
      <w:pPr>
        <w:spacing w:after="60"/>
      </w:pPr>
      <w:r>
        <w:rPr>
          <w:b/>
          <w:bCs/>
        </w:rPr>
        <w:t xml:space="preserve">Why it matters: </w:t>
      </w:r>
      <w:r>
        <w:t>A simple average hid this pattern in Week 4 (9.67 vs 10.53km); banding reveals risk is concentrated in a specific group rather than spread evenly.</w:t>
      </w:r>
    </w:p>
    <w:p w14:paraId="37024859">
      <w:pPr>
        <w:spacing w:after="60"/>
      </w:pPr>
      <w:r>
        <w:rPr>
          <w:b/>
          <w:bCs/>
        </w:rPr>
        <w:t xml:space="preserve">Calculation: </w:t>
      </w:r>
      <w:r>
        <w:t>46.5% → 47.3% → 52.8% → 61.0% as distance increases.</w:t>
      </w:r>
    </w:p>
    <w:p w14:paraId="58B17FDD">
      <w:pPr>
        <w:spacing w:after="60"/>
      </w:pPr>
      <w:r>
        <w:rPr>
          <w:b/>
          <w:bCs/>
        </w:rPr>
        <w:t xml:space="preserve">Linked to: </w:t>
      </w:r>
      <w:r>
        <w:t>Q1</w:t>
      </w:r>
    </w:p>
    <w:p w14:paraId="5075A658">
      <w:pPr>
        <w:spacing w:after="160"/>
      </w:pPr>
      <w:r>
        <w:rPr>
          <w:b/>
          <w:bCs/>
        </w:rPr>
        <w:t xml:space="preserve">Interpretation: </w:t>
      </w:r>
      <w:r>
        <w:t>Distance barely matters for the majority of patients (&lt;15km), but the 148 patients living 25.8km+ away no-show at 61%, 14+ points above the clinic average — a targeted-intervention opportunity rather than a clinic-wide policy.</w:t>
      </w:r>
    </w:p>
    <w:p w14:paraId="1CFF7F5B">
      <w:pPr>
        <w:spacing w:before="220" w:after="80"/>
      </w:pPr>
      <w:r>
        <w:rPr>
          <w:b/>
          <w:bCs/>
          <w:color w:val="1F4E79"/>
          <w:sz w:val="24"/>
          <w:szCs w:val="24"/>
        </w:rPr>
        <w:t>KPI 2 — Outcome rate by prior no-show count</w:t>
      </w:r>
    </w:p>
    <w:p w14:paraId="60919B70">
      <w:pPr>
        <w:spacing w:after="60"/>
      </w:pPr>
      <w:r>
        <w:rPr>
          <w:b/>
          <w:bCs/>
        </w:rPr>
        <w:t xml:space="preserve">Definition: </w:t>
      </w:r>
      <w:r>
        <w:t>The percentage of appointments resulting in a no-show, grouped by the patient's prior no-show count (0 / 1 / 2+).</w:t>
      </w:r>
    </w:p>
    <w:p w14:paraId="2E2738F7">
      <w:pPr>
        <w:spacing w:after="60"/>
      </w:pPr>
      <w:r>
        <w:rPr>
          <w:b/>
          <w:bCs/>
        </w:rPr>
        <w:t xml:space="preserve">Why it matters: </w:t>
      </w:r>
      <w:r>
        <w:t>Identifies which patients are statistically most likely to miss their next appointment, enabling targeted rather than blanket intervention.</w:t>
      </w:r>
    </w:p>
    <w:p w14:paraId="78338D88">
      <w:pPr>
        <w:spacing w:after="60"/>
      </w:pPr>
      <w:r>
        <w:rPr>
          <w:b/>
          <w:bCs/>
        </w:rPr>
        <w:t xml:space="preserve">Calculation: </w:t>
      </w:r>
      <w:r>
        <w:t>43.5% (0 prior) → 53.5% (1 prior) → 61.0% (2+ prior) — the cleanest, steadiest gradient in the dataset.</w:t>
      </w:r>
    </w:p>
    <w:p w14:paraId="0C95E577">
      <w:pPr>
        <w:spacing w:after="60"/>
      </w:pPr>
      <w:r>
        <w:rPr>
          <w:b/>
          <w:bCs/>
        </w:rPr>
        <w:t xml:space="preserve">Linked to: </w:t>
      </w:r>
      <w:r>
        <w:t>Q2</w:t>
      </w:r>
    </w:p>
    <w:p w14:paraId="5E7C8936">
      <w:pPr>
        <w:spacing w:after="160"/>
      </w:pPr>
      <w:r>
        <w:rPr>
          <w:b/>
          <w:bCs/>
        </w:rPr>
        <w:t xml:space="preserve">Interpretation: </w:t>
      </w:r>
      <w:r>
        <w:t>Best treated as a flag for identifying at-risk patients, not a proven lever for reducing future risk — the data cannot confirm what is actually driving the pattern (see Limitations).</w:t>
      </w:r>
    </w:p>
    <w:p w14:paraId="59F3280D">
      <w:pPr>
        <w:spacing w:before="220" w:after="80"/>
      </w:pPr>
      <w:r>
        <w:rPr>
          <w:b/>
          <w:bCs/>
          <w:color w:val="1F4E79"/>
          <w:sz w:val="24"/>
          <w:szCs w:val="24"/>
        </w:rPr>
        <w:t>KPI 3 — Outcome rate by age group × appointment type</w:t>
      </w:r>
    </w:p>
    <w:p w14:paraId="2EB08573">
      <w:pPr>
        <w:spacing w:after="60"/>
      </w:pPr>
      <w:r>
        <w:rPr>
          <w:b/>
          <w:bCs/>
        </w:rPr>
        <w:t xml:space="preserve">Definition: </w:t>
      </w:r>
      <w:r>
        <w:t>The percentage of appointments resulting in a no-show, cross-tabulated by patient age group and appointment type.</w:t>
      </w:r>
    </w:p>
    <w:p w14:paraId="746B8CDC">
      <w:pPr>
        <w:spacing w:after="60"/>
      </w:pPr>
      <w:r>
        <w:rPr>
          <w:b/>
          <w:bCs/>
        </w:rPr>
        <w:t xml:space="preserve">Why it matters: </w:t>
      </w:r>
      <w:r>
        <w:t>Age alone appeared flat in Week 4; combining it with appointment type reveals compound risk that a single variable hides.</w:t>
      </w:r>
    </w:p>
    <w:p w14:paraId="7BF259AD">
      <w:pPr>
        <w:spacing w:after="60"/>
      </w:pPr>
      <w:r>
        <w:rPr>
          <w:b/>
          <w:bCs/>
        </w:rPr>
        <w:t xml:space="preserve">Calculation: </w:t>
      </w:r>
      <w:r>
        <w:t>Ranges from 41.8% (65+, General Consultation) to 62.4% (45-54, Diagnostic Test) — a 20-point spread.</w:t>
      </w:r>
    </w:p>
    <w:p w14:paraId="6C28D472">
      <w:pPr>
        <w:spacing w:after="60"/>
      </w:pPr>
      <w:r>
        <w:rPr>
          <w:b/>
          <w:bCs/>
        </w:rPr>
        <w:t xml:space="preserve">Linked to: </w:t>
      </w:r>
      <w:r>
        <w:t>Q3</w:t>
      </w:r>
    </w:p>
    <w:p w14:paraId="5A4D088F">
      <w:pPr>
        <w:spacing w:after="160"/>
      </w:pPr>
      <w:r>
        <w:rPr>
          <w:b/>
          <w:bCs/>
        </w:rPr>
        <w:t xml:space="preserve">Interpretation: </w:t>
      </w:r>
      <w:r>
        <w:t>45-54 patients booking Diagnostic Tests are a specific, evidence-based outreach target, rather than assuming middle-aged patients are broadly risky. Note: the 62.4% figure is based on only 85 appointments (see Limitations).</w:t>
      </w:r>
    </w:p>
    <w:p w14:paraId="37EE3A62">
      <w:pPr>
        <w:spacing w:before="220" w:after="80"/>
      </w:pPr>
      <w:r>
        <w:rPr>
          <w:b/>
          <w:bCs/>
          <w:color w:val="1F4E79"/>
          <w:sz w:val="24"/>
          <w:szCs w:val="24"/>
        </w:rPr>
        <w:t>KPI 4 — Outcome rate by reminder channel</w:t>
      </w:r>
    </w:p>
    <w:p w14:paraId="6B5FE2E1">
      <w:pPr>
        <w:spacing w:after="60"/>
      </w:pPr>
      <w:r>
        <w:rPr>
          <w:b/>
          <w:bCs/>
        </w:rPr>
        <w:t xml:space="preserve">Definition: </w:t>
      </w:r>
      <w:r>
        <w:t>The percentage of appointments resulting in a no-show, grouped by reminder channel used (including “No reminder” as its own category).</w:t>
      </w:r>
    </w:p>
    <w:p w14:paraId="121D40D5">
      <w:pPr>
        <w:spacing w:after="60"/>
      </w:pPr>
      <w:r>
        <w:rPr>
          <w:b/>
          <w:bCs/>
        </w:rPr>
        <w:t xml:space="preserve">Why it matters: </w:t>
      </w:r>
      <w:r>
        <w:t>Tells the clinic not just whether reminders help, but which specific channel is most effective — a directly actionable choice.</w:t>
      </w:r>
    </w:p>
    <w:p w14:paraId="1B779DD8">
      <w:pPr>
        <w:spacing w:after="60"/>
      </w:pPr>
      <w:r>
        <w:rPr>
          <w:b/>
          <w:bCs/>
        </w:rPr>
        <w:t xml:space="preserve">Calculation: </w:t>
      </w:r>
      <w:r>
        <w:t>SMS 45.8% &lt; Email 48.4% &lt; WhatsApp 49.8% &lt; No reminder 51.4%.</w:t>
      </w:r>
    </w:p>
    <w:p w14:paraId="03D7048C">
      <w:pPr>
        <w:spacing w:after="60"/>
      </w:pPr>
      <w:r>
        <w:rPr>
          <w:b/>
          <w:bCs/>
        </w:rPr>
        <w:t xml:space="preserve">Linked to: </w:t>
      </w:r>
      <w:r>
        <w:t>Q4</w:t>
      </w:r>
    </w:p>
    <w:p w14:paraId="509AC7A1">
      <w:pPr>
        <w:spacing w:after="160"/>
      </w:pPr>
      <w:r>
        <w:rPr>
          <w:b/>
          <w:bCs/>
        </w:rPr>
        <w:t xml:space="preserve">Interpretation: </w:t>
      </w:r>
      <w:r>
        <w:t>Any reminder outperforms none; SMS is the strongest channel. Correlational — patients who opt into SMS may differ from WhatsApp users in other ways — but still a low-cost, actionable lever.</w:t>
      </w:r>
    </w:p>
    <w:p w14:paraId="26D534D9">
      <w:pPr>
        <w:spacing w:before="220" w:after="80"/>
      </w:pPr>
      <w:r>
        <w:rPr>
          <w:b/>
          <w:bCs/>
          <w:color w:val="1F4E79"/>
          <w:sz w:val="24"/>
          <w:szCs w:val="24"/>
        </w:rPr>
        <w:t>KPI 5 — No-show rate by booking lead-time band</w:t>
      </w:r>
    </w:p>
    <w:p w14:paraId="5D59A55B">
      <w:pPr>
        <w:spacing w:after="60"/>
      </w:pPr>
      <w:r>
        <w:rPr>
          <w:b/>
          <w:bCs/>
        </w:rPr>
        <w:t xml:space="preserve">Definition: </w:t>
      </w:r>
      <w:r>
        <w:t>The percentage of appointments resulting in a no-show, grouped into booking lead-time bands.</w:t>
      </w:r>
    </w:p>
    <w:p w14:paraId="3ACCC85E">
      <w:pPr>
        <w:spacing w:after="60"/>
      </w:pPr>
      <w:r>
        <w:rPr>
          <w:b/>
          <w:bCs/>
        </w:rPr>
        <w:t xml:space="preserve">Why it matters: </w:t>
      </w:r>
      <w:r>
        <w:t>Distance and history describe who is at risk; lead time describes a schedulable, changeable factor the clinic has more direct control over.</w:t>
      </w:r>
    </w:p>
    <w:p w14:paraId="06938374">
      <w:pPr>
        <w:spacing w:after="60"/>
      </w:pPr>
      <w:r>
        <w:rPr>
          <w:b/>
          <w:bCs/>
        </w:rPr>
        <w:t xml:space="preserve">Calculation: </w:t>
      </w:r>
      <w:r>
        <w:t>27.8% (&lt;1wk) → 39.7% (1-4wks) → 59.6% (1mo+).</w:t>
      </w:r>
    </w:p>
    <w:p w14:paraId="5FAF1D62">
      <w:pPr>
        <w:spacing w:after="60"/>
      </w:pPr>
      <w:r>
        <w:rPr>
          <w:b/>
          <w:bCs/>
        </w:rPr>
        <w:t xml:space="preserve">Linked to: </w:t>
      </w:r>
      <w:r>
        <w:t>Q5</w:t>
      </w:r>
    </w:p>
    <w:p w14:paraId="494B61C0">
      <w:pPr>
        <w:spacing w:after="160"/>
      </w:pPr>
      <w:r>
        <w:rPr>
          <w:b/>
          <w:bCs/>
        </w:rPr>
        <w:t xml:space="preserve">Interpretation: </w:t>
      </w:r>
      <w:r>
        <w:t>The strongest single-variable gradient in the dataset. Booking patients sooner where possible is a broadly applicable, low-cost lever.</w:t>
      </w:r>
    </w:p>
    <w:p w14:paraId="4068289F">
      <w:pPr>
        <w:spacing w:before="220" w:after="80"/>
      </w:pPr>
      <w:r>
        <w:rPr>
          <w:b/>
          <w:bCs/>
          <w:color w:val="1F4E79"/>
          <w:sz w:val="24"/>
          <w:szCs w:val="24"/>
        </w:rPr>
        <w:t>Bonus KPI — Distance × Booking lead-time interaction</w:t>
      </w:r>
    </w:p>
    <w:p w14:paraId="1623A406">
      <w:pPr>
        <w:spacing w:after="60"/>
      </w:pPr>
      <w:r>
        <w:rPr>
          <w:b/>
          <w:bCs/>
        </w:rPr>
        <w:t xml:space="preserve">Definition: </w:t>
      </w:r>
      <w:r>
        <w:t>No-show rate cross-tabulated by distance band and booking lead-time band together.</w:t>
      </w:r>
    </w:p>
    <w:p w14:paraId="636B3A42">
      <w:pPr>
        <w:spacing w:after="60"/>
      </w:pPr>
      <w:r>
        <w:rPr>
          <w:b/>
          <w:bCs/>
        </w:rPr>
        <w:t xml:space="preserve">Why it matters: </w:t>
      </w:r>
      <w:r>
        <w:t>Tests whether the two strongest individual KPIs act independently or interact — directly relevant to which intervention to prioritise.</w:t>
      </w:r>
    </w:p>
    <w:p w14:paraId="127E73FB">
      <w:pPr>
        <w:spacing w:after="60"/>
      </w:pPr>
      <w:r>
        <w:rPr>
          <w:b/>
          <w:bCs/>
        </w:rPr>
        <w:t xml:space="preserve">Calculation: </w:t>
      </w:r>
      <w:r>
        <w:t>Short lead time (&lt;1wk) drops no-show risk sharply for nearby patients, but the 25.8km+ group still no-shows at 57.1% even when booked under a week out.</w:t>
      </w:r>
    </w:p>
    <w:p w14:paraId="58150204">
      <w:pPr>
        <w:spacing w:after="60"/>
      </w:pPr>
      <w:r>
        <w:rPr>
          <w:b/>
          <w:bCs/>
        </w:rPr>
        <w:t xml:space="preserve">Linked to: </w:t>
      </w:r>
      <w:r>
        <w:t>Q1 + Q5</w:t>
      </w:r>
    </w:p>
    <w:p w14:paraId="55993C9A">
      <w:pPr>
        <w:spacing w:after="160"/>
      </w:pPr>
      <w:r>
        <w:rPr>
          <w:b/>
          <w:bCs/>
        </w:rPr>
        <w:t xml:space="preserve">Interpretation: </w:t>
      </w:r>
      <w:r>
        <w:t>Short-lead-time/reminder interventions will help most patients but will not meaningfully help the distance-risk group — that group needs an intervention addressing distance itself (transport, telehealth), not scheduling.</w:t>
      </w:r>
    </w:p>
    <w:p w14:paraId="50A14B5E">
      <w:pPr>
        <w:pStyle w:val="2"/>
        <w:spacing w:before="320" w:after="160"/>
      </w:pPr>
      <w:r>
        <w:t>5. Dashboard / Analytical Visualisation</w:t>
      </w:r>
    </w:p>
    <w:p w14:paraId="1A18BC8C">
      <w:pPr>
        <w:spacing w:after="160"/>
      </w:pPr>
      <w:r>
        <w:t>An initial Power BI dashboard was built covering all 5 KPIs plus the bonus interaction finding: a summary row (total appointments, overall no-show rate, overall attendance rate), one bar chart per single-variable KPI, and two matrix visuals with conditional-formatting colour scales for the two compound findings (age × appointment type; distance × booking lead time). All figures were verified against the Excel pivot calculations above.</w:t>
      </w:r>
    </w:p>
    <w:p w14:paraId="0F06D675">
      <w:pPr>
        <w:spacing w:before="120" w:after="12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7700" cy="2831465"/>
            <wp:effectExtent l="0" t="0" r="0" b="635"/>
            <wp:docPr id="1" name="Picture 1" descr="Screenshot 2026-09-05 204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05 2045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6130">
      <w:pPr>
        <w:spacing w:after="160"/>
      </w:pPr>
      <w:r>
        <w:rPr>
          <w:i/>
          <w:iCs/>
        </w:rPr>
        <w:t>Figure 1: Initial HealthConnect analytics dashboard (Power BI) — summary cards, four single-variable KPI charts, and two compound matrix visuals.</w:t>
      </w:r>
      <w:bookmarkStart w:id="0" w:name="_GoBack"/>
      <w:bookmarkEnd w:id="0"/>
    </w:p>
    <w:p w14:paraId="31BE4971">
      <w:pPr>
        <w:pStyle w:val="2"/>
        <w:spacing w:before="320" w:after="160"/>
      </w:pPr>
      <w:r>
        <w:t>6. Business Insights &amp; Recommendations</w:t>
      </w:r>
    </w:p>
    <w:p w14:paraId="688E7602">
      <w:pPr>
        <w:spacing w:after="160"/>
      </w:pPr>
      <w:r>
        <w:t>At least 5 business insights were developed from the KPIs and EDA above, each with a stated implication for HealthConnect. A combined priority recommendation synthesises the two most actionable findings.</w:t>
      </w:r>
    </w:p>
    <w:p w14:paraId="413D44D3">
      <w:pPr>
        <w:spacing w:before="200" w:after="80"/>
      </w:pPr>
      <w:r>
        <w:rPr>
          <w:b/>
          <w:bCs/>
          <w:color w:val="1F4E79"/>
          <w:sz w:val="24"/>
          <w:szCs w:val="24"/>
        </w:rPr>
        <w:t>Priority Recommendation: Target SMS reminders at high-risk patients.</w:t>
      </w:r>
    </w:p>
    <w:p w14:paraId="0EDF4C31">
      <w:pPr>
        <w:spacing w:after="160"/>
      </w:pPr>
      <w:r>
        <w:t>Patients with 2+ prior no-shows — a small, identifiable group making up roughly 10.6% of patients (531 of 5,000) — have a 61.0% no-show rate on their current appointment, compared to 43.5% for patients with no prior no-shows. Separately, SMS is the most effective reminder channel (45.8% no-show rate vs. 51.4% for no reminder). Combining these findings: HealthConnect could prioritise SMS-based reminders and confirmation contact specifically for patients flagged with 2+ prior no-shows — using the highest-performing channel on the group most likely to need it. This targets future appointments for the at-risk group; prior no-show history itself cannot be changed, only used to flag who needs the intervention.</w:t>
      </w:r>
    </w:p>
    <w:p w14:paraId="6229D2CD">
      <w:pPr>
        <w:spacing w:before="160" w:after="60"/>
      </w:pPr>
      <w:r>
        <w:rPr>
          <w:b/>
          <w:bCs/>
        </w:rPr>
        <w:t>Insight 1: Distance risk is concentrated in a small tail, not spread evenly.</w:t>
      </w:r>
    </w:p>
    <w:p w14:paraId="53CEAEDD">
      <w:pPr>
        <w:spacing w:after="60"/>
      </w:pPr>
      <w:r>
        <w:t>Most patients (under 15km) sit around 46-47% no-show regardless of exact distance, but the 148 patients (about 3%) living beyond 25.8km no-show at 61.0%.</w:t>
      </w:r>
    </w:p>
    <w:p w14:paraId="47B39B00">
      <w:pPr>
        <w:spacing w:after="160"/>
      </w:pPr>
      <w:r>
        <w:rPr>
          <w:b/>
          <w:bCs/>
          <w:i/>
          <w:iCs/>
        </w:rPr>
        <w:t xml:space="preserve">Implication: </w:t>
      </w:r>
      <w:r>
        <w:rPr>
          <w:i/>
          <w:iCs/>
        </w:rPr>
        <w:t>A clinic-wide distance policy would waste resources on the majority of patients distance barely affects. A small, targeted intervention (transport support or telehealth) for this ~3% outlier group offers a far higher return on effort.</w:t>
      </w:r>
    </w:p>
    <w:p w14:paraId="44A68122">
      <w:pPr>
        <w:spacing w:before="160" w:after="60"/>
      </w:pPr>
      <w:r>
        <w:rPr>
          <w:b/>
          <w:bCs/>
        </w:rPr>
        <w:t>Insight 2: Reminder channel is a low-cost, immediately actionable lever.</w:t>
      </w:r>
    </w:p>
    <w:p w14:paraId="7311E104">
      <w:pPr>
        <w:spacing w:after="60"/>
      </w:pPr>
      <w:r>
        <w:t>Any reminder reduces no-shows compared to none (45.8-49.8% vs. 51.4%), and SMS consistently outperforms WhatsApp and Email.</w:t>
      </w:r>
    </w:p>
    <w:p w14:paraId="302F1B3D">
      <w:pPr>
        <w:spacing w:after="160"/>
      </w:pPr>
      <w:r>
        <w:rPr>
          <w:b/>
          <w:bCs/>
          <w:i/>
          <w:iCs/>
        </w:rPr>
        <w:t xml:space="preserve">Implication: </w:t>
      </w:r>
      <w:r>
        <w:rPr>
          <w:i/>
          <w:iCs/>
        </w:rPr>
        <w:t>Switching the default reminder channel to SMS-first is one of the fastest, cheapest changes HealthConnect could make — no new infrastructure required — and should be an early-win recommendation.</w:t>
      </w:r>
    </w:p>
    <w:p w14:paraId="39519B2D">
      <w:pPr>
        <w:spacing w:before="160" w:after="60"/>
      </w:pPr>
      <w:r>
        <w:rPr>
          <w:b/>
          <w:bCs/>
        </w:rPr>
        <w:t>Insight 3: Short booking lead time only protects patients who live nearby.</w:t>
      </w:r>
    </w:p>
    <w:p w14:paraId="5909C35A">
      <w:pPr>
        <w:spacing w:after="60"/>
      </w:pPr>
      <w:r>
        <w:t>Booking within a week drops no-show risk sharply overall (27.8% vs 59.6% for 1-month-plus), but this protection nearly disappears for the 25.8km+ distance group (still 57.1% even when booked under a week out).</w:t>
      </w:r>
    </w:p>
    <w:p w14:paraId="794458A7">
      <w:pPr>
        <w:spacing w:after="160"/>
      </w:pPr>
      <w:r>
        <w:rPr>
          <w:b/>
          <w:bCs/>
          <w:i/>
          <w:iCs/>
        </w:rPr>
        <w:t xml:space="preserve">Implication: </w:t>
      </w:r>
      <w:r>
        <w:rPr>
          <w:i/>
          <w:iCs/>
        </w:rPr>
        <w:t>Tightening booking windows will help most patients but will not meaningfully help the distance-risk group — these should be treated as two separate problems requiring separate fixes.</w:t>
      </w:r>
    </w:p>
    <w:p w14:paraId="245BF0C7">
      <w:pPr>
        <w:spacing w:before="160" w:after="60"/>
      </w:pPr>
      <w:r>
        <w:rPr>
          <w:b/>
          <w:bCs/>
        </w:rPr>
        <w:t>Insight 4: One age × appointment-type combination carries disproportionate risk.</w:t>
      </w:r>
    </w:p>
    <w:p w14:paraId="66E6D014">
      <w:pPr>
        <w:spacing w:after="60"/>
      </w:pPr>
      <w:r>
        <w:t>Age alone looked nearly flat in Week 4, but combined with appointment type, patients aged 45-54 booking Diagnostic Tests no-show at 62.4%, the single highest-risk cell in the dataset, while patients 65+ booking General Consultations are the most reliable at 41.8%.</w:t>
      </w:r>
    </w:p>
    <w:p w14:paraId="21990011">
      <w:pPr>
        <w:spacing w:after="160"/>
      </w:pPr>
      <w:r>
        <w:rPr>
          <w:b/>
          <w:bCs/>
          <w:i/>
          <w:iCs/>
        </w:rPr>
        <w:t xml:space="preserve">Implication: </w:t>
      </w:r>
      <w:r>
        <w:rPr>
          <w:i/>
          <w:iCs/>
        </w:rPr>
        <w:t>HealthConnect can target confirmation outreach specifically at 45-54 patients scheduling diagnostic tests — a precise, evidence-based target rather than a broad demographic assumption. (Note: based on 85 appointments — see Limitations.)</w:t>
      </w:r>
    </w:p>
    <w:p w14:paraId="77EDF231">
      <w:pPr>
        <w:spacing w:before="160" w:after="60"/>
      </w:pPr>
      <w:r>
        <w:rPr>
          <w:b/>
          <w:bCs/>
        </w:rPr>
        <w:t>Insight 5: Averages can hide real effects — a methodological insight, not just a data one.</w:t>
      </w:r>
    </w:p>
    <w:p w14:paraId="29362A0F">
      <w:pPr>
        <w:spacing w:after="60"/>
      </w:pPr>
      <w:r>
        <w:t>Several variables that appeared to have little effect in Week 4 (distance, age) turned out to have strong effects once properly banded or combined with a second variable (appointment type, booking lead time).</w:t>
      </w:r>
    </w:p>
    <w:p w14:paraId="652E4CF3">
      <w:pPr>
        <w:spacing w:after="160"/>
      </w:pPr>
      <w:r>
        <w:rPr>
          <w:b/>
          <w:bCs/>
          <w:i/>
          <w:iCs/>
        </w:rPr>
        <w:t xml:space="preserve">Implication: </w:t>
      </w:r>
      <w:r>
        <w:rPr>
          <w:i/>
          <w:iCs/>
        </w:rPr>
        <w:t>An average alone can conceal a real pattern that only appears in a subgroup or a combination of variables — a caution worth applying to any future HealthConnect analysis, including the Data Science track's feature engineering.</w:t>
      </w:r>
    </w:p>
    <w:p w14:paraId="57D9FD2F">
      <w:pPr>
        <w:pStyle w:val="2"/>
        <w:spacing w:before="320" w:after="160"/>
      </w:pPr>
      <w:r>
        <w:t>7. Cross-Track Collaboration</w:t>
      </w:r>
    </w:p>
    <w:p w14:paraId="434B3A62">
      <w:pPr>
        <w:spacing w:after="160"/>
      </w:pPr>
      <w:r>
        <w:t>Reached out to a Data Science-track cohort-mate to share the KPI findings most relevant to no-show prediction (prior no-show count and booking lead time as strong signals; the waiting_time_minutes data-leakage caution) and to ask what would help their feature selection and target-variable definition, including their planned treatment of cancellations. [Awaiting reply — to be completed with: which track, what was exchanged, why it was relevant, and what changed or improved as a result, once the response is received.]</w:t>
      </w:r>
    </w:p>
    <w:p w14:paraId="5482D85B">
      <w:pPr>
        <w:pStyle w:val="2"/>
        <w:spacing w:before="320" w:after="160"/>
      </w:pPr>
      <w:r>
        <w:t>8. Assumptions, Limitations, Risks &amp; Dependencies (Week 4 → Week 5 Review)</w:t>
      </w:r>
    </w:p>
    <w:tbl>
      <w:tblPr>
        <w:tblStyle w:val="9"/>
        <w:tblW w:w="9400" w:type="dxa"/>
        <w:tblInd w:w="0" w:type="dxa"/>
        <w:tblBorders>
          <w:top w:val="single" w:color="AAAAAA" w:sz="2" w:space="0"/>
          <w:left w:val="single" w:color="AAAAAA" w:sz="2" w:space="0"/>
          <w:bottom w:val="single" w:color="AAAAAA" w:sz="2" w:space="0"/>
          <w:right w:val="single" w:color="AAAAAA" w:sz="2" w:space="0"/>
          <w:insideH w:val="single" w:color="AAAAAA" w:sz="2" w:space="0"/>
          <w:insideV w:val="single" w:color="AAAAA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36"/>
        <w:gridCol w:w="1790"/>
        <w:gridCol w:w="4274"/>
      </w:tblGrid>
      <w:tr w14:paraId="12E44210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1D467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CAA3E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23C0B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14:paraId="1A84A832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85B13">
            <w:r>
              <w:rPr>
                <w:b w:val="0"/>
                <w:bCs w:val="0"/>
                <w:sz w:val="20"/>
                <w:szCs w:val="20"/>
              </w:rPr>
              <w:t>reminder_channel structurally null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7AA38">
            <w:r>
              <w:rPr>
                <w:b w:val="0"/>
                <w:bCs w:val="0"/>
                <w:sz w:val="20"/>
                <w:szCs w:val="20"/>
              </w:rPr>
              <w:t>Resolved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D5541">
            <w:r>
              <w:rPr>
                <w:b w:val="0"/>
                <w:bCs w:val="0"/>
                <w:sz w:val="20"/>
                <w:szCs w:val="20"/>
              </w:rPr>
              <w:t>Treated “No reminder” as its own category in the KPI rather than excluding those patients.</w:t>
            </w:r>
          </w:p>
        </w:tc>
      </w:tr>
      <w:tr w14:paraId="3A62F8CF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ED008">
            <w:r>
              <w:rPr>
                <w:b w:val="0"/>
                <w:bCs w:val="0"/>
                <w:sz w:val="20"/>
                <w:szCs w:val="20"/>
              </w:rPr>
              <w:t>Small missing gaps: distance/waiting time (~1-2%)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8FBC0">
            <w:r>
              <w:rPr>
                <w:b w:val="0"/>
                <w:bCs w:val="0"/>
                <w:sz w:val="20"/>
                <w:szCs w:val="20"/>
              </w:rPr>
              <w:t>Still relevant, unchanged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38AA1">
            <w:r>
              <w:rPr>
                <w:b w:val="0"/>
                <w:bCs w:val="0"/>
                <w:sz w:val="20"/>
                <w:szCs w:val="20"/>
              </w:rPr>
              <w:t>Excluded consistently across all Week 5 calculations; too small to materially affect results.</w:t>
            </w:r>
          </w:p>
        </w:tc>
      </w:tr>
      <w:tr w14:paraId="2721AF62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4A4C9">
            <w:r>
              <w:rPr>
                <w:b w:val="0"/>
                <w:bCs w:val="0"/>
                <w:sz w:val="20"/>
                <w:szCs w:val="20"/>
              </w:rPr>
              <w:t>Inflated no-show rate (48.5% vs. 15-30% real-world norm)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C08B7">
            <w:r>
              <w:rPr>
                <w:b w:val="0"/>
                <w:bCs w:val="0"/>
                <w:sz w:val="20"/>
                <w:szCs w:val="20"/>
              </w:rPr>
              <w:t>Still relevant, unchanged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C1B28">
            <w:r>
              <w:rPr>
                <w:b w:val="0"/>
                <w:bCs w:val="0"/>
                <w:sz w:val="20"/>
                <w:szCs w:val="20"/>
              </w:rPr>
              <w:t>All Week 5 percentages should be read as this dataset's pattern, not literal real-world figures.</w:t>
            </w:r>
          </w:p>
        </w:tc>
      </w:tr>
      <w:tr w14:paraId="0429DB57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1BF37">
            <w:r>
              <w:rPr>
                <w:b w:val="0"/>
                <w:bCs w:val="0"/>
                <w:sz w:val="20"/>
                <w:szCs w:val="20"/>
              </w:rPr>
              <w:t>No “reason for missed appointment” field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AD560">
            <w:r>
              <w:rPr>
                <w:b w:val="0"/>
                <w:bCs w:val="0"/>
                <w:sz w:val="20"/>
                <w:szCs w:val="20"/>
              </w:rPr>
              <w:t>Still relevant, unchanged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0AB6C">
            <w:r>
              <w:rPr>
                <w:b w:val="0"/>
                <w:bCs w:val="0"/>
                <w:sz w:val="20"/>
                <w:szCs w:val="20"/>
              </w:rPr>
              <w:t>Every Week 5 insight remains correlational, not causal.</w:t>
            </w:r>
          </w:p>
        </w:tc>
      </w:tr>
      <w:tr w14:paraId="7044B5B1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B23AC">
            <w:r>
              <w:rPr>
                <w:b w:val="0"/>
                <w:bCs w:val="0"/>
                <w:sz w:val="20"/>
                <w:szCs w:val="20"/>
              </w:rPr>
              <w:t>waiting_time_minutes data leakage risk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795EC">
            <w:r>
              <w:rPr>
                <w:b w:val="0"/>
                <w:bCs w:val="0"/>
                <w:sz w:val="20"/>
                <w:szCs w:val="20"/>
              </w:rPr>
              <w:t>Resolved/mitigated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AAFD6">
            <w:r>
              <w:rPr>
                <w:b w:val="0"/>
                <w:bCs w:val="0"/>
                <w:sz w:val="20"/>
                <w:szCs w:val="20"/>
              </w:rPr>
              <w:t>Fully excluded from predictive KPIs; used only descriptively (wait time by appointment type).</w:t>
            </w:r>
          </w:p>
        </w:tc>
      </w:tr>
      <w:tr w14:paraId="2052497A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3983E">
            <w:r>
              <w:rPr>
                <w:b w:val="0"/>
                <w:bCs w:val="0"/>
                <w:sz w:val="20"/>
                <w:szCs w:val="20"/>
              </w:rPr>
              <w:t>Equity risk in targeting recommendations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987F3">
            <w:r>
              <w:rPr>
                <w:b w:val="0"/>
                <w:bCs w:val="0"/>
                <w:sz w:val="20"/>
                <w:szCs w:val="20"/>
              </w:rPr>
              <w:t>Still relevant, more important now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38D1D">
            <w:r>
              <w:rPr>
                <w:b w:val="0"/>
                <w:bCs w:val="0"/>
                <w:sz w:val="20"/>
                <w:szCs w:val="20"/>
              </w:rPr>
              <w:t>Sharper this week since specific targeting recommendations (SMS to high-risk patients, transport support) are now proposed, not hypothetical.</w:t>
            </w:r>
          </w:p>
        </w:tc>
      </w:tr>
      <w:tr w14:paraId="613D30B4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33764">
            <w:r>
              <w:rPr>
                <w:b w:val="0"/>
                <w:bCs w:val="0"/>
                <w:sz w:val="20"/>
                <w:szCs w:val="20"/>
              </w:rPr>
              <w:t>NEW: small sample sizes inside the age × appointment-type matrix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9E5FA">
            <w:r>
              <w:rPr>
                <w:b w:val="0"/>
                <w:bCs w:val="0"/>
                <w:sz w:val="20"/>
                <w:szCs w:val="20"/>
              </w:rPr>
              <w:t>New this week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17FEF">
            <w:r>
              <w:rPr>
                <w:b w:val="0"/>
                <w:bCs w:val="0"/>
                <w:sz w:val="20"/>
                <w:szCs w:val="20"/>
              </w:rPr>
              <w:t>The 62.4% finding (45-54, Diagnostic Test) is based on only 85 appointments — a lead worth further testing, not a fully proven pattern. Good candidate for Data Science to validate statistically.</w:t>
            </w:r>
          </w:p>
        </w:tc>
      </w:tr>
    </w:tbl>
    <w:p w14:paraId="414C4E3D">
      <w:pPr>
        <w:spacing w:after="240"/>
      </w:pPr>
    </w:p>
    <w:p w14:paraId="1B455531">
      <w:pPr>
        <w:pStyle w:val="2"/>
        <w:spacing w:before="320" w:after="160"/>
      </w:pPr>
      <w:r>
        <w:t>Appendix: KPI Summary Table</w:t>
      </w:r>
    </w:p>
    <w:tbl>
      <w:tblPr>
        <w:tblStyle w:val="9"/>
        <w:tblW w:w="9400" w:type="dxa"/>
        <w:tblInd w:w="0" w:type="dxa"/>
        <w:tblBorders>
          <w:top w:val="single" w:color="AAAAAA" w:sz="2" w:space="0"/>
          <w:left w:val="single" w:color="AAAAAA" w:sz="2" w:space="0"/>
          <w:bottom w:val="single" w:color="AAAAAA" w:sz="2" w:space="0"/>
          <w:right w:val="single" w:color="AAAAAA" w:sz="2" w:space="0"/>
          <w:insideH w:val="single" w:color="AAAAAA" w:sz="2" w:space="0"/>
          <w:insideV w:val="single" w:color="AAAAA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200"/>
        <w:gridCol w:w="5000"/>
      </w:tblGrid>
      <w:tr w14:paraId="3D8BAF3D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5BBCC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A345F">
            <w:r>
              <w:rPr>
                <w:b/>
                <w:bCs/>
                <w:color w:val="FFFFFF"/>
                <w:sz w:val="20"/>
                <w:szCs w:val="20"/>
              </w:rPr>
              <w:t>Linked to</w:t>
            </w:r>
          </w:p>
        </w:tc>
        <w:tc>
          <w:tcPr>
            <w:tcW w:w="5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9006E">
            <w:r>
              <w:rPr>
                <w:b/>
                <w:bCs/>
                <w:color w:val="FFFFFF"/>
                <w:sz w:val="20"/>
                <w:szCs w:val="20"/>
              </w:rPr>
              <w:t>Week 5 calculated result</w:t>
            </w:r>
          </w:p>
        </w:tc>
      </w:tr>
      <w:tr w14:paraId="08A028CB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310E0">
            <w:r>
              <w:rPr>
                <w:b w:val="0"/>
                <w:bCs w:val="0"/>
                <w:sz w:val="20"/>
                <w:szCs w:val="20"/>
              </w:rPr>
              <w:t>No-show rate by distance band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61509">
            <w:r>
              <w:rPr>
                <w:b w:val="0"/>
                <w:bCs w:val="0"/>
                <w:sz w:val="20"/>
                <w:szCs w:val="20"/>
              </w:rPr>
              <w:t>Q1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F83C0">
            <w:r>
              <w:rPr>
                <w:b w:val="0"/>
                <w:bCs w:val="0"/>
                <w:sz w:val="20"/>
                <w:szCs w:val="20"/>
              </w:rPr>
              <w:t>46.5% (&lt;5km) → 47.3% (5-15km) → 52.8% (15-25.8km) → 61.0% (25.8km+)</w:t>
            </w:r>
          </w:p>
        </w:tc>
      </w:tr>
      <w:tr w14:paraId="2280C214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06511">
            <w:r>
              <w:rPr>
                <w:b w:val="0"/>
                <w:bCs w:val="0"/>
                <w:sz w:val="20"/>
                <w:szCs w:val="20"/>
              </w:rPr>
              <w:t>Outcome rate by prior no-show count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525AE">
            <w:r>
              <w:rPr>
                <w:b w:val="0"/>
                <w:bCs w:val="0"/>
                <w:sz w:val="20"/>
                <w:szCs w:val="20"/>
              </w:rPr>
              <w:t>Q2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2AD7A">
            <w:r>
              <w:rPr>
                <w:b w:val="0"/>
                <w:bCs w:val="0"/>
                <w:sz w:val="20"/>
                <w:szCs w:val="20"/>
              </w:rPr>
              <w:t>43.5% (0) → 53.5% (1) → 61.0% (2+)</w:t>
            </w:r>
          </w:p>
        </w:tc>
      </w:tr>
      <w:tr w14:paraId="2A06513C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FD3ED">
            <w:r>
              <w:rPr>
                <w:b w:val="0"/>
                <w:bCs w:val="0"/>
                <w:sz w:val="20"/>
                <w:szCs w:val="20"/>
              </w:rPr>
              <w:t>Outcome rate by age group × appointment type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761C8">
            <w:r>
              <w:rPr>
                <w:b w:val="0"/>
                <w:bCs w:val="0"/>
                <w:sz w:val="20"/>
                <w:szCs w:val="20"/>
              </w:rPr>
              <w:t>Q3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30161">
            <w:r>
              <w:rPr>
                <w:b w:val="0"/>
                <w:bCs w:val="0"/>
                <w:sz w:val="20"/>
                <w:szCs w:val="20"/>
              </w:rPr>
              <w:t>41.8% (65+, General Consultation) to 62.4% (45-54, Diagnostic Test)</w:t>
            </w:r>
          </w:p>
        </w:tc>
      </w:tr>
      <w:tr w14:paraId="02080D3C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6D7A3">
            <w:r>
              <w:rPr>
                <w:b w:val="0"/>
                <w:bCs w:val="0"/>
                <w:sz w:val="20"/>
                <w:szCs w:val="20"/>
              </w:rPr>
              <w:t>Outcome rate by reminder channel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13C32">
            <w:r>
              <w:rPr>
                <w:b w:val="0"/>
                <w:bCs w:val="0"/>
                <w:sz w:val="20"/>
                <w:szCs w:val="20"/>
              </w:rPr>
              <w:t>Q4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F9491">
            <w:r>
              <w:rPr>
                <w:b w:val="0"/>
                <w:bCs w:val="0"/>
                <w:sz w:val="20"/>
                <w:szCs w:val="20"/>
              </w:rPr>
              <w:t>SMS 45.8% &lt; Email 48.4% &lt; WhatsApp 49.8% &lt; No reminder 51.4%</w:t>
            </w:r>
          </w:p>
        </w:tc>
      </w:tr>
      <w:tr w14:paraId="22DF53B3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AB138">
            <w:r>
              <w:rPr>
                <w:b w:val="0"/>
                <w:bCs w:val="0"/>
                <w:sz w:val="20"/>
                <w:szCs w:val="20"/>
              </w:rPr>
              <w:t>No-show rate by booking lead-time band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6BB47">
            <w:r>
              <w:rPr>
                <w:b w:val="0"/>
                <w:bCs w:val="0"/>
                <w:sz w:val="20"/>
                <w:szCs w:val="20"/>
              </w:rPr>
              <w:t>Q5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F03A2">
            <w:r>
              <w:rPr>
                <w:b w:val="0"/>
                <w:bCs w:val="0"/>
                <w:sz w:val="20"/>
                <w:szCs w:val="20"/>
              </w:rPr>
              <w:t>27.8% (&lt;1wk) → 39.7% (1-4wks) → 59.6% (1mo+)</w:t>
            </w:r>
          </w:p>
        </w:tc>
      </w:tr>
      <w:tr w14:paraId="181C6D82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4D0AA">
            <w:r>
              <w:rPr>
                <w:b w:val="0"/>
                <w:bCs w:val="0"/>
                <w:sz w:val="20"/>
                <w:szCs w:val="20"/>
              </w:rPr>
              <w:t>Bonus: distance × lead-time interaction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3E504">
            <w:r>
              <w:rPr>
                <w:b w:val="0"/>
                <w:bCs w:val="0"/>
                <w:sz w:val="20"/>
                <w:szCs w:val="20"/>
              </w:rPr>
              <w:t>Q1+Q5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E7C51">
            <w:r>
              <w:rPr>
                <w:b w:val="0"/>
                <w:bCs w:val="0"/>
                <w:sz w:val="20"/>
                <w:szCs w:val="20"/>
              </w:rPr>
              <w:t>Short lead time protects nearby patients but not the 25.8km+ group (still 57.1% even when booked &lt;1wk out)</w:t>
            </w:r>
          </w:p>
        </w:tc>
      </w:tr>
    </w:tbl>
    <w:p w14:paraId="110A03E1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A8260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1966</Words>
  <Characters>11248</Characters>
  <TotalTime>2</TotalTime>
  <ScaleCrop>false</ScaleCrop>
  <LinksUpToDate>false</LinksUpToDate>
  <CharactersWithSpaces>13118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2026-09-05T15:00:00Z</dcterms:created>
  <dc:creator>Un-named</dc:creator>
  <cp:lastModifiedBy>Ekenga Dorothy</cp:lastModifiedBy>
  <dcterms:modified xsi:type="dcterms:W3CDTF">2026-09-06T12:52:15Z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eyJoZGlkIjoiYTkxMmIyNzBlY2I0NjI3MGJiMjEyNWFjNTZjMzY1OGIiLCJ1c2VySWQiOiIyNzY2Mjk3NTY4MTg4In0=</vt:lpwstr>
  </property>
  <property fmtid="{D5CDD505-2E9C-101B-9397-08002B2CF9AE}" pid="3" name="KSOProductBuildVer">
    <vt:lpwstr>1033-12.1.0.28485</vt:lpwstr>
  </property>
  <property fmtid="{D5CDD505-2E9C-101B-9397-08002B2CF9AE}" pid="4" name="ICV">
    <vt:lpwstr>279826BF72644C9793FB96D0B54FE129_12</vt:lpwstr>
  </property>
</Properties>
</file>