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5340" w14:textId="77777777" w:rsidR="001A56CE" w:rsidRDefault="00000000">
      <w:pPr>
        <w:spacing w:after="40"/>
        <w:jc w:val="center"/>
      </w:pPr>
      <w:r>
        <w:rPr>
          <w:b/>
          <w:bCs/>
          <w:color w:val="1F4E79"/>
          <w:sz w:val="40"/>
          <w:szCs w:val="40"/>
        </w:rPr>
        <w:t>HealthConnect Clinic Experience Lab</w:t>
      </w:r>
    </w:p>
    <w:p w14:paraId="071686C9" w14:textId="77777777" w:rsidR="001A56CE" w:rsidRDefault="00000000">
      <w:pPr>
        <w:spacing w:after="40"/>
        <w:jc w:val="center"/>
      </w:pPr>
      <w:r>
        <w:rPr>
          <w:b/>
          <w:bCs/>
          <w:sz w:val="26"/>
          <w:szCs w:val="26"/>
        </w:rPr>
        <w:t>Week 5 Project Summary — Data Analytics Track</w:t>
      </w:r>
    </w:p>
    <w:p w14:paraId="063D79E8" w14:textId="57E70BB8" w:rsidR="001A56CE" w:rsidRDefault="00000000">
      <w:pPr>
        <w:spacing w:after="400"/>
        <w:jc w:val="center"/>
      </w:pPr>
      <w:r>
        <w:rPr>
          <w:color w:val="666666"/>
        </w:rPr>
        <w:t xml:space="preserve">Prepared by </w:t>
      </w:r>
      <w:r w:rsidR="007774E8">
        <w:rPr>
          <w:color w:val="666666"/>
        </w:rPr>
        <w:t xml:space="preserve">Ekenga </w:t>
      </w:r>
      <w:r>
        <w:rPr>
          <w:color w:val="666666"/>
        </w:rPr>
        <w:t>Dorothy</w:t>
      </w:r>
    </w:p>
    <w:p w14:paraId="7F7A6530" w14:textId="77777777" w:rsidR="001A56CE" w:rsidRDefault="00000000">
      <w:pPr>
        <w:spacing w:after="160"/>
      </w:pPr>
      <w:r>
        <w:t>This summary complements the accompanying Initial Analytics Report and does not repeat its full detail.</w:t>
      </w:r>
    </w:p>
    <w:p w14:paraId="1588CD37" w14:textId="77777777" w:rsidR="001A56CE" w:rsidRDefault="00000000">
      <w:pPr>
        <w:pStyle w:val="Heading1"/>
        <w:spacing w:before="260" w:after="120"/>
      </w:pPr>
      <w:r>
        <w:t>1. What I planned to accomplish</w:t>
      </w:r>
    </w:p>
    <w:p w14:paraId="3C356450" w14:textId="77777777" w:rsidR="001A56CE" w:rsidRDefault="00000000">
      <w:pPr>
        <w:spacing w:after="160"/>
      </w:pPr>
      <w:r>
        <w:t>Finalise distance and booking-lead-time bands, build a Power BI dashboard, and calculate the 5 KPIs proposed in Week 4.</w:t>
      </w:r>
    </w:p>
    <w:p w14:paraId="675626C7" w14:textId="77777777" w:rsidR="001A56CE" w:rsidRDefault="00000000">
      <w:pPr>
        <w:pStyle w:val="Heading1"/>
        <w:spacing w:before="260" w:after="120"/>
      </w:pPr>
      <w:r>
        <w:t>2. What I actually completed</w:t>
      </w:r>
    </w:p>
    <w:p w14:paraId="6F1A98B3" w14:textId="77777777" w:rsidR="001A56CE" w:rsidRDefault="00000000">
      <w:pPr>
        <w:spacing w:after="160"/>
      </w:pPr>
      <w:r>
        <w:t>Data preparation review, six deeper EDA findings (including two genuine variable interactions), all 5 KPIs calculated and interpreted plus one bonus compound KPI, a working Power BI dashboard with conditional-formatted matrix visuals, 5 business insights with a combined priority recommendation, and this Week 4→Week 5 limitations review.</w:t>
      </w:r>
    </w:p>
    <w:p w14:paraId="6A610742" w14:textId="77777777" w:rsidR="001A56CE" w:rsidRDefault="00000000">
      <w:pPr>
        <w:pStyle w:val="Heading1"/>
        <w:spacing w:before="260" w:after="120"/>
      </w:pPr>
      <w:r>
        <w:t>3. Key findings or development outcomes</w:t>
      </w:r>
    </w:p>
    <w:p w14:paraId="27604F1D" w14:textId="77777777" w:rsidR="001A56CE" w:rsidRDefault="00000000">
      <w:pPr>
        <w:spacing w:after="160"/>
      </w:pPr>
      <w:r>
        <w:t>The standout outcome was methodological: several variables that looked weak on a simple average (distance, age) turned out to have strong effects once banded or combined with a second variable. The strongest single finding was the prior no-show gradient (43.5% → 61.0%); the most actionable was the reminder-channel result (SMS outperforms other channels).</w:t>
      </w:r>
    </w:p>
    <w:p w14:paraId="34C7C0BC" w14:textId="77777777" w:rsidR="001A56CE" w:rsidRDefault="00000000">
      <w:pPr>
        <w:pStyle w:val="Heading1"/>
        <w:spacing w:before="260" w:after="120"/>
      </w:pPr>
      <w:r>
        <w:t>4. Major challenges encountered</w:t>
      </w:r>
    </w:p>
    <w:p w14:paraId="6E39C4C9" w14:textId="77777777" w:rsidR="001A56CE" w:rsidRDefault="00000000">
      <w:pPr>
        <w:spacing w:after="160"/>
      </w:pPr>
      <w:r>
        <w:t>Repeated a Sum-instead-of-Average mistake on a new variable before it was fully internalised; a reminder-channel pivot table was initially built with the wrong field as the row category; and Power BI's X/Y axis convention (which axis takes the category vs. the value) caused several chart-building errors that took multiple rounds to fully correct.</w:t>
      </w:r>
    </w:p>
    <w:p w14:paraId="393F40B7" w14:textId="77777777" w:rsidR="001A56CE" w:rsidRDefault="00000000">
      <w:pPr>
        <w:pStyle w:val="Heading1"/>
        <w:spacing w:before="260" w:after="120"/>
      </w:pPr>
      <w:r>
        <w:t>5. Important decisions made and why</w:t>
      </w:r>
    </w:p>
    <w:p w14:paraId="4AA28352" w14:textId="77777777" w:rsidR="001A56CE" w:rsidRDefault="00000000">
      <w:pPr>
        <w:spacing w:after="160"/>
      </w:pPr>
      <w:r>
        <w:t>Chose to bucket continuous variables (distance, booking lead time, prior no-shows) into bands rather than rely on raw averages, after discovering averages were hiding real effects. Chose to treat “no reminder” as its own category rather than excluding those patients from the reminder KPI. Chose to exclude waiting_time_minutes from any predictive framing due to a data-leakage risk identified in Week 4.</w:t>
      </w:r>
    </w:p>
    <w:p w14:paraId="5794CEA2" w14:textId="77777777" w:rsidR="001A56CE" w:rsidRDefault="00000000">
      <w:pPr>
        <w:pStyle w:val="Heading1"/>
        <w:spacing w:before="260" w:after="120"/>
      </w:pPr>
      <w:r>
        <w:t>6. Changes to my Week 4 approach</w:t>
      </w:r>
    </w:p>
    <w:p w14:paraId="02C801A2" w14:textId="77777777" w:rsidR="001A56CE" w:rsidRDefault="00000000">
      <w:pPr>
        <w:spacing w:after="160"/>
      </w:pPr>
      <w:r>
        <w:t>Week 4 assumed distance and age were weak factors based on simple averages. Week 5 analysis showed this was a limitation of the averaging method itself, not a true absence of effect — both variables show strong patterns once banded or combined with a second variable.</w:t>
      </w:r>
    </w:p>
    <w:p w14:paraId="4DF36317" w14:textId="77777777" w:rsidR="001A56CE" w:rsidRDefault="00000000">
      <w:pPr>
        <w:pStyle w:val="Heading1"/>
        <w:spacing w:before="260" w:after="120"/>
      </w:pPr>
      <w:r>
        <w:t>7. Cross-track collaboration completed</w:t>
      </w:r>
    </w:p>
    <w:p w14:paraId="0D2D4EE4" w14:textId="77777777" w:rsidR="001A56CE" w:rsidRDefault="00000000">
      <w:pPr>
        <w:spacing w:after="160"/>
      </w:pPr>
      <w:r>
        <w:t>Reached out to a Data Science-track cohort-mate to share KPI findings relevant to no-show prediction and the waiting-time data-leakage caution, and to ask about their planned treatment of cancellations. [To be finalised once a reply is received — see Initial Analytics Report, Section 7.]</w:t>
      </w:r>
    </w:p>
    <w:p w14:paraId="1E3829AB" w14:textId="77777777" w:rsidR="001A56CE" w:rsidRDefault="00000000">
      <w:pPr>
        <w:pStyle w:val="Heading1"/>
        <w:spacing w:before="260" w:after="120"/>
      </w:pPr>
      <w:r>
        <w:t>8. Remaining work</w:t>
      </w:r>
    </w:p>
    <w:p w14:paraId="6BA3385F" w14:textId="77777777" w:rsidR="001A56CE" w:rsidRDefault="00000000">
      <w:pPr>
        <w:spacing w:after="160"/>
      </w:pPr>
      <w:r>
        <w:t>Add one-line takeaway text boxes under each dashboard visual; complete the cross-track collaboration write-up once a reply is received; consider statistical significance testing on the smaller matrix cells (a natural handoff to the Data Science track).</w:t>
      </w:r>
    </w:p>
    <w:p w14:paraId="6FB677A4" w14:textId="77777777" w:rsidR="001A56CE" w:rsidRDefault="00000000">
      <w:pPr>
        <w:pStyle w:val="Heading1"/>
        <w:spacing w:before="260" w:after="120"/>
      </w:pPr>
      <w:r>
        <w:t>9. Proposed focus for Week 6</w:t>
      </w:r>
    </w:p>
    <w:p w14:paraId="4618B468" w14:textId="77777777" w:rsidR="001A56CE" w:rsidRDefault="00000000">
      <w:pPr>
        <w:spacing w:after="160"/>
      </w:pPr>
      <w:r>
        <w:t>Incorporate cross-track feedback into the KPI framing, explore statistical validation of the age × appointment-type finding, refine the dashboard's formatting and takeaways, and begin translating the priority recommendation into a concrete action proposal for HealthConnect.</w:t>
      </w:r>
    </w:p>
    <w:sectPr w:rsidR="001A56CE" w:rsidSect="007774E8">
      <w:pgSz w:w="11906" w:h="16838"/>
      <w:pgMar w:top="450" w:right="1440" w:bottom="27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842AD"/>
    <w:multiLevelType w:val="hybridMultilevel"/>
    <w:tmpl w:val="4C02577E"/>
    <w:lvl w:ilvl="0" w:tplc="0FF6BFFC">
      <w:start w:val="1"/>
      <w:numFmt w:val="bullet"/>
      <w:lvlText w:val="●"/>
      <w:lvlJc w:val="left"/>
      <w:pPr>
        <w:ind w:left="720" w:hanging="360"/>
      </w:pPr>
    </w:lvl>
    <w:lvl w:ilvl="1" w:tplc="AFDC3AE0">
      <w:start w:val="1"/>
      <w:numFmt w:val="bullet"/>
      <w:lvlText w:val="○"/>
      <w:lvlJc w:val="left"/>
      <w:pPr>
        <w:ind w:left="1440" w:hanging="360"/>
      </w:pPr>
    </w:lvl>
    <w:lvl w:ilvl="2" w:tplc="29B0BB0E">
      <w:start w:val="1"/>
      <w:numFmt w:val="bullet"/>
      <w:lvlText w:val="■"/>
      <w:lvlJc w:val="left"/>
      <w:pPr>
        <w:ind w:left="2160" w:hanging="360"/>
      </w:pPr>
    </w:lvl>
    <w:lvl w:ilvl="3" w:tplc="819A93A6">
      <w:start w:val="1"/>
      <w:numFmt w:val="bullet"/>
      <w:lvlText w:val="●"/>
      <w:lvlJc w:val="left"/>
      <w:pPr>
        <w:ind w:left="2880" w:hanging="360"/>
      </w:pPr>
    </w:lvl>
    <w:lvl w:ilvl="4" w:tplc="BB400BCE">
      <w:start w:val="1"/>
      <w:numFmt w:val="bullet"/>
      <w:lvlText w:val="○"/>
      <w:lvlJc w:val="left"/>
      <w:pPr>
        <w:ind w:left="3600" w:hanging="360"/>
      </w:pPr>
    </w:lvl>
    <w:lvl w:ilvl="5" w:tplc="54E2B73A">
      <w:start w:val="1"/>
      <w:numFmt w:val="bullet"/>
      <w:lvlText w:val="■"/>
      <w:lvlJc w:val="left"/>
      <w:pPr>
        <w:ind w:left="4320" w:hanging="360"/>
      </w:pPr>
    </w:lvl>
    <w:lvl w:ilvl="6" w:tplc="D29EA2F0">
      <w:start w:val="1"/>
      <w:numFmt w:val="bullet"/>
      <w:lvlText w:val="●"/>
      <w:lvlJc w:val="left"/>
      <w:pPr>
        <w:ind w:left="5040" w:hanging="360"/>
      </w:pPr>
    </w:lvl>
    <w:lvl w:ilvl="7" w:tplc="64EABF2A">
      <w:start w:val="1"/>
      <w:numFmt w:val="bullet"/>
      <w:lvlText w:val="●"/>
      <w:lvlJc w:val="left"/>
      <w:pPr>
        <w:ind w:left="5760" w:hanging="360"/>
      </w:pPr>
    </w:lvl>
    <w:lvl w:ilvl="8" w:tplc="689A622E">
      <w:start w:val="1"/>
      <w:numFmt w:val="bullet"/>
      <w:lvlText w:val="●"/>
      <w:lvlJc w:val="left"/>
      <w:pPr>
        <w:ind w:left="6480" w:hanging="360"/>
      </w:pPr>
    </w:lvl>
  </w:abstractNum>
  <w:num w:numId="1" w16cid:durableId="157115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6CE"/>
    <w:rsid w:val="001A56CE"/>
    <w:rsid w:val="006F1EEC"/>
    <w:rsid w:val="00777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C64C"/>
  <w15:docId w15:val="{97230B63-05C9-4278-8E87-82D45D877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Pade Ekenga</cp:lastModifiedBy>
  <cp:revision>2</cp:revision>
  <dcterms:created xsi:type="dcterms:W3CDTF">2026-09-05T15:00:00Z</dcterms:created>
  <dcterms:modified xsi:type="dcterms:W3CDTF">2026-09-06T12:48:00Z</dcterms:modified>
</cp:coreProperties>
</file>