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65C82" w14:textId="77777777" w:rsidR="009E1536" w:rsidRDefault="00000000">
      <w:pPr>
        <w:spacing w:before="120" w:after="60"/>
        <w:jc w:val="center"/>
      </w:pPr>
      <w:r>
        <w:rPr>
          <w:b/>
          <w:bCs/>
          <w:color w:val="1F4E78"/>
          <w:sz w:val="40"/>
          <w:szCs w:val="40"/>
        </w:rPr>
        <w:t>Advanced Data Analysis Report</w:t>
      </w:r>
    </w:p>
    <w:p w14:paraId="62879D8C" w14:textId="77777777" w:rsidR="009E1536" w:rsidRDefault="00000000"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>Week 3 — Advanced Data Analysis, KPI Development &amp; Business Intelligence Dashboard</w:t>
      </w:r>
    </w:p>
    <w:p w14:paraId="1E43A00D" w14:textId="77777777" w:rsidR="009E1536" w:rsidRDefault="00000000">
      <w:pPr>
        <w:pStyle w:val="Heading1"/>
        <w:spacing w:before="320" w:after="150"/>
      </w:pPr>
      <w:r>
        <w:t>1. Project Continuity Summary</w:t>
      </w:r>
    </w:p>
    <w:p w14:paraId="235FC8D3" w14:textId="77777777" w:rsidR="009E1536" w:rsidRDefault="00000000">
      <w:pPr>
        <w:pStyle w:val="Heading2"/>
        <w:spacing w:before="220" w:after="100"/>
      </w:pPr>
      <w:r>
        <w:t>Dataset</w:t>
      </w:r>
    </w:p>
    <w:p w14:paraId="2CA7FFAD" w14:textId="77777777" w:rsidR="009E1536" w:rsidRDefault="00000000">
      <w:pPr>
        <w:spacing w:after="140"/>
        <w:jc w:val="both"/>
      </w:pPr>
      <w:r>
        <w:rPr>
          <w:sz w:val="22"/>
          <w:szCs w:val="22"/>
        </w:rPr>
        <w:t>This project continues to use the Global Superstore dataset: 51,290 order line items placed between January 2011 and December 2014, across 7 markets, 13 regions, and 147 countries, covering 1,590 unique customers and 3,788 unique products.</w:t>
      </w:r>
    </w:p>
    <w:p w14:paraId="44084C17" w14:textId="77777777" w:rsidR="009E1536" w:rsidRDefault="00000000">
      <w:pPr>
        <w:pStyle w:val="Heading2"/>
        <w:spacing w:before="220" w:after="100"/>
      </w:pPr>
      <w:r>
        <w:t>Business Problem</w:t>
      </w:r>
    </w:p>
    <w:p w14:paraId="0D5BE9B2" w14:textId="77777777" w:rsidR="009E1536" w:rsidRDefault="00000000">
      <w:pPr>
        <w:spacing w:after="140"/>
        <w:jc w:val="both"/>
      </w:pPr>
      <w:r>
        <w:rPr>
          <w:sz w:val="22"/>
          <w:szCs w:val="22"/>
        </w:rPr>
        <w:t>AnalystLab Africa Consulting is building an executive-level view of a retail client's performance, enabling management to monitor sales, profitability, customer behaviour, and regional performance, and to act on evidence-based recommendations rather than intuition.</w:t>
      </w:r>
    </w:p>
    <w:p w14:paraId="1A211541" w14:textId="77777777" w:rsidR="009E1536" w:rsidRDefault="00000000">
      <w:pPr>
        <w:pStyle w:val="Heading2"/>
        <w:spacing w:before="220" w:after="100"/>
      </w:pPr>
      <w:r>
        <w:t>Key Findings from Week 2</w:t>
      </w:r>
    </w:p>
    <w:p w14:paraId="02390BF3" w14:textId="77777777" w:rsidR="009E153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Overall performance is healthy: $12.64M in total sales, $1.47M in profit, an 11.6% margin.</w:t>
      </w:r>
    </w:p>
    <w:p w14:paraId="618C18A1" w14:textId="77777777" w:rsidR="009E153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Central region and the APAC/EU markets generate the most sales and profit; the US market, despite being the home market, ranks only third.</w:t>
      </w:r>
    </w:p>
    <w:p w14:paraId="5699D0E6" w14:textId="77777777" w:rsidR="009E153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Technology is the most profitable category; Furniture is the least efficient, and its Tables sub-category is the only sub-category that is outright unprofitable (–$64K).</w:t>
      </w:r>
    </w:p>
    <w:p w14:paraId="65EFF46C" w14:textId="77777777" w:rsidR="009E153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Profit turns negative on any order discounted above 20%, with margin falling from +25% (no discount) to –139% (60%+ discount).</w:t>
      </w:r>
    </w:p>
    <w:p w14:paraId="4180D084" w14:textId="77777777" w:rsidR="009E153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Consumer is the strongest segment and Standard Class the dominant, most profitable shipping mode.</w:t>
      </w:r>
    </w:p>
    <w:p w14:paraId="05CC2668" w14:textId="77777777" w:rsidR="009E1536" w:rsidRDefault="00000000">
      <w:pPr>
        <w:pStyle w:val="Heading2"/>
        <w:spacing w:before="220" w:after="100"/>
      </w:pPr>
      <w:r>
        <w:t>Areas for Deeper Investigation in Week 3</w:t>
      </w:r>
    </w:p>
    <w:p w14:paraId="03EA1E14" w14:textId="77777777" w:rsidR="009E153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Time-based patterns: are there consistent seasonal peaks, and is growth accelerating or slowing?</w:t>
      </w:r>
    </w:p>
    <w:p w14:paraId="4790A4E1" w14:textId="77777777" w:rsidR="009E153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Customer-level concentration: how much of total sales comes from the top customers, and are any high-spending customers actually unprofitable?</w:t>
      </w:r>
    </w:p>
    <w:p w14:paraId="13122DBF" w14:textId="77777777" w:rsidR="009E153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Products with high sales but low or negative profit — a more specific version of the Week 2 discount finding, at the individual product level.</w:t>
      </w:r>
    </w:p>
    <w:p w14:paraId="3B71C257" w14:textId="77777777" w:rsidR="009E153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Quantifying exactly how many order lines and products are loss-making, not just which categories.</w:t>
      </w:r>
    </w:p>
    <w:p w14:paraId="1639682A" w14:textId="77777777" w:rsidR="009E1536" w:rsidRDefault="00000000">
      <w:pPr>
        <w:pStyle w:val="Heading1"/>
        <w:spacing w:before="320" w:after="150"/>
      </w:pPr>
      <w:r>
        <w:t>2. Advanced Business Analysis</w:t>
      </w:r>
    </w:p>
    <w:p w14:paraId="335DBD98" w14:textId="77777777" w:rsidR="009E1536" w:rsidRDefault="00000000">
      <w:pPr>
        <w:pStyle w:val="Heading2"/>
        <w:spacing w:before="220" w:after="100"/>
      </w:pPr>
      <w:r>
        <w:t>2.1 Sales &amp; Profit Performance Over Time</w:t>
      </w:r>
    </w:p>
    <w:p w14:paraId="2E3F3BBF" w14:textId="77777777" w:rsidR="009E1536" w:rsidRDefault="00000000">
      <w:pPr>
        <w:spacing w:after="140"/>
        <w:jc w:val="both"/>
      </w:pPr>
      <w:r>
        <w:rPr>
          <w:sz w:val="22"/>
          <w:szCs w:val="22"/>
        </w:rPr>
        <w:t>Year-over-year, both sales and profit have grown every year, and growth has been accelerating rather than plateauing: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2"/>
        <w:gridCol w:w="1942"/>
        <w:gridCol w:w="1942"/>
        <w:gridCol w:w="1942"/>
        <w:gridCol w:w="1942"/>
      </w:tblGrid>
      <w:tr w:rsidR="009E1536" w14:paraId="357D163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3EBD2" w14:textId="77777777" w:rsidR="009E1536" w:rsidRDefault="00000000">
            <w:r>
              <w:rPr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1000" w:type="pct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AC489" w14:textId="77777777" w:rsidR="009E1536" w:rsidRDefault="00000000">
            <w:r>
              <w:rPr>
                <w:b/>
                <w:bCs/>
                <w:color w:val="FFFFFF"/>
                <w:sz w:val="19"/>
                <w:szCs w:val="19"/>
              </w:rPr>
              <w:t>Sales</w:t>
            </w:r>
          </w:p>
        </w:tc>
        <w:tc>
          <w:tcPr>
            <w:tcW w:w="1000" w:type="pct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28F29" w14:textId="77777777" w:rsidR="009E1536" w:rsidRDefault="00000000">
            <w:r>
              <w:rPr>
                <w:b/>
                <w:bCs/>
                <w:color w:val="FFFFFF"/>
                <w:sz w:val="19"/>
                <w:szCs w:val="19"/>
              </w:rPr>
              <w:t>Profit</w:t>
            </w:r>
          </w:p>
        </w:tc>
        <w:tc>
          <w:tcPr>
            <w:tcW w:w="1000" w:type="pct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B1E78" w14:textId="77777777" w:rsidR="009E1536" w:rsidRDefault="00000000">
            <w:r>
              <w:rPr>
                <w:b/>
                <w:bCs/>
                <w:color w:val="FFFFFF"/>
                <w:sz w:val="19"/>
                <w:szCs w:val="19"/>
              </w:rPr>
              <w:t>Sales Growth</w:t>
            </w:r>
          </w:p>
        </w:tc>
        <w:tc>
          <w:tcPr>
            <w:tcW w:w="1000" w:type="pct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C9DC3" w14:textId="77777777" w:rsidR="009E1536" w:rsidRDefault="00000000">
            <w:r>
              <w:rPr>
                <w:b/>
                <w:bCs/>
                <w:color w:val="FFFFFF"/>
                <w:sz w:val="19"/>
                <w:szCs w:val="19"/>
              </w:rPr>
              <w:t>Profit Growth</w:t>
            </w:r>
          </w:p>
        </w:tc>
      </w:tr>
      <w:tr w:rsidR="009E1536" w14:paraId="7C0350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9DD53" w14:textId="77777777" w:rsidR="009E1536" w:rsidRDefault="00000000">
            <w:r>
              <w:rPr>
                <w:sz w:val="19"/>
                <w:szCs w:val="19"/>
              </w:rPr>
              <w:t>2011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C8C79" w14:textId="77777777" w:rsidR="009E1536" w:rsidRDefault="00000000">
            <w:r>
              <w:rPr>
                <w:sz w:val="19"/>
                <w:szCs w:val="19"/>
              </w:rPr>
              <w:t>$2.26M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5D733" w14:textId="77777777" w:rsidR="009E1536" w:rsidRDefault="00000000">
            <w:r>
              <w:rPr>
                <w:sz w:val="19"/>
                <w:szCs w:val="19"/>
              </w:rPr>
              <w:t>$249K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D7FD1" w14:textId="77777777" w:rsidR="009E1536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D48EC" w14:textId="77777777" w:rsidR="009E1536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9E1536" w14:paraId="170046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5D54B" w14:textId="77777777" w:rsidR="009E1536" w:rsidRDefault="00000000">
            <w:r>
              <w:rPr>
                <w:sz w:val="19"/>
                <w:szCs w:val="19"/>
              </w:rPr>
              <w:t>2012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475B0" w14:textId="77777777" w:rsidR="009E1536" w:rsidRDefault="00000000">
            <w:r>
              <w:rPr>
                <w:sz w:val="19"/>
                <w:szCs w:val="19"/>
              </w:rPr>
              <w:t>$2.68M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3B9CE" w14:textId="77777777" w:rsidR="009E1536" w:rsidRDefault="00000000">
            <w:r>
              <w:rPr>
                <w:sz w:val="19"/>
                <w:szCs w:val="19"/>
              </w:rPr>
              <w:t>$307K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BD7A6" w14:textId="77777777" w:rsidR="009E1536" w:rsidRDefault="00000000">
            <w:r>
              <w:rPr>
                <w:sz w:val="19"/>
                <w:szCs w:val="19"/>
              </w:rPr>
              <w:t>+18.5%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CBD8A" w14:textId="77777777" w:rsidR="009E1536" w:rsidRDefault="00000000">
            <w:r>
              <w:rPr>
                <w:sz w:val="19"/>
                <w:szCs w:val="19"/>
              </w:rPr>
              <w:t>+23.5%</w:t>
            </w:r>
          </w:p>
        </w:tc>
      </w:tr>
      <w:tr w:rsidR="009E1536" w14:paraId="3BBF97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AEC5F" w14:textId="77777777" w:rsidR="009E1536" w:rsidRDefault="00000000">
            <w:r>
              <w:rPr>
                <w:sz w:val="19"/>
                <w:szCs w:val="19"/>
              </w:rPr>
              <w:t>2013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A9D74" w14:textId="77777777" w:rsidR="009E1536" w:rsidRDefault="00000000">
            <w:r>
              <w:rPr>
                <w:sz w:val="19"/>
                <w:szCs w:val="19"/>
              </w:rPr>
              <w:t>$3.41M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733AC" w14:textId="77777777" w:rsidR="009E1536" w:rsidRDefault="00000000">
            <w:r>
              <w:rPr>
                <w:sz w:val="19"/>
                <w:szCs w:val="19"/>
              </w:rPr>
              <w:t>$407K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62C31" w14:textId="77777777" w:rsidR="009E1536" w:rsidRDefault="00000000">
            <w:r>
              <w:rPr>
                <w:sz w:val="19"/>
                <w:szCs w:val="19"/>
              </w:rPr>
              <w:t>+27.2%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A446B" w14:textId="77777777" w:rsidR="009E1536" w:rsidRDefault="00000000">
            <w:r>
              <w:rPr>
                <w:sz w:val="19"/>
                <w:szCs w:val="19"/>
              </w:rPr>
              <w:t>+32.4%</w:t>
            </w:r>
          </w:p>
        </w:tc>
      </w:tr>
      <w:tr w:rsidR="009E1536" w14:paraId="6CE080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11546" w14:textId="77777777" w:rsidR="009E1536" w:rsidRDefault="00000000">
            <w:r>
              <w:rPr>
                <w:sz w:val="19"/>
                <w:szCs w:val="19"/>
              </w:rPr>
              <w:t>2014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9E755" w14:textId="77777777" w:rsidR="009E1536" w:rsidRDefault="00000000">
            <w:r>
              <w:rPr>
                <w:sz w:val="19"/>
                <w:szCs w:val="19"/>
              </w:rPr>
              <w:t>$4.30M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C9DF6" w14:textId="77777777" w:rsidR="009E1536" w:rsidRDefault="00000000">
            <w:r>
              <w:rPr>
                <w:sz w:val="19"/>
                <w:szCs w:val="19"/>
              </w:rPr>
              <w:t>$504K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4F0C2" w14:textId="77777777" w:rsidR="009E1536" w:rsidRDefault="00000000">
            <w:r>
              <w:rPr>
                <w:sz w:val="19"/>
                <w:szCs w:val="19"/>
              </w:rPr>
              <w:t>+26.3%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52F33" w14:textId="77777777" w:rsidR="009E1536" w:rsidRDefault="00000000">
            <w:r>
              <w:rPr>
                <w:sz w:val="19"/>
                <w:szCs w:val="19"/>
              </w:rPr>
              <w:t>+23.9%</w:t>
            </w:r>
          </w:p>
        </w:tc>
      </w:tr>
    </w:tbl>
    <w:p w14:paraId="7BAED1EA" w14:textId="77777777" w:rsidR="009E1536" w:rsidRDefault="009E1536">
      <w:pPr>
        <w:spacing w:after="160"/>
      </w:pPr>
    </w:p>
    <w:p w14:paraId="7CB8045A" w14:textId="77777777" w:rsidR="009E1536" w:rsidRDefault="00000000">
      <w:pPr>
        <w:spacing w:after="140"/>
        <w:jc w:val="both"/>
      </w:pPr>
      <w:r>
        <w:rPr>
          <w:sz w:val="22"/>
          <w:szCs w:val="22"/>
        </w:rPr>
        <w:t>Profit growth has consistently kept pace with or exceeded sales growth in percentage terms, which is a healthier pattern than Week 2's flat-margin framing suggested when looking only at total margin — the margin is flat in aggregate, but year-on-year the company is not losing ground; it is holding an 11–12% margin while scaling significantly.</w:t>
      </w:r>
    </w:p>
    <w:p w14:paraId="3A8BE4C3" w14:textId="77777777" w:rsidR="009E1536" w:rsidRDefault="00000000">
      <w:pPr>
        <w:pStyle w:val="Heading2"/>
        <w:spacing w:before="220" w:after="100"/>
      </w:pPr>
      <w:r>
        <w:t>2.2 Quarterly &amp; Seasonal Patterns</w:t>
      </w:r>
    </w:p>
    <w:p w14:paraId="23D3CE41" w14:textId="77777777" w:rsidR="009E1536" w:rsidRDefault="00000000">
      <w:pPr>
        <w:spacing w:after="140"/>
        <w:jc w:val="both"/>
      </w:pPr>
      <w:r>
        <w:rPr>
          <w:sz w:val="22"/>
          <w:szCs w:val="22"/>
        </w:rPr>
        <w:t>Every year in the dataset follows the same shape: Q4 is the strongest quarter, and Q1 is the weakest, without exception across all four years. At a monthly level (aggregated across all years), December, November, and September are consistently the three strongest months, while February, January, and April are consistently the weakest.</w:t>
      </w:r>
    </w:p>
    <w:p w14:paraId="0F9C5D0C" w14:textId="77777777" w:rsidR="009E1536" w:rsidRDefault="00000000">
      <w:pPr>
        <w:spacing w:after="140"/>
        <w:jc w:val="both"/>
      </w:pPr>
      <w:r>
        <w:rPr>
          <w:sz w:val="22"/>
          <w:szCs w:val="22"/>
        </w:rPr>
        <w:t>This is a reliable, repeatable seasonal pattern rather than a one-off — useful for inventory planning, staffing, and cash-flow forecasting, and worth highlighting to management as a predictable cycle rather than something they need to react to each year.</w:t>
      </w:r>
    </w:p>
    <w:p w14:paraId="7CAA4922" w14:textId="77777777" w:rsidR="009E1536" w:rsidRDefault="00000000">
      <w:pPr>
        <w:pStyle w:val="Heading2"/>
        <w:spacing w:before="220" w:after="100"/>
      </w:pPr>
      <w:r>
        <w:t>2.3 Product Performance: High Sales, Low or Negative Profit</w:t>
      </w:r>
    </w:p>
    <w:p w14:paraId="2BC48AE6" w14:textId="77777777" w:rsidR="009E1536" w:rsidRDefault="00000000">
      <w:pPr>
        <w:spacing w:after="140"/>
        <w:jc w:val="both"/>
      </w:pPr>
      <w:r>
        <w:rPr>
          <w:sz w:val="22"/>
          <w:szCs w:val="22"/>
        </w:rPr>
        <w:t>Beyond the category-level Tables finding from Week 2, several individual products stand out as high-sales-but-loss-making at the product level. The clearest examples: both Cubify CubeX 3D Printer variants operate at roughly –48% to –80% margin; several Bevis and Barricks tables and conference tables sit between –28% and –65% margin; and even a mainstream product like the Lexmark MX611dhe laser printer runs a –27% margin. This indicates the profitability problem isn't confined to one sub-category — it is a pricing/discounting pattern that recurs across otherwise-unrelated product lines whenever they are heavily discounted.</w:t>
      </w:r>
    </w:p>
    <w:p w14:paraId="2E11629C" w14:textId="77777777" w:rsidR="009E1536" w:rsidRDefault="00000000">
      <w:pPr>
        <w:spacing w:after="140"/>
        <w:jc w:val="both"/>
      </w:pPr>
      <w:r>
        <w:rPr>
          <w:sz w:val="22"/>
          <w:szCs w:val="22"/>
        </w:rPr>
        <w:t>Across the full dataset, 678 of 3,788 products (about 18%) are net loss-making overall, and 12,544 of 51,290 order lines (about 24%) recorded a loss on that individual transaction.</w:t>
      </w:r>
    </w:p>
    <w:p w14:paraId="6C00D854" w14:textId="77777777" w:rsidR="009E1536" w:rsidRDefault="00000000">
      <w:pPr>
        <w:pStyle w:val="Heading2"/>
        <w:spacing w:before="220" w:after="100"/>
      </w:pPr>
      <w:r>
        <w:t>2.4 Customer Concentration</w:t>
      </w:r>
    </w:p>
    <w:p w14:paraId="777810AA" w14:textId="77777777" w:rsidR="009E1536" w:rsidRDefault="00000000">
      <w:pPr>
        <w:spacing w:after="140"/>
        <w:jc w:val="both"/>
      </w:pPr>
      <w:r>
        <w:rPr>
          <w:sz w:val="22"/>
          <w:szCs w:val="22"/>
        </w:rPr>
        <w:t>No single customer or small group dominates the business — the top 10 customers by sales collectively account for only about 2.7% of total company sales, out of 1,590 total customers. This is a low-concentration, broad customer base, which is a structural strength: the company is not overly dependent on a handful of large accounts. That said, it's worth flagging that at least one high-spending customer (Sean Miller, $35.2K in sales) is currently unprofitable overall, a pattern worth checking for other top-spending accounts in the dashboard.</w:t>
      </w:r>
    </w:p>
    <w:p w14:paraId="5424373A" w14:textId="77777777" w:rsidR="009E1536" w:rsidRDefault="00000000">
      <w:pPr>
        <w:pStyle w:val="Heading2"/>
        <w:spacing w:before="220" w:after="100"/>
      </w:pPr>
      <w:r>
        <w:t>2.5 Discount Analysis</w:t>
      </w:r>
    </w:p>
    <w:p w14:paraId="0C679473" w14:textId="77777777" w:rsidR="009E1536" w:rsidRDefault="00000000">
      <w:pPr>
        <w:spacing w:after="140"/>
        <w:jc w:val="both"/>
      </w:pPr>
      <w:r>
        <w:rPr>
          <w:sz w:val="22"/>
          <w:szCs w:val="22"/>
        </w:rPr>
        <w:t>The average discount across all orders is 14.3%. Combined with the Week 2 finding that profitability turns negative above the 20% discount threshold, this means the company is — on average — operating close to, but still under, the danger threshold. However, averages hide the tail: a meaningful share of orders sit well above 20%, and those are the ones driving the loss-making product and order-line counts above.</w:t>
      </w:r>
    </w:p>
    <w:p w14:paraId="7CB6B439" w14:textId="77777777" w:rsidR="009E1536" w:rsidRDefault="00000000">
      <w:pPr>
        <w:pStyle w:val="Heading1"/>
        <w:spacing w:before="320" w:after="150"/>
      </w:pPr>
      <w:r>
        <w:t>3. Business Problem Investigation</w:t>
      </w:r>
    </w:p>
    <w:p w14:paraId="082CF49C" w14:textId="77777777" w:rsidR="009E1536" w:rsidRDefault="00000000">
      <w:pPr>
        <w:pStyle w:val="Heading2"/>
        <w:spacing w:before="220" w:after="100"/>
      </w:pPr>
      <w:r>
        <w:t>Problem 1 — High Sales but Low/Negative Profit (Product Level)</w:t>
      </w:r>
    </w:p>
    <w:p w14:paraId="3FB0A890" w14:textId="77777777" w:rsidR="009E1536" w:rsidRDefault="00000000">
      <w:pPr>
        <w:spacing w:after="140"/>
        <w:jc w:val="both"/>
      </w:pPr>
      <w:r>
        <w:rPr>
          <w:sz w:val="22"/>
          <w:szCs w:val="22"/>
        </w:rPr>
        <w:t>As shown in Section 2.3, specific products across multiple sub-categories (3D printers, tables, even a printer) generate meaningful sales volume while losing money on the majority of their transactions. The common thread across almost all of them is discount level, not category — reinforcing that this is a pricing and discount-governance problem, not a product-selection problem.</w:t>
      </w:r>
    </w:p>
    <w:p w14:paraId="773F7660" w14:textId="77777777" w:rsidR="009E1536" w:rsidRDefault="00000000">
      <w:pPr>
        <w:pStyle w:val="Heading2"/>
        <w:spacing w:before="220" w:after="100"/>
      </w:pPr>
      <w:r>
        <w:t>Problem 2 — Loss-Making Products and Order Lines at Scale</w:t>
      </w:r>
    </w:p>
    <w:p w14:paraId="58AD2773" w14:textId="77777777" w:rsidR="009E1536" w:rsidRDefault="00000000">
      <w:pPr>
        <w:spacing w:after="140"/>
        <w:jc w:val="both"/>
      </w:pPr>
      <w:r>
        <w:rPr>
          <w:sz w:val="22"/>
          <w:szCs w:val="22"/>
        </w:rPr>
        <w:lastRenderedPageBreak/>
        <w:t>This is not a handful of edge cases: 678 products and roughly a quarter of all order lines are loss-making. At this scale, ad hoc fixes to a few named products won't resolve the underlying issue — it points to a systemic discount-approval gap rather than isolated pricing mistakes.</w:t>
      </w:r>
    </w:p>
    <w:p w14:paraId="05CF5A3F" w14:textId="77777777" w:rsidR="009E1536" w:rsidRDefault="00000000">
      <w:pPr>
        <w:pStyle w:val="Heading2"/>
        <w:spacing w:before="220" w:after="100"/>
      </w:pPr>
      <w:r>
        <w:t>Problem 3 — Regional Concentration Risk</w:t>
      </w:r>
    </w:p>
    <w:p w14:paraId="7EC5D2D6" w14:textId="77777777" w:rsidR="009E1536" w:rsidRDefault="00000000">
      <w:pPr>
        <w:spacing w:after="140"/>
        <w:jc w:val="both"/>
      </w:pPr>
      <w:r>
        <w:rPr>
          <w:sz w:val="22"/>
          <w:szCs w:val="22"/>
        </w:rPr>
        <w:t>Central region alone contributes over 22% of total sales, while Canada and the Caribbean combined contribute under 3%. This concentration (already flagged in Week 2 as a risk) means the company's performance is more exposed to conditions in a small number of regions than a well-diversified geographic footprint would suggest — worth deeper investigation into whether this reflects deliberate strategy or unmanaged drift.</w:t>
      </w:r>
    </w:p>
    <w:p w14:paraId="6FE2141B" w14:textId="6E1EC348" w:rsidR="009E1536" w:rsidRDefault="009E1536">
      <w:pPr>
        <w:spacing w:before="120"/>
        <w:jc w:val="center"/>
      </w:pPr>
    </w:p>
    <w:sectPr w:rsidR="009E1536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090F"/>
    <w:multiLevelType w:val="hybridMultilevel"/>
    <w:tmpl w:val="7F12449C"/>
    <w:lvl w:ilvl="0" w:tplc="A658FE7C">
      <w:start w:val="1"/>
      <w:numFmt w:val="bullet"/>
      <w:lvlText w:val="●"/>
      <w:lvlJc w:val="left"/>
      <w:pPr>
        <w:ind w:left="720" w:hanging="360"/>
      </w:pPr>
    </w:lvl>
    <w:lvl w:ilvl="1" w:tplc="6186C704">
      <w:start w:val="1"/>
      <w:numFmt w:val="bullet"/>
      <w:lvlText w:val="○"/>
      <w:lvlJc w:val="left"/>
      <w:pPr>
        <w:ind w:left="1440" w:hanging="360"/>
      </w:pPr>
    </w:lvl>
    <w:lvl w:ilvl="2" w:tplc="8604B644">
      <w:start w:val="1"/>
      <w:numFmt w:val="bullet"/>
      <w:lvlText w:val="■"/>
      <w:lvlJc w:val="left"/>
      <w:pPr>
        <w:ind w:left="2160" w:hanging="360"/>
      </w:pPr>
    </w:lvl>
    <w:lvl w:ilvl="3" w:tplc="031EE0D0">
      <w:start w:val="1"/>
      <w:numFmt w:val="bullet"/>
      <w:lvlText w:val="●"/>
      <w:lvlJc w:val="left"/>
      <w:pPr>
        <w:ind w:left="2880" w:hanging="360"/>
      </w:pPr>
    </w:lvl>
    <w:lvl w:ilvl="4" w:tplc="2B548CF0">
      <w:start w:val="1"/>
      <w:numFmt w:val="bullet"/>
      <w:lvlText w:val="○"/>
      <w:lvlJc w:val="left"/>
      <w:pPr>
        <w:ind w:left="3600" w:hanging="360"/>
      </w:pPr>
    </w:lvl>
    <w:lvl w:ilvl="5" w:tplc="3EBC250A">
      <w:start w:val="1"/>
      <w:numFmt w:val="bullet"/>
      <w:lvlText w:val="■"/>
      <w:lvlJc w:val="left"/>
      <w:pPr>
        <w:ind w:left="4320" w:hanging="360"/>
      </w:pPr>
    </w:lvl>
    <w:lvl w:ilvl="6" w:tplc="7A546FAE">
      <w:start w:val="1"/>
      <w:numFmt w:val="bullet"/>
      <w:lvlText w:val="●"/>
      <w:lvlJc w:val="left"/>
      <w:pPr>
        <w:ind w:left="5040" w:hanging="360"/>
      </w:pPr>
    </w:lvl>
    <w:lvl w:ilvl="7" w:tplc="D6F2B404">
      <w:start w:val="1"/>
      <w:numFmt w:val="bullet"/>
      <w:lvlText w:val="●"/>
      <w:lvlJc w:val="left"/>
      <w:pPr>
        <w:ind w:left="5760" w:hanging="360"/>
      </w:pPr>
    </w:lvl>
    <w:lvl w:ilvl="8" w:tplc="8836EC44">
      <w:start w:val="1"/>
      <w:numFmt w:val="bullet"/>
      <w:lvlText w:val="●"/>
      <w:lvlJc w:val="left"/>
      <w:pPr>
        <w:ind w:left="6480" w:hanging="360"/>
      </w:pPr>
    </w:lvl>
  </w:abstractNum>
  <w:num w:numId="1" w16cid:durableId="2031225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536"/>
    <w:rsid w:val="000B0E0B"/>
    <w:rsid w:val="00117F47"/>
    <w:rsid w:val="00496E7A"/>
    <w:rsid w:val="009E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FEB39"/>
  <w15:docId w15:val="{1338E4B1-6053-40CD-AB70-A980BBFB0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946</Words>
  <Characters>5394</Characters>
  <Application>Microsoft Office Word</Application>
  <DocSecurity>0</DocSecurity>
  <Lines>44</Lines>
  <Paragraphs>12</Paragraphs>
  <ScaleCrop>false</ScaleCrop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Pade Ekenga</cp:lastModifiedBy>
  <cp:revision>4</cp:revision>
  <dcterms:created xsi:type="dcterms:W3CDTF">2026-08-19T12:09:00Z</dcterms:created>
  <dcterms:modified xsi:type="dcterms:W3CDTF">2026-08-23T12:36:00Z</dcterms:modified>
</cp:coreProperties>
</file>