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52A3" w14:textId="77777777" w:rsidR="00296103" w:rsidRDefault="00000000">
      <w:pPr>
        <w:spacing w:before="120" w:after="60"/>
        <w:jc w:val="center"/>
      </w:pPr>
      <w:r>
        <w:rPr>
          <w:b/>
          <w:bCs/>
          <w:color w:val="1F4E78"/>
          <w:sz w:val="36"/>
          <w:szCs w:val="36"/>
        </w:rPr>
        <w:t>Business Insights &amp; Recommendations Report</w:t>
      </w:r>
    </w:p>
    <w:p w14:paraId="7255EC69" w14:textId="77777777" w:rsidR="00296103" w:rsidRDefault="00000000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Week 3 — Advanced Analysis, Global Superstore Dataset</w:t>
      </w:r>
    </w:p>
    <w:p w14:paraId="655B76FF" w14:textId="7994982C" w:rsidR="00296103" w:rsidRDefault="00000000">
      <w:pPr>
        <w:pBdr>
          <w:bottom w:val="single" w:sz="6" w:space="8" w:color="1F4E78"/>
        </w:pBdr>
        <w:spacing w:after="300"/>
        <w:jc w:val="center"/>
      </w:pPr>
      <w:r>
        <w:rPr>
          <w:color w:val="595959"/>
        </w:rPr>
        <w:t xml:space="preserve">Prepared by: </w:t>
      </w:r>
      <w:r w:rsidR="002F78E5">
        <w:rPr>
          <w:color w:val="595959"/>
        </w:rPr>
        <w:t xml:space="preserve">Ekenga </w:t>
      </w:r>
      <w:r>
        <w:rPr>
          <w:color w:val="595959"/>
        </w:rPr>
        <w:t xml:space="preserve">Dorothy, Data Analyst | </w:t>
      </w:r>
      <w:proofErr w:type="spellStart"/>
      <w:r>
        <w:rPr>
          <w:color w:val="595959"/>
        </w:rPr>
        <w:t>AnalystLab</w:t>
      </w:r>
      <w:proofErr w:type="spellEnd"/>
      <w:r>
        <w:rPr>
          <w:color w:val="595959"/>
        </w:rPr>
        <w:t xml:space="preserve"> Africa Consulting</w:t>
      </w:r>
    </w:p>
    <w:p w14:paraId="00F10269" w14:textId="77777777" w:rsidR="00296103" w:rsidRDefault="00000000">
      <w:pPr>
        <w:pStyle w:val="Heading1"/>
        <w:spacing w:before="320" w:after="150"/>
      </w:pPr>
      <w:r>
        <w:t>Six Key Business Insights</w:t>
      </w:r>
    </w:p>
    <w:p w14:paraId="38F62D98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>Growth is accelerating, and profit is keeping pace with it. Sales growth has climbed from +18.5% (2012) to +27.2% (2013) to +26.3% (2014) year-over-year, and profit growth has moved in step (+23.5%, +32.4%, +23.9%). The company is not just getting bigger — it is sustaining its 11–12% margin while scaling, which is a stronger position than a simple 'margin is flat' reading suggests.</w:t>
      </w:r>
    </w:p>
    <w:p w14:paraId="573FE394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>Q4 is a reliable, repeatable revenue peak — not a one-off. Every single year in the dataset (2011–2014) follows the same shape: Q4 is the strongest quarter and Q1 the weakest, with December, November, and September consistently the three best-performing months. This is predictable enough to plan inventory, staffing, and cash flow around with confidence.</w:t>
      </w:r>
    </w:p>
    <w:p w14:paraId="490A9562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>The profitability problem is a discount-governance issue, not a product-selection issue. High-sales-low-profit products span unrelated categories — 3D printers, conference tables, computer tables, even a mainstream laser printer — with the common factor being heavy discounting, not the products themselves. At scale, 678 of 3,788 products (18%) and 12,544 of 51,290 order lines (24.5%) are loss-making, meaning the issue is systemic rather than isolated to a few named items.</w:t>
      </w:r>
    </w:p>
    <w:p w14:paraId="3611AAAB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4. </w:t>
      </w:r>
      <w:r>
        <w:rPr>
          <w:sz w:val="22"/>
          <w:szCs w:val="22"/>
        </w:rPr>
        <w:t>The customer base is healthy and low-risk from a concentration standpoint. The top 10 customers (out of 1,590 total) account for only about 2.7% of total sales — the business is not dependent on a small number of large accounts. The one caution: at least one high-spending customer is currently unprofitable overall, suggesting customer-level profitability, not just customer-level sales, is worth monitoring going forward.</w:t>
      </w:r>
    </w:p>
    <w:p w14:paraId="5ECD2255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average discount (14.3%) sits under the 20% danger threshold identified in Week 2 — but that average hides a meaningful tail of orders above it. Company-wide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looks reasonable on average, while a real and sizeable subset of transactions are quietly loss-making, which is exactly why order-level and product-level monitoring (not just company-wide averages) needs to be part of the ongoing dashboard.</w:t>
      </w:r>
    </w:p>
    <w:p w14:paraId="7EAB0A44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6. </w:t>
      </w:r>
      <w:r>
        <w:rPr>
          <w:sz w:val="22"/>
          <w:szCs w:val="22"/>
        </w:rPr>
        <w:t>Africa and Central Asia stand out as the clearest growth opportunities, not the largest markets. Both are small by volume (Africa: $784K sales; Central Asia: $753K sales) but already convert sales into profit efficiently — Central Asia runs a 17.6% margin and Africa an 11.3% margin, both healthy by company standards. Because they are already profitable at low volume rather than needing to be fixed, they are lower-risk candidates for investment than trying to improve a large but inefficient region like Furniture-heavy markets — scaling something that already works is more reliable than repairing something that doesn't.</w:t>
      </w:r>
    </w:p>
    <w:p w14:paraId="02B5C86B" w14:textId="77777777" w:rsidR="00296103" w:rsidRDefault="00000000">
      <w:pPr>
        <w:pStyle w:val="Heading1"/>
        <w:spacing w:before="320" w:after="150"/>
      </w:pPr>
      <w:r>
        <w:t>Evidence-Based Recommendations</w:t>
      </w:r>
    </w:p>
    <w:p w14:paraId="12D67223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1. </w:t>
      </w:r>
      <w:r>
        <w:rPr>
          <w:sz w:val="22"/>
          <w:szCs w:val="22"/>
        </w:rPr>
        <w:t>Introduce a discount-approval workflow for any order above 20% off, rather than relying on company-wide discount averages to catch the problem — the data shows the danger is concentrated in a tail of orders, not visible in the 14.3% average.</w:t>
      </w:r>
    </w:p>
    <w:p w14:paraId="47E56436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2. </w:t>
      </w:r>
      <w:r>
        <w:rPr>
          <w:sz w:val="22"/>
          <w:szCs w:val="22"/>
        </w:rPr>
        <w:t>Conduct a targeted pricing review of the specific products identified in Section 2.3 of the Advanced Data Analysis report (3D printers, several table lines, and select printers) — since these lose money regardless of category, the fix is product-specific, not category-wide.</w:t>
      </w:r>
    </w:p>
    <w:p w14:paraId="46423EA3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3. </w:t>
      </w:r>
      <w:r>
        <w:rPr>
          <w:sz w:val="22"/>
          <w:szCs w:val="22"/>
        </w:rPr>
        <w:t>Build Q4 readiness into annual planning — given the consistent seasonal pattern across all four years, increase inventory and staffing ahead of September–December rather than treating each year's Q4 surge as unexpected.</w:t>
      </w:r>
    </w:p>
    <w:p w14:paraId="7669D6F1" w14:textId="77777777" w:rsidR="00296103" w:rsidRDefault="00000000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lastRenderedPageBreak/>
        <w:t xml:space="preserve">4. </w:t>
      </w:r>
      <w:r>
        <w:rPr>
          <w:sz w:val="22"/>
          <w:szCs w:val="22"/>
        </w:rPr>
        <w:t>Extend customer analysis beyond total sales to customer-level profitability, so that high-revenue but low- or negative-profit customers (like the one identified in Section 2.4) can be flagged and reviewed — high sales from a customer is not the same as high value.</w:t>
      </w:r>
    </w:p>
    <w:p w14:paraId="0B0A7C96" w14:textId="65C75D7A" w:rsidR="00296103" w:rsidRDefault="00000000" w:rsidP="002F78E5">
      <w:pPr>
        <w:spacing w:after="150"/>
        <w:jc w:val="both"/>
      </w:pPr>
      <w:r>
        <w:rPr>
          <w:b/>
          <w:bCs/>
          <w:color w:val="1F4E78"/>
          <w:sz w:val="22"/>
          <w:szCs w:val="22"/>
        </w:rPr>
        <w:t xml:space="preserve">5. </w:t>
      </w:r>
      <w:r>
        <w:rPr>
          <w:sz w:val="22"/>
          <w:szCs w:val="22"/>
        </w:rPr>
        <w:t>Use the loss-making order-line count (12,544 lines, 24.5% of all transactions) as a standing KPI on the dashboard going forward, not just a one-time finding — tracking this number over time will show whether discount-governance changes are actually working</w:t>
      </w:r>
      <w:r w:rsidR="002F78E5">
        <w:rPr>
          <w:sz w:val="22"/>
          <w:szCs w:val="22"/>
        </w:rPr>
        <w:t>.</w:t>
      </w:r>
    </w:p>
    <w:p w14:paraId="2C5A4762" w14:textId="549EB8E2" w:rsidR="00296103" w:rsidRDefault="00296103" w:rsidP="002F78E5">
      <w:pPr>
        <w:spacing w:before="120"/>
      </w:pPr>
    </w:p>
    <w:sectPr w:rsidR="0029610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51E9A"/>
    <w:multiLevelType w:val="hybridMultilevel"/>
    <w:tmpl w:val="57385356"/>
    <w:lvl w:ilvl="0" w:tplc="727A3174">
      <w:start w:val="1"/>
      <w:numFmt w:val="bullet"/>
      <w:lvlText w:val="●"/>
      <w:lvlJc w:val="left"/>
      <w:pPr>
        <w:ind w:left="720" w:hanging="360"/>
      </w:pPr>
    </w:lvl>
    <w:lvl w:ilvl="1" w:tplc="8C3676F8">
      <w:start w:val="1"/>
      <w:numFmt w:val="bullet"/>
      <w:lvlText w:val="○"/>
      <w:lvlJc w:val="left"/>
      <w:pPr>
        <w:ind w:left="1440" w:hanging="360"/>
      </w:pPr>
    </w:lvl>
    <w:lvl w:ilvl="2" w:tplc="6D06DEE8">
      <w:start w:val="1"/>
      <w:numFmt w:val="bullet"/>
      <w:lvlText w:val="■"/>
      <w:lvlJc w:val="left"/>
      <w:pPr>
        <w:ind w:left="2160" w:hanging="360"/>
      </w:pPr>
    </w:lvl>
    <w:lvl w:ilvl="3" w:tplc="2B468CDC">
      <w:start w:val="1"/>
      <w:numFmt w:val="bullet"/>
      <w:lvlText w:val="●"/>
      <w:lvlJc w:val="left"/>
      <w:pPr>
        <w:ind w:left="2880" w:hanging="360"/>
      </w:pPr>
    </w:lvl>
    <w:lvl w:ilvl="4" w:tplc="5B0E853A">
      <w:start w:val="1"/>
      <w:numFmt w:val="bullet"/>
      <w:lvlText w:val="○"/>
      <w:lvlJc w:val="left"/>
      <w:pPr>
        <w:ind w:left="3600" w:hanging="360"/>
      </w:pPr>
    </w:lvl>
    <w:lvl w:ilvl="5" w:tplc="9EACC31E">
      <w:start w:val="1"/>
      <w:numFmt w:val="bullet"/>
      <w:lvlText w:val="■"/>
      <w:lvlJc w:val="left"/>
      <w:pPr>
        <w:ind w:left="4320" w:hanging="360"/>
      </w:pPr>
    </w:lvl>
    <w:lvl w:ilvl="6" w:tplc="12D852D6">
      <w:start w:val="1"/>
      <w:numFmt w:val="bullet"/>
      <w:lvlText w:val="●"/>
      <w:lvlJc w:val="left"/>
      <w:pPr>
        <w:ind w:left="5040" w:hanging="360"/>
      </w:pPr>
    </w:lvl>
    <w:lvl w:ilvl="7" w:tplc="559465E2">
      <w:start w:val="1"/>
      <w:numFmt w:val="bullet"/>
      <w:lvlText w:val="●"/>
      <w:lvlJc w:val="left"/>
      <w:pPr>
        <w:ind w:left="5760" w:hanging="360"/>
      </w:pPr>
    </w:lvl>
    <w:lvl w:ilvl="8" w:tplc="2DFA153E">
      <w:start w:val="1"/>
      <w:numFmt w:val="bullet"/>
      <w:lvlText w:val="●"/>
      <w:lvlJc w:val="left"/>
      <w:pPr>
        <w:ind w:left="6480" w:hanging="360"/>
      </w:pPr>
    </w:lvl>
  </w:abstractNum>
  <w:num w:numId="1" w16cid:durableId="297490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103"/>
    <w:rsid w:val="00117F47"/>
    <w:rsid w:val="00296103"/>
    <w:rsid w:val="002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014B"/>
  <w15:docId w15:val="{1338E4B1-6053-40CD-AB70-A980BBFB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Pade Ekenga</cp:lastModifiedBy>
  <cp:revision>2</cp:revision>
  <dcterms:created xsi:type="dcterms:W3CDTF">2026-08-21T11:56:00Z</dcterms:created>
  <dcterms:modified xsi:type="dcterms:W3CDTF">2026-08-23T12:32:00Z</dcterms:modified>
</cp:coreProperties>
</file>